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98C" w14:textId="77777777" w:rsidR="003F06A1" w:rsidRPr="00EC162C" w:rsidRDefault="005B4683">
      <w:pPr>
        <w:jc w:val="center"/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  <w:sz w:val="32"/>
        </w:rPr>
        <w:t>Supplementary Material</w:t>
      </w:r>
    </w:p>
    <w:p w14:paraId="05EA8398" w14:textId="77777777" w:rsidR="003F06A1" w:rsidRPr="00EC162C" w:rsidRDefault="005B4683">
      <w:pPr>
        <w:jc w:val="center"/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i/>
        </w:rPr>
        <w:t>Vision Change and Risk of Incident Depressive Symptoms in Middle-Aged and Older Adults: Evidence from Four International Longitudinal Cohorts</w:t>
      </w:r>
    </w:p>
    <w:p w14:paraId="10C708B5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3EA5BADB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sz w:val="18"/>
        </w:rPr>
        <w:t>Abbreviations used in this supplementary material: activities of daily living (ADL); body mass index (BMI); Center for Epidemiologic Studies Depression Scale (CES-D); eight-item Center for Epidemiologic Studies Depression Scale (CES-D8); ten-item Center for Epidemiologic Studies Depression Scale (CES-D10); China Health and Retirement Longitudinal Study (CHARLS); confidence interval (CI); English Longitudinal Study of Ageing (ELSA); ELSA multiple-imputation estimate (ELSA-MI); European Depression Scale (EURO-D); Health and Retirement Study (HRS); instrumental activities of daily living (IADL); multiple imputation (MI); odds ratio (OR); risk ratio (RR); Survey of Health, Ageing and Retirement in Europe (SHARE).</w:t>
      </w:r>
    </w:p>
    <w:p w14:paraId="76FE38C0" w14:textId="77777777" w:rsidR="003F06A1" w:rsidRDefault="003F06A1">
      <w:pPr>
        <w:rPr>
          <w:rFonts w:ascii="Times New Roman" w:eastAsia="SimSun" w:hAnsi="Times New Roman" w:cs="Times New Roman"/>
          <w:lang w:eastAsia="zh-CN"/>
        </w:rPr>
      </w:pPr>
    </w:p>
    <w:p w14:paraId="4E6BD1B8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1661C2C3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32312240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51F616AF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39678C3B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20862385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007542FC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2661BEA6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1A69669A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6F12A231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487D678F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67F146CD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69C222B4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2222E006" w14:textId="77777777" w:rsidR="00E11656" w:rsidRDefault="00E11656">
      <w:pPr>
        <w:rPr>
          <w:rFonts w:ascii="Times New Roman" w:eastAsia="SimSun" w:hAnsi="Times New Roman" w:cs="Times New Roman"/>
          <w:lang w:eastAsia="zh-CN"/>
        </w:rPr>
      </w:pPr>
    </w:p>
    <w:p w14:paraId="211B4D5E" w14:textId="77777777" w:rsidR="00E11656" w:rsidRPr="00E11656" w:rsidRDefault="00E11656">
      <w:pPr>
        <w:rPr>
          <w:rFonts w:ascii="Times New Roman" w:eastAsia="SimSun" w:hAnsi="Times New Roman" w:cs="Times New Roman" w:hint="eastAsia"/>
          <w:lang w:eastAsia="zh-CN"/>
        </w:rPr>
      </w:pPr>
    </w:p>
    <w:p w14:paraId="11D40BBF" w14:textId="35C45EBA" w:rsidR="003F06A1" w:rsidRPr="00EC162C" w:rsidRDefault="00E11656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03358BDC" wp14:editId="2A78CC4A">
            <wp:simplePos x="0" y="0"/>
            <wp:positionH relativeFrom="column">
              <wp:posOffset>457200</wp:posOffset>
            </wp:positionH>
            <wp:positionV relativeFrom="page">
              <wp:posOffset>825500</wp:posOffset>
            </wp:positionV>
            <wp:extent cx="8229600" cy="4810760"/>
            <wp:effectExtent l="0" t="0" r="0" b="889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_four_cohort_new_impairment_forest.tif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683" w:rsidRPr="00EC162C">
        <w:rPr>
          <w:rFonts w:ascii="Times New Roman" w:hAnsi="Times New Roman" w:cs="Times New Roman"/>
          <w:b/>
          <w:sz w:val="26"/>
        </w:rPr>
        <w:t>Supplementary Figures</w:t>
      </w:r>
    </w:p>
    <w:p w14:paraId="5FB2B205" w14:textId="274C50CC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  <w:sz w:val="20"/>
        </w:rPr>
        <w:t>Supplementary Figure S1. Cohort-specific and pooled forest plot for incident self-rated vision impairment versus persistently normal vision across CHARLS, ELSA-MI, SHARE, and HRS.</w:t>
      </w:r>
    </w:p>
    <w:p w14:paraId="65645017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3B815DA1" w14:textId="0075E8D1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84316C4" wp14:editId="0E013E2B">
            <wp:simplePos x="0" y="0"/>
            <wp:positionH relativeFrom="column">
              <wp:posOffset>457200</wp:posOffset>
            </wp:positionH>
            <wp:positionV relativeFrom="page">
              <wp:posOffset>457200</wp:posOffset>
            </wp:positionV>
            <wp:extent cx="8229600" cy="4810760"/>
            <wp:effectExtent l="0" t="0" r="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_four_cohort_persistent_impairment_forest.tif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62C">
        <w:rPr>
          <w:rFonts w:ascii="Times New Roman" w:hAnsi="Times New Roman" w:cs="Times New Roman"/>
          <w:b/>
          <w:sz w:val="20"/>
        </w:rPr>
        <w:t>Supplementary Figure S2. Cohort-specific and pooled forest plot for persistent self-rated vision impairment versus persistently normal vision across CHARLS, ELSA-MI, SHARE, and HRS.</w:t>
      </w:r>
    </w:p>
    <w:p w14:paraId="6CF1CF8A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735D5A14" w14:textId="5C0FC8E9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0CD3E9E" wp14:editId="438B447F">
            <wp:simplePos x="0" y="0"/>
            <wp:positionH relativeFrom="column">
              <wp:posOffset>457200</wp:posOffset>
            </wp:positionH>
            <wp:positionV relativeFrom="page">
              <wp:posOffset>412750</wp:posOffset>
            </wp:positionV>
            <wp:extent cx="8229600" cy="431419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_four_cohort_absolute_risk_difference.tif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62C">
        <w:rPr>
          <w:rFonts w:ascii="Times New Roman" w:hAnsi="Times New Roman" w:cs="Times New Roman"/>
          <w:b/>
          <w:sz w:val="20"/>
        </w:rPr>
        <w:t>Supplementary Figure S3. Fully adjusted absolute risk differences for incident depressive symptoms by self-rated vision change group across CHARLS, ELSA-MI, SHARE, and HRS.</w:t>
      </w:r>
    </w:p>
    <w:p w14:paraId="5F559D29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782063B8" w14:textId="659416A1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CE7DC9C" wp14:editId="2E4FFE96">
            <wp:simplePos x="0" y="0"/>
            <wp:positionH relativeFrom="column">
              <wp:posOffset>457200</wp:posOffset>
            </wp:positionH>
            <wp:positionV relativeFrom="page">
              <wp:posOffset>457200</wp:posOffset>
            </wp:positionV>
            <wp:extent cx="8229600" cy="427228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4_four_cohort_subgroup_forest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62C">
        <w:rPr>
          <w:rFonts w:ascii="Times New Roman" w:hAnsi="Times New Roman" w:cs="Times New Roman"/>
          <w:b/>
          <w:sz w:val="20"/>
        </w:rPr>
        <w:t>Supplementary Figure S4. Exploratory subgroup forest plot for age, sex, and chronic disease burden strata across CHARLS, ELSA-MI, SHARE, and HRS.</w:t>
      </w:r>
    </w:p>
    <w:p w14:paraId="0D9E8C26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16733C7D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  <w:sz w:val="26"/>
        </w:rPr>
        <w:lastRenderedPageBreak/>
        <w:t>Supplementary Tables</w:t>
      </w:r>
    </w:p>
    <w:p w14:paraId="5DE4411A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t>Table S1. Measurement, item wording, and scoring logic across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w:rsidR="003F06A1" w:rsidRPr="00EC162C" w14:paraId="0D55EB36" w14:textId="77777777" w:rsidTr="00EC162C">
        <w:trPr>
          <w:jc w:val="center"/>
        </w:trPr>
        <w:tc>
          <w:tcPr>
            <w:tcW w:w="1309" w:type="dxa"/>
            <w:tcBorders>
              <w:bottom w:val="single" w:sz="6" w:space="0" w:color="auto"/>
            </w:tcBorders>
          </w:tcPr>
          <w:p w14:paraId="18A27D6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Section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2CB1B50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Dataset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387ABAD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Exposure window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575F8AA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Exposure items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0756DE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Impairment threshold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2A9E85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Rule when primary vision items were missing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1E6A1FA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Outcome window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684CD66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Outcome scale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66CA28F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At-risk definition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7492C67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Incident definition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3DD41C7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Key notes</w:t>
            </w:r>
          </w:p>
        </w:tc>
      </w:tr>
      <w:tr w:rsidR="003F06A1" w:rsidRPr="00EC162C" w14:paraId="5DA68645" w14:textId="77777777" w:rsidTr="00EC162C">
        <w:trPr>
          <w:jc w:val="center"/>
        </w:trPr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342D3D8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Harmonization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469D2AE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1683736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W1-W2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4BEEF29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Self-rated distance and near vision items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28DD38D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Either item score &gt;=4 =&gt; impaired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49DB3DF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If at least one item was observed and both observed items were below the impairment threshold =&gt; normal; if both items were missing =&gt; missing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7AE60C9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W2-W3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667DFC7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CES-D10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0A4AFB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W2 CES-D10 &lt;10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7994E1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W3 CES-D10 &gt;=10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5F97CD2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primary Model 2; covariate-MI sensitivity excludes physical activity because physical activity has structural high missingness</w:t>
            </w:r>
          </w:p>
        </w:tc>
      </w:tr>
      <w:tr w:rsidR="003F06A1" w:rsidRPr="00EC162C" w14:paraId="5B452428" w14:textId="77777777" w:rsidTr="00EC162C">
        <w:trPr>
          <w:jc w:val="center"/>
        </w:trPr>
        <w:tc>
          <w:tcPr>
            <w:tcW w:w="1309" w:type="dxa"/>
            <w:tcBorders>
              <w:top w:val="nil"/>
            </w:tcBorders>
          </w:tcPr>
          <w:p w14:paraId="5879DFE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Harmonization</w:t>
            </w:r>
          </w:p>
        </w:tc>
        <w:tc>
          <w:tcPr>
            <w:tcW w:w="1309" w:type="dxa"/>
            <w:tcBorders>
              <w:top w:val="nil"/>
            </w:tcBorders>
          </w:tcPr>
          <w:p w14:paraId="568E9A4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1309" w:type="dxa"/>
            <w:tcBorders>
              <w:top w:val="nil"/>
            </w:tcBorders>
          </w:tcPr>
          <w:p w14:paraId="37C1399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W4-W5</w:t>
            </w:r>
          </w:p>
        </w:tc>
        <w:tc>
          <w:tcPr>
            <w:tcW w:w="1309" w:type="dxa"/>
            <w:tcBorders>
              <w:top w:val="nil"/>
            </w:tcBorders>
          </w:tcPr>
          <w:p w14:paraId="0ACBE8C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Self-rated distance and reading vision items; overall self-rated vision used only as an alternative indicator</w:t>
            </w:r>
          </w:p>
        </w:tc>
        <w:tc>
          <w:tcPr>
            <w:tcW w:w="1309" w:type="dxa"/>
            <w:tcBorders>
              <w:top w:val="nil"/>
            </w:tcBorders>
          </w:tcPr>
          <w:p w14:paraId="4BAD91E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Either distance or reading item score &gt;=4 =&gt; impaired; alternative overall self-rated vision indicating fair or worse =&gt; impaired</w:t>
            </w:r>
          </w:p>
        </w:tc>
        <w:tc>
          <w:tcPr>
            <w:tcW w:w="1309" w:type="dxa"/>
            <w:tcBorders>
              <w:top w:val="nil"/>
            </w:tcBorders>
          </w:tcPr>
          <w:p w14:paraId="5CC317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Use overall self-rated vision only when both primary items are missing</w:t>
            </w:r>
          </w:p>
        </w:tc>
        <w:tc>
          <w:tcPr>
            <w:tcW w:w="1309" w:type="dxa"/>
            <w:tcBorders>
              <w:top w:val="nil"/>
            </w:tcBorders>
          </w:tcPr>
          <w:p w14:paraId="436C0E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W5-W6</w:t>
            </w:r>
          </w:p>
        </w:tc>
        <w:tc>
          <w:tcPr>
            <w:tcW w:w="1309" w:type="dxa"/>
            <w:tcBorders>
              <w:top w:val="nil"/>
            </w:tcBorders>
          </w:tcPr>
          <w:p w14:paraId="2384D67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CES-D8</w:t>
            </w:r>
          </w:p>
        </w:tc>
        <w:tc>
          <w:tcPr>
            <w:tcW w:w="1309" w:type="dxa"/>
            <w:tcBorders>
              <w:top w:val="nil"/>
            </w:tcBorders>
          </w:tcPr>
          <w:p w14:paraId="3A235FB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 CES-D8 &lt;4</w:t>
            </w:r>
          </w:p>
        </w:tc>
        <w:tc>
          <w:tcPr>
            <w:tcW w:w="1309" w:type="dxa"/>
            <w:tcBorders>
              <w:top w:val="nil"/>
            </w:tcBorders>
          </w:tcPr>
          <w:p w14:paraId="7A1B4E2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W6 CES-D8 &gt;=4</w:t>
            </w:r>
          </w:p>
        </w:tc>
        <w:tc>
          <w:tcPr>
            <w:tcW w:w="1309" w:type="dxa"/>
            <w:tcBorders>
              <w:top w:val="nil"/>
            </w:tcBorders>
          </w:tcPr>
          <w:p w14:paraId="0491751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Covariates imputed with 20 imputations; rows without cluster information were not used for robust standard-error fitting</w:t>
            </w:r>
          </w:p>
        </w:tc>
      </w:tr>
      <w:tr w:rsidR="003F06A1" w:rsidRPr="00EC162C" w14:paraId="0368345C" w14:textId="77777777" w:rsidTr="00EC162C">
        <w:trPr>
          <w:jc w:val="center"/>
        </w:trPr>
        <w:tc>
          <w:tcPr>
            <w:tcW w:w="1309" w:type="dxa"/>
          </w:tcPr>
          <w:p w14:paraId="0688EC9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Harmonization</w:t>
            </w:r>
          </w:p>
        </w:tc>
        <w:tc>
          <w:tcPr>
            <w:tcW w:w="1309" w:type="dxa"/>
          </w:tcPr>
          <w:p w14:paraId="4DE969C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1309" w:type="dxa"/>
          </w:tcPr>
          <w:p w14:paraId="0E8C842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W4-W5</w:t>
            </w:r>
          </w:p>
        </w:tc>
        <w:tc>
          <w:tcPr>
            <w:tcW w:w="1309" w:type="dxa"/>
          </w:tcPr>
          <w:p w14:paraId="3FB6021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Self-rated distance and near vision items</w:t>
            </w:r>
          </w:p>
        </w:tc>
        <w:tc>
          <w:tcPr>
            <w:tcW w:w="1309" w:type="dxa"/>
          </w:tcPr>
          <w:p w14:paraId="447A075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Either item score &gt;=4 =&gt; impaired</w:t>
            </w:r>
          </w:p>
        </w:tc>
        <w:tc>
          <w:tcPr>
            <w:tcW w:w="1309" w:type="dxa"/>
          </w:tcPr>
          <w:p w14:paraId="187955A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If at least one item was observed and both observed items were below the impairment threshold =&gt; normal; if both items were missing =&gt; missing</w:t>
            </w:r>
          </w:p>
        </w:tc>
        <w:tc>
          <w:tcPr>
            <w:tcW w:w="1309" w:type="dxa"/>
          </w:tcPr>
          <w:p w14:paraId="01D88DF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W5-W6</w:t>
            </w:r>
          </w:p>
        </w:tc>
        <w:tc>
          <w:tcPr>
            <w:tcW w:w="1309" w:type="dxa"/>
          </w:tcPr>
          <w:p w14:paraId="6BCBE8F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EURO-D</w:t>
            </w:r>
          </w:p>
        </w:tc>
        <w:tc>
          <w:tcPr>
            <w:tcW w:w="1309" w:type="dxa"/>
          </w:tcPr>
          <w:p w14:paraId="08B5459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 EURO-D &lt;4</w:t>
            </w:r>
          </w:p>
        </w:tc>
        <w:tc>
          <w:tcPr>
            <w:tcW w:w="1309" w:type="dxa"/>
          </w:tcPr>
          <w:p w14:paraId="2D3AA3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W6 EURO-D &gt;=4</w:t>
            </w:r>
          </w:p>
        </w:tc>
        <w:tc>
          <w:tcPr>
            <w:tcW w:w="1309" w:type="dxa"/>
          </w:tcPr>
          <w:p w14:paraId="3DA1CDF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primary Model 2; covariate-MI sensitivity uses the same Model 2 covariates</w:t>
            </w:r>
          </w:p>
        </w:tc>
      </w:tr>
      <w:tr w:rsidR="003F06A1" w:rsidRPr="00EC162C" w14:paraId="43EC9459" w14:textId="77777777" w:rsidTr="00EC162C">
        <w:trPr>
          <w:jc w:val="center"/>
        </w:trPr>
        <w:tc>
          <w:tcPr>
            <w:tcW w:w="1309" w:type="dxa"/>
          </w:tcPr>
          <w:p w14:paraId="4FAD71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Harmonization</w:t>
            </w:r>
          </w:p>
        </w:tc>
        <w:tc>
          <w:tcPr>
            <w:tcW w:w="1309" w:type="dxa"/>
          </w:tcPr>
          <w:p w14:paraId="4BF7ABD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1309" w:type="dxa"/>
          </w:tcPr>
          <w:p w14:paraId="778954A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W10-W11</w:t>
            </w:r>
          </w:p>
        </w:tc>
        <w:tc>
          <w:tcPr>
            <w:tcW w:w="1309" w:type="dxa"/>
          </w:tcPr>
          <w:p w14:paraId="6A80EE1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Gateway HRS self-rated eyesight</w:t>
            </w:r>
          </w:p>
        </w:tc>
        <w:tc>
          <w:tcPr>
            <w:tcW w:w="1309" w:type="dxa"/>
          </w:tcPr>
          <w:p w14:paraId="6F3BED4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Fair, poor, or legally blind =&gt; impaired</w:t>
            </w:r>
          </w:p>
        </w:tc>
        <w:tc>
          <w:tcPr>
            <w:tcW w:w="1309" w:type="dxa"/>
          </w:tcPr>
          <w:p w14:paraId="690BC5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Single eyesight item; no separate far/near subtype harmonization</w:t>
            </w:r>
          </w:p>
        </w:tc>
        <w:tc>
          <w:tcPr>
            <w:tcW w:w="1309" w:type="dxa"/>
          </w:tcPr>
          <w:p w14:paraId="03A72BD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W11-W12</w:t>
            </w:r>
          </w:p>
        </w:tc>
        <w:tc>
          <w:tcPr>
            <w:tcW w:w="1309" w:type="dxa"/>
          </w:tcPr>
          <w:p w14:paraId="3F487F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CES-D8</w:t>
            </w:r>
          </w:p>
        </w:tc>
        <w:tc>
          <w:tcPr>
            <w:tcW w:w="1309" w:type="dxa"/>
          </w:tcPr>
          <w:p w14:paraId="5B5A345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W11 CES-D8 &lt;4</w:t>
            </w:r>
          </w:p>
        </w:tc>
        <w:tc>
          <w:tcPr>
            <w:tcW w:w="1309" w:type="dxa"/>
          </w:tcPr>
          <w:p w14:paraId="2E96683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W12 CES-D8 &gt;=4</w:t>
            </w:r>
          </w:p>
        </w:tc>
        <w:tc>
          <w:tcPr>
            <w:tcW w:w="1309" w:type="dxa"/>
          </w:tcPr>
          <w:p w14:paraId="5B28B67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Physical activity omitted from Model 2; covariate-MI sensitivity uses the corresponding HRS Model 2 specification</w:t>
            </w:r>
          </w:p>
        </w:tc>
      </w:tr>
      <w:tr w:rsidR="003F06A1" w:rsidRPr="00EC162C" w14:paraId="15772271" w14:textId="77777777" w:rsidTr="00EC162C">
        <w:trPr>
          <w:jc w:val="center"/>
        </w:trPr>
        <w:tc>
          <w:tcPr>
            <w:tcW w:w="1309" w:type="dxa"/>
          </w:tcPr>
          <w:p w14:paraId="6603FF1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Derived variables</w:t>
            </w:r>
          </w:p>
        </w:tc>
        <w:tc>
          <w:tcPr>
            <w:tcW w:w="1309" w:type="dxa"/>
          </w:tcPr>
          <w:p w14:paraId="425EBAC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All cohorts</w:t>
            </w:r>
          </w:p>
        </w:tc>
        <w:tc>
          <w:tcPr>
            <w:tcW w:w="1309" w:type="dxa"/>
          </w:tcPr>
          <w:p w14:paraId="4730237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t0+t1</w:t>
            </w:r>
          </w:p>
        </w:tc>
        <w:tc>
          <w:tcPr>
            <w:tcW w:w="1309" w:type="dxa"/>
          </w:tcPr>
          <w:p w14:paraId="1CCD1E1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Wave-specific impaired vs normal status</w:t>
            </w:r>
          </w:p>
        </w:tc>
        <w:tc>
          <w:tcPr>
            <w:tcW w:w="1309" w:type="dxa"/>
          </w:tcPr>
          <w:p w14:paraId="04072E7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 xml:space="preserve">Persistent normal, improved, new impairment, persistent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impairment</w:t>
            </w:r>
          </w:p>
        </w:tc>
        <w:tc>
          <w:tcPr>
            <w:tcW w:w="1309" w:type="dxa"/>
          </w:tcPr>
          <w:p w14:paraId="228F7A1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 xml:space="preserve">Primary analytical contrasts compare new impairment and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persistent impairment with persistent normal; improved vision is retained in model fitting when present but is not a primary contrast.</w:t>
            </w:r>
          </w:p>
        </w:tc>
        <w:tc>
          <w:tcPr>
            <w:tcW w:w="1309" w:type="dxa"/>
          </w:tcPr>
          <w:p w14:paraId="754B371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t1-t2</w:t>
            </w:r>
          </w:p>
        </w:tc>
        <w:tc>
          <w:tcPr>
            <w:tcW w:w="1309" w:type="dxa"/>
          </w:tcPr>
          <w:p w14:paraId="618D67C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Incident depressive symptoms</w:t>
            </w:r>
          </w:p>
        </w:tc>
        <w:tc>
          <w:tcPr>
            <w:tcW w:w="1309" w:type="dxa"/>
          </w:tcPr>
          <w:p w14:paraId="08D382B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Baseline below cohort threshold</w:t>
            </w:r>
          </w:p>
        </w:tc>
        <w:tc>
          <w:tcPr>
            <w:tcW w:w="1309" w:type="dxa"/>
          </w:tcPr>
          <w:p w14:paraId="354B0B5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Follow-up at/above cohort threshold</w:t>
            </w:r>
          </w:p>
        </w:tc>
        <w:tc>
          <w:tcPr>
            <w:tcW w:w="1309" w:type="dxa"/>
          </w:tcPr>
          <w:p w14:paraId="1AFDCB9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 xml:space="preserve">Four-cohort Model 2 estimates are pooled with random-effects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meta-analysis</w:t>
            </w:r>
          </w:p>
        </w:tc>
      </w:tr>
    </w:tbl>
    <w:p w14:paraId="1670F556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0680A522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104BC85F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lastRenderedPageBreak/>
        <w:t>Table S2. Analytic sample progression, missingness, and classification rules for missing primary vision items across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F06A1" w:rsidRPr="00EC162C" w14:paraId="614450BC" w14:textId="77777777" w:rsidTr="00EC162C">
        <w:trPr>
          <w:jc w:val="center"/>
        </w:trPr>
        <w:tc>
          <w:tcPr>
            <w:tcW w:w="2880" w:type="dxa"/>
            <w:tcBorders>
              <w:bottom w:val="single" w:sz="6" w:space="0" w:color="auto"/>
            </w:tcBorders>
          </w:tcPr>
          <w:p w14:paraId="46528EC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Cohort</w:t>
            </w:r>
          </w:p>
        </w:tc>
        <w:tc>
          <w:tcPr>
            <w:tcW w:w="2880" w:type="dxa"/>
            <w:tcBorders>
              <w:bottom w:val="single" w:sz="6" w:space="0" w:color="auto"/>
            </w:tcBorders>
          </w:tcPr>
          <w:p w14:paraId="683C067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Variable</w:t>
            </w:r>
          </w:p>
        </w:tc>
        <w:tc>
          <w:tcPr>
            <w:tcW w:w="2880" w:type="dxa"/>
            <w:tcBorders>
              <w:bottom w:val="single" w:sz="6" w:space="0" w:color="auto"/>
            </w:tcBorders>
          </w:tcPr>
          <w:p w14:paraId="61D1CAF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Analytic sample, n</w:t>
            </w:r>
          </w:p>
        </w:tc>
        <w:tc>
          <w:tcPr>
            <w:tcW w:w="2880" w:type="dxa"/>
            <w:tcBorders>
              <w:bottom w:val="single" w:sz="6" w:space="0" w:color="auto"/>
            </w:tcBorders>
          </w:tcPr>
          <w:p w14:paraId="4864529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Missing count</w:t>
            </w:r>
          </w:p>
        </w:tc>
        <w:tc>
          <w:tcPr>
            <w:tcW w:w="2880" w:type="dxa"/>
            <w:tcBorders>
              <w:bottom w:val="single" w:sz="6" w:space="0" w:color="auto"/>
            </w:tcBorders>
          </w:tcPr>
          <w:p w14:paraId="4BC1B4D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Missing note / percent</w:t>
            </w:r>
          </w:p>
        </w:tc>
      </w:tr>
      <w:tr w:rsidR="003F06A1" w:rsidRPr="00EC162C" w14:paraId="7EA7EFE4" w14:textId="77777777" w:rsidTr="00EC162C">
        <w:trPr>
          <w:jc w:val="center"/>
        </w:trPr>
        <w:tc>
          <w:tcPr>
            <w:tcW w:w="2880" w:type="dxa"/>
            <w:tcBorders>
              <w:top w:val="single" w:sz="6" w:space="0" w:color="auto"/>
              <w:bottom w:val="nil"/>
            </w:tcBorders>
          </w:tcPr>
          <w:p w14:paraId="14DA1CF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  <w:tcBorders>
              <w:top w:val="single" w:sz="6" w:space="0" w:color="auto"/>
              <w:bottom w:val="nil"/>
            </w:tcBorders>
          </w:tcPr>
          <w:p w14:paraId="0E95A29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Age</w:t>
            </w:r>
          </w:p>
        </w:tc>
        <w:tc>
          <w:tcPr>
            <w:tcW w:w="2880" w:type="dxa"/>
            <w:tcBorders>
              <w:top w:val="single" w:sz="6" w:space="0" w:color="auto"/>
              <w:bottom w:val="nil"/>
            </w:tcBorders>
          </w:tcPr>
          <w:p w14:paraId="1D8C696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  <w:tcBorders>
              <w:top w:val="single" w:sz="6" w:space="0" w:color="auto"/>
              <w:bottom w:val="nil"/>
            </w:tcBorders>
          </w:tcPr>
          <w:p w14:paraId="2EB484B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  <w:tcBorders>
              <w:top w:val="single" w:sz="6" w:space="0" w:color="auto"/>
              <w:bottom w:val="nil"/>
            </w:tcBorders>
          </w:tcPr>
          <w:p w14:paraId="5E5504D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A5B1747" w14:textId="77777777" w:rsidTr="00EC162C">
        <w:trPr>
          <w:jc w:val="center"/>
        </w:trPr>
        <w:tc>
          <w:tcPr>
            <w:tcW w:w="2880" w:type="dxa"/>
            <w:tcBorders>
              <w:top w:val="nil"/>
            </w:tcBorders>
          </w:tcPr>
          <w:p w14:paraId="0BAAEFB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  <w:tcBorders>
              <w:top w:val="nil"/>
            </w:tcBorders>
          </w:tcPr>
          <w:p w14:paraId="37BB434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Sex</w:t>
            </w:r>
          </w:p>
        </w:tc>
        <w:tc>
          <w:tcPr>
            <w:tcW w:w="2880" w:type="dxa"/>
            <w:tcBorders>
              <w:top w:val="nil"/>
            </w:tcBorders>
          </w:tcPr>
          <w:p w14:paraId="2610E8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  <w:tcBorders>
              <w:top w:val="nil"/>
            </w:tcBorders>
          </w:tcPr>
          <w:p w14:paraId="71A29B0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  <w:tcBorders>
              <w:top w:val="nil"/>
            </w:tcBorders>
          </w:tcPr>
          <w:p w14:paraId="06223BC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386C36E9" w14:textId="77777777" w:rsidTr="00EC162C">
        <w:trPr>
          <w:jc w:val="center"/>
        </w:trPr>
        <w:tc>
          <w:tcPr>
            <w:tcW w:w="2880" w:type="dxa"/>
          </w:tcPr>
          <w:p w14:paraId="4398F98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5EA977B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Education</w:t>
            </w:r>
          </w:p>
        </w:tc>
        <w:tc>
          <w:tcPr>
            <w:tcW w:w="2880" w:type="dxa"/>
          </w:tcPr>
          <w:p w14:paraId="2663D41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5ECB8FC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257ABF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7BB43B0B" w14:textId="77777777" w:rsidTr="00EC162C">
        <w:trPr>
          <w:jc w:val="center"/>
        </w:trPr>
        <w:tc>
          <w:tcPr>
            <w:tcW w:w="2880" w:type="dxa"/>
          </w:tcPr>
          <w:p w14:paraId="2A8353E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0B3579F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Marital status</w:t>
            </w:r>
          </w:p>
        </w:tc>
        <w:tc>
          <w:tcPr>
            <w:tcW w:w="2880" w:type="dxa"/>
          </w:tcPr>
          <w:p w14:paraId="1D93C38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48C1F07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3338CF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1538124" w14:textId="77777777" w:rsidTr="00EC162C">
        <w:trPr>
          <w:jc w:val="center"/>
        </w:trPr>
        <w:tc>
          <w:tcPr>
            <w:tcW w:w="2880" w:type="dxa"/>
          </w:tcPr>
          <w:p w14:paraId="4C4A08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4F2ACDB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Smoking</w:t>
            </w:r>
          </w:p>
        </w:tc>
        <w:tc>
          <w:tcPr>
            <w:tcW w:w="2880" w:type="dxa"/>
          </w:tcPr>
          <w:p w14:paraId="3823099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33331E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B1E37E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090FADA" w14:textId="77777777" w:rsidTr="00EC162C">
        <w:trPr>
          <w:jc w:val="center"/>
        </w:trPr>
        <w:tc>
          <w:tcPr>
            <w:tcW w:w="2880" w:type="dxa"/>
          </w:tcPr>
          <w:p w14:paraId="5B8E355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79A04C3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Alcohol consumption</w:t>
            </w:r>
          </w:p>
        </w:tc>
        <w:tc>
          <w:tcPr>
            <w:tcW w:w="2880" w:type="dxa"/>
          </w:tcPr>
          <w:p w14:paraId="1598305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0A8293E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E71D8A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2C1FAE4" w14:textId="77777777" w:rsidTr="00EC162C">
        <w:trPr>
          <w:jc w:val="center"/>
        </w:trPr>
        <w:tc>
          <w:tcPr>
            <w:tcW w:w="2880" w:type="dxa"/>
          </w:tcPr>
          <w:p w14:paraId="54F4268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3577F99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Body mass index</w:t>
            </w:r>
          </w:p>
        </w:tc>
        <w:tc>
          <w:tcPr>
            <w:tcW w:w="2880" w:type="dxa"/>
          </w:tcPr>
          <w:p w14:paraId="56AFF42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37360FC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3008F59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78757330" w14:textId="77777777" w:rsidTr="00EC162C">
        <w:trPr>
          <w:jc w:val="center"/>
        </w:trPr>
        <w:tc>
          <w:tcPr>
            <w:tcW w:w="2880" w:type="dxa"/>
          </w:tcPr>
          <w:p w14:paraId="46C2EBA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3ED70B9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Chronic disease burden</w:t>
            </w:r>
          </w:p>
        </w:tc>
        <w:tc>
          <w:tcPr>
            <w:tcW w:w="2880" w:type="dxa"/>
          </w:tcPr>
          <w:p w14:paraId="5AE4298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7E19BDB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3C8FEC9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1BB3ACC" w14:textId="77777777" w:rsidTr="00EC162C">
        <w:trPr>
          <w:jc w:val="center"/>
        </w:trPr>
        <w:tc>
          <w:tcPr>
            <w:tcW w:w="2880" w:type="dxa"/>
          </w:tcPr>
          <w:p w14:paraId="4CD0FA1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08161AF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Physical activity</w:t>
            </w:r>
          </w:p>
        </w:tc>
        <w:tc>
          <w:tcPr>
            <w:tcW w:w="2880" w:type="dxa"/>
          </w:tcPr>
          <w:p w14:paraId="531475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52E4FE7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4548</w:t>
            </w:r>
          </w:p>
        </w:tc>
        <w:tc>
          <w:tcPr>
            <w:tcW w:w="2880" w:type="dxa"/>
          </w:tcPr>
          <w:p w14:paraId="3601E50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62.76%</w:t>
            </w:r>
          </w:p>
        </w:tc>
      </w:tr>
      <w:tr w:rsidR="003F06A1" w:rsidRPr="00EC162C" w14:paraId="7439669B" w14:textId="77777777" w:rsidTr="00EC162C">
        <w:trPr>
          <w:jc w:val="center"/>
        </w:trPr>
        <w:tc>
          <w:tcPr>
            <w:tcW w:w="2880" w:type="dxa"/>
          </w:tcPr>
          <w:p w14:paraId="06CB59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422284B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ADL/IADL limitation score</w:t>
            </w:r>
          </w:p>
        </w:tc>
        <w:tc>
          <w:tcPr>
            <w:tcW w:w="2880" w:type="dxa"/>
          </w:tcPr>
          <w:p w14:paraId="414A029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4F5131A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8EB416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53BD01D" w14:textId="77777777" w:rsidTr="00EC162C">
        <w:trPr>
          <w:jc w:val="center"/>
        </w:trPr>
        <w:tc>
          <w:tcPr>
            <w:tcW w:w="2880" w:type="dxa"/>
          </w:tcPr>
          <w:p w14:paraId="5922461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12E89F7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Socioeconomic status score</w:t>
            </w:r>
          </w:p>
        </w:tc>
        <w:tc>
          <w:tcPr>
            <w:tcW w:w="2880" w:type="dxa"/>
          </w:tcPr>
          <w:p w14:paraId="013AD61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4934619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98F9B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E8D47A8" w14:textId="77777777" w:rsidTr="00EC162C">
        <w:trPr>
          <w:jc w:val="center"/>
        </w:trPr>
        <w:tc>
          <w:tcPr>
            <w:tcW w:w="2880" w:type="dxa"/>
          </w:tcPr>
          <w:p w14:paraId="32AB973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7BD4F90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Baseline depressive symptom score</w:t>
            </w:r>
          </w:p>
        </w:tc>
        <w:tc>
          <w:tcPr>
            <w:tcW w:w="2880" w:type="dxa"/>
          </w:tcPr>
          <w:p w14:paraId="3462C93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4CCE92C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2BE0EA6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F6CA903" w14:textId="77777777" w:rsidTr="00EC162C">
        <w:trPr>
          <w:jc w:val="center"/>
        </w:trPr>
        <w:tc>
          <w:tcPr>
            <w:tcW w:w="2880" w:type="dxa"/>
          </w:tcPr>
          <w:p w14:paraId="3D02FAD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365E831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Vision change category</w:t>
            </w:r>
          </w:p>
        </w:tc>
        <w:tc>
          <w:tcPr>
            <w:tcW w:w="2880" w:type="dxa"/>
          </w:tcPr>
          <w:p w14:paraId="62D7F9E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129ABFA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5B72E0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Main exposure classification available in analytic rows</w:t>
            </w:r>
          </w:p>
        </w:tc>
      </w:tr>
      <w:tr w:rsidR="003F06A1" w:rsidRPr="00EC162C" w14:paraId="697CA6E0" w14:textId="77777777" w:rsidTr="00EC162C">
        <w:trPr>
          <w:jc w:val="center"/>
        </w:trPr>
        <w:tc>
          <w:tcPr>
            <w:tcW w:w="2880" w:type="dxa"/>
          </w:tcPr>
          <w:p w14:paraId="369CD15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2880" w:type="dxa"/>
          </w:tcPr>
          <w:p w14:paraId="3917331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Incident depressive symptoms</w:t>
            </w:r>
          </w:p>
        </w:tc>
        <w:tc>
          <w:tcPr>
            <w:tcW w:w="2880" w:type="dxa"/>
          </w:tcPr>
          <w:p w14:paraId="4A1006A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2880" w:type="dxa"/>
          </w:tcPr>
          <w:p w14:paraId="63DCBDF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2671740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Outcome available in analytic rows</w:t>
            </w:r>
          </w:p>
        </w:tc>
      </w:tr>
      <w:tr w:rsidR="003F06A1" w:rsidRPr="00EC162C" w14:paraId="160A2EE7" w14:textId="77777777" w:rsidTr="00EC162C">
        <w:trPr>
          <w:jc w:val="center"/>
        </w:trPr>
        <w:tc>
          <w:tcPr>
            <w:tcW w:w="2880" w:type="dxa"/>
          </w:tcPr>
          <w:p w14:paraId="6E1ACF0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1584BF0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Age</w:t>
            </w:r>
          </w:p>
        </w:tc>
        <w:tc>
          <w:tcPr>
            <w:tcW w:w="2880" w:type="dxa"/>
          </w:tcPr>
          <w:p w14:paraId="20A0F25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597CDC8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2625DFD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F7EF8EB" w14:textId="77777777" w:rsidTr="00EC162C">
        <w:trPr>
          <w:jc w:val="center"/>
        </w:trPr>
        <w:tc>
          <w:tcPr>
            <w:tcW w:w="2880" w:type="dxa"/>
          </w:tcPr>
          <w:p w14:paraId="1FB612E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27012B7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Sex</w:t>
            </w:r>
          </w:p>
        </w:tc>
        <w:tc>
          <w:tcPr>
            <w:tcW w:w="2880" w:type="dxa"/>
          </w:tcPr>
          <w:p w14:paraId="72EC9F5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7AA987C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4CB8A2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79A78AF" w14:textId="77777777" w:rsidTr="00EC162C">
        <w:trPr>
          <w:jc w:val="center"/>
        </w:trPr>
        <w:tc>
          <w:tcPr>
            <w:tcW w:w="2880" w:type="dxa"/>
          </w:tcPr>
          <w:p w14:paraId="65201C8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1BF4042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Education</w:t>
            </w:r>
          </w:p>
        </w:tc>
        <w:tc>
          <w:tcPr>
            <w:tcW w:w="2880" w:type="dxa"/>
          </w:tcPr>
          <w:p w14:paraId="7B4FDEB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4221476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536</w:t>
            </w:r>
          </w:p>
        </w:tc>
        <w:tc>
          <w:tcPr>
            <w:tcW w:w="2880" w:type="dxa"/>
          </w:tcPr>
          <w:p w14:paraId="11BC808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7.90%</w:t>
            </w:r>
          </w:p>
        </w:tc>
      </w:tr>
      <w:tr w:rsidR="003F06A1" w:rsidRPr="00EC162C" w14:paraId="25F8E847" w14:textId="77777777" w:rsidTr="00EC162C">
        <w:trPr>
          <w:jc w:val="center"/>
        </w:trPr>
        <w:tc>
          <w:tcPr>
            <w:tcW w:w="2880" w:type="dxa"/>
          </w:tcPr>
          <w:p w14:paraId="4C147E4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493E610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Marital status</w:t>
            </w:r>
          </w:p>
        </w:tc>
        <w:tc>
          <w:tcPr>
            <w:tcW w:w="2880" w:type="dxa"/>
          </w:tcPr>
          <w:p w14:paraId="791D62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7768CA9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80" w:type="dxa"/>
          </w:tcPr>
          <w:p w14:paraId="0A31724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0.01%</w:t>
            </w:r>
          </w:p>
        </w:tc>
      </w:tr>
      <w:tr w:rsidR="003F06A1" w:rsidRPr="00EC162C" w14:paraId="585D188C" w14:textId="77777777" w:rsidTr="00EC162C">
        <w:trPr>
          <w:jc w:val="center"/>
        </w:trPr>
        <w:tc>
          <w:tcPr>
            <w:tcW w:w="2880" w:type="dxa"/>
          </w:tcPr>
          <w:p w14:paraId="58F3BC4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198A59B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Smoking</w:t>
            </w:r>
          </w:p>
        </w:tc>
        <w:tc>
          <w:tcPr>
            <w:tcW w:w="2880" w:type="dxa"/>
          </w:tcPr>
          <w:p w14:paraId="6B9F9EB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65997E6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C93AC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DD182ED" w14:textId="77777777" w:rsidTr="00EC162C">
        <w:trPr>
          <w:jc w:val="center"/>
        </w:trPr>
        <w:tc>
          <w:tcPr>
            <w:tcW w:w="2880" w:type="dxa"/>
          </w:tcPr>
          <w:p w14:paraId="06838BA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7F91428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Alcohol consumption</w:t>
            </w:r>
          </w:p>
        </w:tc>
        <w:tc>
          <w:tcPr>
            <w:tcW w:w="2880" w:type="dxa"/>
          </w:tcPr>
          <w:p w14:paraId="02B161F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6A07705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398</w:t>
            </w:r>
          </w:p>
        </w:tc>
        <w:tc>
          <w:tcPr>
            <w:tcW w:w="2880" w:type="dxa"/>
          </w:tcPr>
          <w:p w14:paraId="3A6D4A8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5.87%</w:t>
            </w:r>
          </w:p>
        </w:tc>
      </w:tr>
      <w:tr w:rsidR="003F06A1" w:rsidRPr="00EC162C" w14:paraId="3FBBA4FF" w14:textId="77777777" w:rsidTr="00EC162C">
        <w:trPr>
          <w:jc w:val="center"/>
        </w:trPr>
        <w:tc>
          <w:tcPr>
            <w:tcW w:w="2880" w:type="dxa"/>
          </w:tcPr>
          <w:p w14:paraId="39987C1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29DC53F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Body mass index</w:t>
            </w:r>
          </w:p>
        </w:tc>
        <w:tc>
          <w:tcPr>
            <w:tcW w:w="2880" w:type="dxa"/>
          </w:tcPr>
          <w:p w14:paraId="048E28F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5CC727D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1107</w:t>
            </w:r>
          </w:p>
        </w:tc>
        <w:tc>
          <w:tcPr>
            <w:tcW w:w="2880" w:type="dxa"/>
          </w:tcPr>
          <w:p w14:paraId="5F50F45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16.32%</w:t>
            </w:r>
          </w:p>
        </w:tc>
      </w:tr>
      <w:tr w:rsidR="003F06A1" w:rsidRPr="00EC162C" w14:paraId="5D7FD8E7" w14:textId="77777777" w:rsidTr="00EC162C">
        <w:trPr>
          <w:jc w:val="center"/>
        </w:trPr>
        <w:tc>
          <w:tcPr>
            <w:tcW w:w="2880" w:type="dxa"/>
          </w:tcPr>
          <w:p w14:paraId="1CB5A53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7F906CB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Chronic disease burden</w:t>
            </w:r>
          </w:p>
        </w:tc>
        <w:tc>
          <w:tcPr>
            <w:tcW w:w="2880" w:type="dxa"/>
          </w:tcPr>
          <w:p w14:paraId="62A6E5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37C1E41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2457F5D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5114D9B" w14:textId="77777777" w:rsidTr="00EC162C">
        <w:trPr>
          <w:jc w:val="center"/>
        </w:trPr>
        <w:tc>
          <w:tcPr>
            <w:tcW w:w="2880" w:type="dxa"/>
          </w:tcPr>
          <w:p w14:paraId="0CB109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7ED5EA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Physical activity</w:t>
            </w:r>
          </w:p>
        </w:tc>
        <w:tc>
          <w:tcPr>
            <w:tcW w:w="2880" w:type="dxa"/>
          </w:tcPr>
          <w:p w14:paraId="6F7F620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04E0D14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419</w:t>
            </w:r>
          </w:p>
        </w:tc>
        <w:tc>
          <w:tcPr>
            <w:tcW w:w="2880" w:type="dxa"/>
          </w:tcPr>
          <w:p w14:paraId="3FCA75A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6.18%</w:t>
            </w:r>
          </w:p>
        </w:tc>
      </w:tr>
      <w:tr w:rsidR="003F06A1" w:rsidRPr="00EC162C" w14:paraId="7E9954A2" w14:textId="77777777" w:rsidTr="00EC162C">
        <w:trPr>
          <w:jc w:val="center"/>
        </w:trPr>
        <w:tc>
          <w:tcPr>
            <w:tcW w:w="2880" w:type="dxa"/>
          </w:tcPr>
          <w:p w14:paraId="13DB12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565D736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ADL/IADL limitation score</w:t>
            </w:r>
          </w:p>
        </w:tc>
        <w:tc>
          <w:tcPr>
            <w:tcW w:w="2880" w:type="dxa"/>
          </w:tcPr>
          <w:p w14:paraId="5A21E20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60EA1B8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102F388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22EDBF6C" w14:textId="77777777" w:rsidTr="00EC162C">
        <w:trPr>
          <w:jc w:val="center"/>
        </w:trPr>
        <w:tc>
          <w:tcPr>
            <w:tcW w:w="2880" w:type="dxa"/>
          </w:tcPr>
          <w:p w14:paraId="5B50BBC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4340443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Socioeconomic status score</w:t>
            </w:r>
          </w:p>
        </w:tc>
        <w:tc>
          <w:tcPr>
            <w:tcW w:w="2880" w:type="dxa"/>
          </w:tcPr>
          <w:p w14:paraId="1385CF0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0F64A36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103</w:t>
            </w:r>
          </w:p>
        </w:tc>
        <w:tc>
          <w:tcPr>
            <w:tcW w:w="2880" w:type="dxa"/>
          </w:tcPr>
          <w:p w14:paraId="22DD680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1.52%</w:t>
            </w:r>
          </w:p>
        </w:tc>
      </w:tr>
      <w:tr w:rsidR="003F06A1" w:rsidRPr="00EC162C" w14:paraId="0EE8E2A9" w14:textId="77777777" w:rsidTr="00EC162C">
        <w:trPr>
          <w:jc w:val="center"/>
        </w:trPr>
        <w:tc>
          <w:tcPr>
            <w:tcW w:w="2880" w:type="dxa"/>
          </w:tcPr>
          <w:p w14:paraId="15D560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35D11B6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Baseline depressive symptom score</w:t>
            </w:r>
          </w:p>
        </w:tc>
        <w:tc>
          <w:tcPr>
            <w:tcW w:w="2880" w:type="dxa"/>
          </w:tcPr>
          <w:p w14:paraId="3214D6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6471BF5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AC5BCC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3FDB8A00" w14:textId="77777777" w:rsidTr="00EC162C">
        <w:trPr>
          <w:jc w:val="center"/>
        </w:trPr>
        <w:tc>
          <w:tcPr>
            <w:tcW w:w="2880" w:type="dxa"/>
          </w:tcPr>
          <w:p w14:paraId="174C2D5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6073073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Vision change category</w:t>
            </w:r>
          </w:p>
        </w:tc>
        <w:tc>
          <w:tcPr>
            <w:tcW w:w="2880" w:type="dxa"/>
          </w:tcPr>
          <w:p w14:paraId="37E8A8D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73A1199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066085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Main exposure classification available in analytic rows</w:t>
            </w:r>
          </w:p>
        </w:tc>
      </w:tr>
      <w:tr w:rsidR="003F06A1" w:rsidRPr="00EC162C" w14:paraId="2D1FA3B3" w14:textId="77777777" w:rsidTr="00EC162C">
        <w:trPr>
          <w:jc w:val="center"/>
        </w:trPr>
        <w:tc>
          <w:tcPr>
            <w:tcW w:w="2880" w:type="dxa"/>
          </w:tcPr>
          <w:p w14:paraId="6449E78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2880" w:type="dxa"/>
          </w:tcPr>
          <w:p w14:paraId="02443BD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Incident depressive symptoms</w:t>
            </w:r>
          </w:p>
        </w:tc>
        <w:tc>
          <w:tcPr>
            <w:tcW w:w="2880" w:type="dxa"/>
          </w:tcPr>
          <w:p w14:paraId="0EB7EB5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2880" w:type="dxa"/>
          </w:tcPr>
          <w:p w14:paraId="40CB37D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F2A843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Outcome available in analytic rows</w:t>
            </w:r>
          </w:p>
        </w:tc>
      </w:tr>
      <w:tr w:rsidR="003F06A1" w:rsidRPr="00EC162C" w14:paraId="56DD48D7" w14:textId="77777777" w:rsidTr="00EC162C">
        <w:trPr>
          <w:jc w:val="center"/>
        </w:trPr>
        <w:tc>
          <w:tcPr>
            <w:tcW w:w="2880" w:type="dxa"/>
          </w:tcPr>
          <w:p w14:paraId="31D7E2D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42254F2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Age</w:t>
            </w:r>
          </w:p>
        </w:tc>
        <w:tc>
          <w:tcPr>
            <w:tcW w:w="2880" w:type="dxa"/>
          </w:tcPr>
          <w:p w14:paraId="2C5991B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0337BC1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0C37E1C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3F68F378" w14:textId="77777777" w:rsidTr="00EC162C">
        <w:trPr>
          <w:jc w:val="center"/>
        </w:trPr>
        <w:tc>
          <w:tcPr>
            <w:tcW w:w="2880" w:type="dxa"/>
          </w:tcPr>
          <w:p w14:paraId="02403D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758E07F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Sex</w:t>
            </w:r>
          </w:p>
        </w:tc>
        <w:tc>
          <w:tcPr>
            <w:tcW w:w="2880" w:type="dxa"/>
          </w:tcPr>
          <w:p w14:paraId="64D4ED1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57998D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38C3824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F4E82B3" w14:textId="77777777" w:rsidTr="00EC162C">
        <w:trPr>
          <w:jc w:val="center"/>
        </w:trPr>
        <w:tc>
          <w:tcPr>
            <w:tcW w:w="2880" w:type="dxa"/>
          </w:tcPr>
          <w:p w14:paraId="3851261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1C2F6F5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Education</w:t>
            </w:r>
          </w:p>
        </w:tc>
        <w:tc>
          <w:tcPr>
            <w:tcW w:w="2880" w:type="dxa"/>
          </w:tcPr>
          <w:p w14:paraId="62CE2E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1AEAEB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169B4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15D7652" w14:textId="77777777" w:rsidTr="00EC162C">
        <w:trPr>
          <w:jc w:val="center"/>
        </w:trPr>
        <w:tc>
          <w:tcPr>
            <w:tcW w:w="2880" w:type="dxa"/>
          </w:tcPr>
          <w:p w14:paraId="51F8D30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51C3E69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Marital status</w:t>
            </w:r>
          </w:p>
        </w:tc>
        <w:tc>
          <w:tcPr>
            <w:tcW w:w="2880" w:type="dxa"/>
          </w:tcPr>
          <w:p w14:paraId="63721A2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2B62283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FAD2B2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48FA144" w14:textId="77777777" w:rsidTr="00EC162C">
        <w:trPr>
          <w:jc w:val="center"/>
        </w:trPr>
        <w:tc>
          <w:tcPr>
            <w:tcW w:w="2880" w:type="dxa"/>
          </w:tcPr>
          <w:p w14:paraId="59910B1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2C627ED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Smoking</w:t>
            </w:r>
          </w:p>
        </w:tc>
        <w:tc>
          <w:tcPr>
            <w:tcW w:w="2880" w:type="dxa"/>
          </w:tcPr>
          <w:p w14:paraId="59A9CF8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628A854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7286AA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65382E5" w14:textId="77777777" w:rsidTr="00EC162C">
        <w:trPr>
          <w:jc w:val="center"/>
        </w:trPr>
        <w:tc>
          <w:tcPr>
            <w:tcW w:w="2880" w:type="dxa"/>
          </w:tcPr>
          <w:p w14:paraId="752A946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7D8D1AE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Alcohol consumption</w:t>
            </w:r>
          </w:p>
        </w:tc>
        <w:tc>
          <w:tcPr>
            <w:tcW w:w="2880" w:type="dxa"/>
          </w:tcPr>
          <w:p w14:paraId="294EBD5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4CC31C0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4164B4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C3B2F69" w14:textId="77777777" w:rsidTr="00EC162C">
        <w:trPr>
          <w:jc w:val="center"/>
        </w:trPr>
        <w:tc>
          <w:tcPr>
            <w:tcW w:w="2880" w:type="dxa"/>
          </w:tcPr>
          <w:p w14:paraId="1CD14E6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24B99CA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Body mass index</w:t>
            </w:r>
          </w:p>
        </w:tc>
        <w:tc>
          <w:tcPr>
            <w:tcW w:w="2880" w:type="dxa"/>
          </w:tcPr>
          <w:p w14:paraId="7FBADD2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3EC3D78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7A2FF0F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2707F75A" w14:textId="77777777" w:rsidTr="00EC162C">
        <w:trPr>
          <w:jc w:val="center"/>
        </w:trPr>
        <w:tc>
          <w:tcPr>
            <w:tcW w:w="2880" w:type="dxa"/>
          </w:tcPr>
          <w:p w14:paraId="25968B5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1B6B506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Chronic disease burden</w:t>
            </w:r>
          </w:p>
        </w:tc>
        <w:tc>
          <w:tcPr>
            <w:tcW w:w="2880" w:type="dxa"/>
          </w:tcPr>
          <w:p w14:paraId="7EF97A0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43CB583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B04824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A1C905B" w14:textId="77777777" w:rsidTr="00EC162C">
        <w:trPr>
          <w:jc w:val="center"/>
        </w:trPr>
        <w:tc>
          <w:tcPr>
            <w:tcW w:w="2880" w:type="dxa"/>
          </w:tcPr>
          <w:p w14:paraId="77A90BD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2B38104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Physical activity</w:t>
            </w:r>
          </w:p>
        </w:tc>
        <w:tc>
          <w:tcPr>
            <w:tcW w:w="2880" w:type="dxa"/>
          </w:tcPr>
          <w:p w14:paraId="20D506E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27768B9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09D6A24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43516BFD" w14:textId="77777777" w:rsidTr="00EC162C">
        <w:trPr>
          <w:jc w:val="center"/>
        </w:trPr>
        <w:tc>
          <w:tcPr>
            <w:tcW w:w="2880" w:type="dxa"/>
          </w:tcPr>
          <w:p w14:paraId="04DAB1A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54DD14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ADL/IADL limitation score</w:t>
            </w:r>
          </w:p>
        </w:tc>
        <w:tc>
          <w:tcPr>
            <w:tcW w:w="2880" w:type="dxa"/>
          </w:tcPr>
          <w:p w14:paraId="4060AB4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5796E24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273E62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462831B" w14:textId="77777777" w:rsidTr="00EC162C">
        <w:trPr>
          <w:jc w:val="center"/>
        </w:trPr>
        <w:tc>
          <w:tcPr>
            <w:tcW w:w="2880" w:type="dxa"/>
          </w:tcPr>
          <w:p w14:paraId="25A8B27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53D4164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Socioeconomic status score</w:t>
            </w:r>
          </w:p>
        </w:tc>
        <w:tc>
          <w:tcPr>
            <w:tcW w:w="2880" w:type="dxa"/>
          </w:tcPr>
          <w:p w14:paraId="0A66F2A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2A7833E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06D18E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4203CDBA" w14:textId="77777777" w:rsidTr="00EC162C">
        <w:trPr>
          <w:jc w:val="center"/>
        </w:trPr>
        <w:tc>
          <w:tcPr>
            <w:tcW w:w="2880" w:type="dxa"/>
          </w:tcPr>
          <w:p w14:paraId="624C8D6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2DDAA10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Baseline depressive symptom score</w:t>
            </w:r>
          </w:p>
        </w:tc>
        <w:tc>
          <w:tcPr>
            <w:tcW w:w="2880" w:type="dxa"/>
          </w:tcPr>
          <w:p w14:paraId="375FA0B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6AA5884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B694EE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3C167639" w14:textId="77777777" w:rsidTr="00EC162C">
        <w:trPr>
          <w:jc w:val="center"/>
        </w:trPr>
        <w:tc>
          <w:tcPr>
            <w:tcW w:w="2880" w:type="dxa"/>
          </w:tcPr>
          <w:p w14:paraId="26F8373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1B6AAF8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Vision change category</w:t>
            </w:r>
          </w:p>
        </w:tc>
        <w:tc>
          <w:tcPr>
            <w:tcW w:w="2880" w:type="dxa"/>
          </w:tcPr>
          <w:p w14:paraId="66DD1F5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4C074CA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F138D0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Main exposure classification available in analytic rows</w:t>
            </w:r>
          </w:p>
        </w:tc>
      </w:tr>
      <w:tr w:rsidR="003F06A1" w:rsidRPr="00EC162C" w14:paraId="129E15BA" w14:textId="77777777" w:rsidTr="00EC162C">
        <w:trPr>
          <w:jc w:val="center"/>
        </w:trPr>
        <w:tc>
          <w:tcPr>
            <w:tcW w:w="2880" w:type="dxa"/>
          </w:tcPr>
          <w:p w14:paraId="44C24E6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2880" w:type="dxa"/>
          </w:tcPr>
          <w:p w14:paraId="6D45F21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Incident depressive symptoms</w:t>
            </w:r>
          </w:p>
        </w:tc>
        <w:tc>
          <w:tcPr>
            <w:tcW w:w="2880" w:type="dxa"/>
          </w:tcPr>
          <w:p w14:paraId="2F65838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2880" w:type="dxa"/>
          </w:tcPr>
          <w:p w14:paraId="6473687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3A7AC32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Outcome available in analytic rows</w:t>
            </w:r>
          </w:p>
        </w:tc>
      </w:tr>
      <w:tr w:rsidR="003F06A1" w:rsidRPr="00EC162C" w14:paraId="095A5F2B" w14:textId="77777777" w:rsidTr="00EC162C">
        <w:trPr>
          <w:jc w:val="center"/>
        </w:trPr>
        <w:tc>
          <w:tcPr>
            <w:tcW w:w="2880" w:type="dxa"/>
          </w:tcPr>
          <w:p w14:paraId="55B4308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7CB6681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Age</w:t>
            </w:r>
          </w:p>
        </w:tc>
        <w:tc>
          <w:tcPr>
            <w:tcW w:w="2880" w:type="dxa"/>
          </w:tcPr>
          <w:p w14:paraId="7CC4D56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263CE67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0961D5F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69647B1" w14:textId="77777777" w:rsidTr="00EC162C">
        <w:trPr>
          <w:jc w:val="center"/>
        </w:trPr>
        <w:tc>
          <w:tcPr>
            <w:tcW w:w="2880" w:type="dxa"/>
          </w:tcPr>
          <w:p w14:paraId="6B01A07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387565F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Sex</w:t>
            </w:r>
          </w:p>
        </w:tc>
        <w:tc>
          <w:tcPr>
            <w:tcW w:w="2880" w:type="dxa"/>
          </w:tcPr>
          <w:p w14:paraId="0AD4CCA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20BC176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ADACA7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2CA83AD" w14:textId="77777777" w:rsidTr="00EC162C">
        <w:trPr>
          <w:jc w:val="center"/>
        </w:trPr>
        <w:tc>
          <w:tcPr>
            <w:tcW w:w="2880" w:type="dxa"/>
          </w:tcPr>
          <w:p w14:paraId="2E4932E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4933C8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Education</w:t>
            </w:r>
          </w:p>
        </w:tc>
        <w:tc>
          <w:tcPr>
            <w:tcW w:w="2880" w:type="dxa"/>
          </w:tcPr>
          <w:p w14:paraId="629804C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7CFBC86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6243817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7AF44B5" w14:textId="77777777" w:rsidTr="00EC162C">
        <w:trPr>
          <w:jc w:val="center"/>
        </w:trPr>
        <w:tc>
          <w:tcPr>
            <w:tcW w:w="2880" w:type="dxa"/>
          </w:tcPr>
          <w:p w14:paraId="3E2A6EB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7CE57D4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Marital status</w:t>
            </w:r>
          </w:p>
        </w:tc>
        <w:tc>
          <w:tcPr>
            <w:tcW w:w="2880" w:type="dxa"/>
          </w:tcPr>
          <w:p w14:paraId="0B02F13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0AEDAE1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B3B942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178B48D0" w14:textId="77777777" w:rsidTr="00EC162C">
        <w:trPr>
          <w:jc w:val="center"/>
        </w:trPr>
        <w:tc>
          <w:tcPr>
            <w:tcW w:w="2880" w:type="dxa"/>
          </w:tcPr>
          <w:p w14:paraId="39EB917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1D39826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Smoking</w:t>
            </w:r>
          </w:p>
        </w:tc>
        <w:tc>
          <w:tcPr>
            <w:tcW w:w="2880" w:type="dxa"/>
          </w:tcPr>
          <w:p w14:paraId="424BF43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76E4E38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5F9B46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CB3D458" w14:textId="77777777" w:rsidTr="00EC162C">
        <w:trPr>
          <w:jc w:val="center"/>
        </w:trPr>
        <w:tc>
          <w:tcPr>
            <w:tcW w:w="2880" w:type="dxa"/>
          </w:tcPr>
          <w:p w14:paraId="5575022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04E104B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Alcohol consumption</w:t>
            </w:r>
          </w:p>
        </w:tc>
        <w:tc>
          <w:tcPr>
            <w:tcW w:w="2880" w:type="dxa"/>
          </w:tcPr>
          <w:p w14:paraId="477E92D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5DD3D19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221D64E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08786061" w14:textId="77777777" w:rsidTr="00EC162C">
        <w:trPr>
          <w:jc w:val="center"/>
        </w:trPr>
        <w:tc>
          <w:tcPr>
            <w:tcW w:w="2880" w:type="dxa"/>
          </w:tcPr>
          <w:p w14:paraId="79E60E2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09BAEF3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Body mass index</w:t>
            </w:r>
          </w:p>
        </w:tc>
        <w:tc>
          <w:tcPr>
            <w:tcW w:w="2880" w:type="dxa"/>
          </w:tcPr>
          <w:p w14:paraId="637848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1892A98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D7E7C6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801E254" w14:textId="77777777" w:rsidTr="00EC162C">
        <w:trPr>
          <w:jc w:val="center"/>
        </w:trPr>
        <w:tc>
          <w:tcPr>
            <w:tcW w:w="2880" w:type="dxa"/>
          </w:tcPr>
          <w:p w14:paraId="0D16299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2646D3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Chronic disease burden</w:t>
            </w:r>
          </w:p>
        </w:tc>
        <w:tc>
          <w:tcPr>
            <w:tcW w:w="2880" w:type="dxa"/>
          </w:tcPr>
          <w:p w14:paraId="063C58C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5425A60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36014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C1EC15E" w14:textId="77777777" w:rsidTr="00EC162C">
        <w:trPr>
          <w:jc w:val="center"/>
        </w:trPr>
        <w:tc>
          <w:tcPr>
            <w:tcW w:w="2880" w:type="dxa"/>
          </w:tcPr>
          <w:p w14:paraId="5B54A0A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HRS</w:t>
            </w:r>
          </w:p>
        </w:tc>
        <w:tc>
          <w:tcPr>
            <w:tcW w:w="2880" w:type="dxa"/>
          </w:tcPr>
          <w:p w14:paraId="58A5303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Physical activity</w:t>
            </w:r>
          </w:p>
        </w:tc>
        <w:tc>
          <w:tcPr>
            <w:tcW w:w="2880" w:type="dxa"/>
          </w:tcPr>
          <w:p w14:paraId="5436A0B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4EC163C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Not in final HRS Model 2</w:t>
            </w:r>
          </w:p>
        </w:tc>
        <w:tc>
          <w:tcPr>
            <w:tcW w:w="2880" w:type="dxa"/>
          </w:tcPr>
          <w:p w14:paraId="6C1E93F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Omitted because no variation in the complete-case analytic sample</w:t>
            </w:r>
          </w:p>
        </w:tc>
      </w:tr>
      <w:tr w:rsidR="003F06A1" w:rsidRPr="00EC162C" w14:paraId="4970339F" w14:textId="77777777" w:rsidTr="00EC162C">
        <w:trPr>
          <w:jc w:val="center"/>
        </w:trPr>
        <w:tc>
          <w:tcPr>
            <w:tcW w:w="2880" w:type="dxa"/>
          </w:tcPr>
          <w:p w14:paraId="72ED292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0F50E70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ADL/IADL limitation score</w:t>
            </w:r>
          </w:p>
        </w:tc>
        <w:tc>
          <w:tcPr>
            <w:tcW w:w="2880" w:type="dxa"/>
          </w:tcPr>
          <w:p w14:paraId="2DBBEF5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1DDA3A8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5804C11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E2D29DB" w14:textId="77777777" w:rsidTr="00EC162C">
        <w:trPr>
          <w:jc w:val="center"/>
        </w:trPr>
        <w:tc>
          <w:tcPr>
            <w:tcW w:w="2880" w:type="dxa"/>
          </w:tcPr>
          <w:p w14:paraId="707931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74654F4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Socioeconomic status score</w:t>
            </w:r>
          </w:p>
        </w:tc>
        <w:tc>
          <w:tcPr>
            <w:tcW w:w="2880" w:type="dxa"/>
          </w:tcPr>
          <w:p w14:paraId="6DA058B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3B79898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09CE5E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50C62D10" w14:textId="77777777" w:rsidTr="00EC162C">
        <w:trPr>
          <w:jc w:val="center"/>
        </w:trPr>
        <w:tc>
          <w:tcPr>
            <w:tcW w:w="2880" w:type="dxa"/>
          </w:tcPr>
          <w:p w14:paraId="05ABAD5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2624F8C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Baseline depressive symptom score</w:t>
            </w:r>
          </w:p>
        </w:tc>
        <w:tc>
          <w:tcPr>
            <w:tcW w:w="2880" w:type="dxa"/>
          </w:tcPr>
          <w:p w14:paraId="7369E4C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4079ABD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16C2F88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0.00%</w:t>
            </w:r>
          </w:p>
        </w:tc>
      </w:tr>
      <w:tr w:rsidR="003F06A1" w:rsidRPr="00EC162C" w14:paraId="695EC44B" w14:textId="77777777" w:rsidTr="00EC162C">
        <w:trPr>
          <w:jc w:val="center"/>
        </w:trPr>
        <w:tc>
          <w:tcPr>
            <w:tcW w:w="2880" w:type="dxa"/>
          </w:tcPr>
          <w:p w14:paraId="5DBB919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7FCDDC7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Vision change category</w:t>
            </w:r>
          </w:p>
        </w:tc>
        <w:tc>
          <w:tcPr>
            <w:tcW w:w="2880" w:type="dxa"/>
          </w:tcPr>
          <w:p w14:paraId="1790D14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29B93BE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423AEB3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Main exposure classification available in analytic rows</w:t>
            </w:r>
          </w:p>
        </w:tc>
      </w:tr>
      <w:tr w:rsidR="003F06A1" w:rsidRPr="00EC162C" w14:paraId="5D141C8E" w14:textId="77777777" w:rsidTr="00EC162C">
        <w:trPr>
          <w:jc w:val="center"/>
        </w:trPr>
        <w:tc>
          <w:tcPr>
            <w:tcW w:w="2880" w:type="dxa"/>
          </w:tcPr>
          <w:p w14:paraId="739D62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2880" w:type="dxa"/>
          </w:tcPr>
          <w:p w14:paraId="77CE94B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Incident depressive symptoms</w:t>
            </w:r>
          </w:p>
        </w:tc>
        <w:tc>
          <w:tcPr>
            <w:tcW w:w="2880" w:type="dxa"/>
          </w:tcPr>
          <w:p w14:paraId="4B2B8F7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2880" w:type="dxa"/>
          </w:tcPr>
          <w:p w14:paraId="612A91A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2880" w:type="dxa"/>
          </w:tcPr>
          <w:p w14:paraId="3921B47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Outcome available in analytic rows</w:t>
            </w:r>
          </w:p>
        </w:tc>
      </w:tr>
    </w:tbl>
    <w:p w14:paraId="679854B1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59F5F3B9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4B93EFDA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lastRenderedPageBreak/>
        <w:t>Table S3. Four-cohort covariate multiple-imputation sensitivity analysis for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034"/>
        <w:gridCol w:w="960"/>
        <w:gridCol w:w="960"/>
        <w:gridCol w:w="1074"/>
      </w:tblGrid>
      <w:tr w:rsidR="003F06A1" w:rsidRPr="00EC162C" w14:paraId="69490286" w14:textId="77777777" w:rsidTr="00EC162C">
        <w:trPr>
          <w:jc w:val="center"/>
        </w:trPr>
        <w:tc>
          <w:tcPr>
            <w:tcW w:w="960" w:type="dxa"/>
            <w:tcBorders>
              <w:bottom w:val="single" w:sz="6" w:space="0" w:color="auto"/>
            </w:tcBorders>
          </w:tcPr>
          <w:p w14:paraId="05654A6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Cohort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19E3FA7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Exposure contrast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5A0D08D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Primary estimator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4118F6D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Primary N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75C3AFE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Primary events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6F3F805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Primary OR (95% CI)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722C55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Primary </w:t>
            </w:r>
            <w:r w:rsidRPr="00EC162C">
              <w:rPr>
                <w:rFonts w:ascii="Times New Roman" w:hAnsi="Times New Roman" w:cs="Times New Roman"/>
                <w:b/>
                <w:i/>
                <w:sz w:val="16"/>
              </w:rPr>
              <w:t>P</w:t>
            </w: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 value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29C63D3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MI sensitivity N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35273AD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MI sensitivity events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3D08944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MI sensitivity OR (95% CI)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0D2E648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MI sensitivity </w:t>
            </w:r>
            <w:r w:rsidRPr="00EC162C">
              <w:rPr>
                <w:rFonts w:ascii="Times New Roman" w:hAnsi="Times New Roman" w:cs="Times New Roman"/>
                <w:b/>
                <w:i/>
                <w:sz w:val="16"/>
              </w:rPr>
              <w:t>P</w:t>
            </w: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 value</w:t>
            </w:r>
          </w:p>
        </w:tc>
        <w:tc>
          <w:tcPr>
            <w:tcW w:w="1034" w:type="dxa"/>
            <w:tcBorders>
              <w:bottom w:val="single" w:sz="6" w:space="0" w:color="auto"/>
            </w:tcBorders>
          </w:tcPr>
          <w:p w14:paraId="47D27F7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Approx. fraction missing information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71716A9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Log OR difference, MI minus primary</w:t>
            </w:r>
          </w:p>
        </w:tc>
        <w:tc>
          <w:tcPr>
            <w:tcW w:w="960" w:type="dxa"/>
            <w:tcBorders>
              <w:bottom w:val="single" w:sz="6" w:space="0" w:color="auto"/>
            </w:tcBorders>
          </w:tcPr>
          <w:p w14:paraId="271446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Direction consistent</w:t>
            </w:r>
          </w:p>
        </w:tc>
        <w:tc>
          <w:tcPr>
            <w:tcW w:w="1074" w:type="dxa"/>
            <w:tcBorders>
              <w:bottom w:val="single" w:sz="6" w:space="0" w:color="auto"/>
            </w:tcBorders>
          </w:tcPr>
          <w:p w14:paraId="4FF0F08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Notes</w:t>
            </w:r>
          </w:p>
        </w:tc>
      </w:tr>
      <w:tr w:rsidR="003F06A1" w:rsidRPr="00EC162C" w14:paraId="340D3784" w14:textId="77777777" w:rsidTr="00EC162C">
        <w:trPr>
          <w:jc w:val="center"/>
        </w:trPr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30F2BC7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6B34659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542A153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6D7CC43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66800E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1633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59B1934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1.56 (1.15-2.10)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0C6C464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0.004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30D064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7791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4599A19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1744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31D97AF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1.52 (1.14-2.01)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7F4F56C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0.004</w:t>
            </w:r>
          </w:p>
        </w:tc>
        <w:tc>
          <w:tcPr>
            <w:tcW w:w="1034" w:type="dxa"/>
            <w:tcBorders>
              <w:top w:val="single" w:sz="6" w:space="0" w:color="auto"/>
              <w:bottom w:val="nil"/>
            </w:tcBorders>
          </w:tcPr>
          <w:p w14:paraId="21C0221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0.0001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62E8056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-0.026</w:t>
            </w:r>
          </w:p>
        </w:tc>
        <w:tc>
          <w:tcPr>
            <w:tcW w:w="960" w:type="dxa"/>
            <w:tcBorders>
              <w:top w:val="single" w:sz="6" w:space="0" w:color="auto"/>
              <w:bottom w:val="nil"/>
            </w:tcBorders>
          </w:tcPr>
          <w:p w14:paraId="7A23F35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  <w:tcBorders>
              <w:top w:val="single" w:sz="6" w:space="0" w:color="auto"/>
              <w:bottom w:val="nil"/>
            </w:tcBorders>
          </w:tcPr>
          <w:p w14:paraId="503C4AC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excludes physical activity, matching the CHARLS main Model 2 because physical activity has structural high missingness.</w:t>
            </w:r>
          </w:p>
        </w:tc>
      </w:tr>
      <w:tr w:rsidR="003F06A1" w:rsidRPr="00EC162C" w14:paraId="7D01DCA1" w14:textId="77777777" w:rsidTr="00EC162C">
        <w:trPr>
          <w:jc w:val="center"/>
        </w:trPr>
        <w:tc>
          <w:tcPr>
            <w:tcW w:w="960" w:type="dxa"/>
            <w:tcBorders>
              <w:top w:val="nil"/>
            </w:tcBorders>
          </w:tcPr>
          <w:p w14:paraId="7A17958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960" w:type="dxa"/>
            <w:tcBorders>
              <w:top w:val="nil"/>
            </w:tcBorders>
          </w:tcPr>
          <w:p w14:paraId="75D015F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960" w:type="dxa"/>
            <w:tcBorders>
              <w:top w:val="nil"/>
            </w:tcBorders>
          </w:tcPr>
          <w:p w14:paraId="4AE767F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  <w:tcBorders>
              <w:top w:val="nil"/>
            </w:tcBorders>
          </w:tcPr>
          <w:p w14:paraId="2A8B5FD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960" w:type="dxa"/>
            <w:tcBorders>
              <w:top w:val="nil"/>
            </w:tcBorders>
          </w:tcPr>
          <w:p w14:paraId="3FE8AC6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1633</w:t>
            </w:r>
          </w:p>
        </w:tc>
        <w:tc>
          <w:tcPr>
            <w:tcW w:w="960" w:type="dxa"/>
            <w:tcBorders>
              <w:top w:val="nil"/>
            </w:tcBorders>
          </w:tcPr>
          <w:p w14:paraId="5C2A911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1.71 (1.32-2.21)</w:t>
            </w:r>
          </w:p>
        </w:tc>
        <w:tc>
          <w:tcPr>
            <w:tcW w:w="960" w:type="dxa"/>
            <w:tcBorders>
              <w:top w:val="nil"/>
            </w:tcBorders>
          </w:tcPr>
          <w:p w14:paraId="680DA0A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  <w:tcBorders>
              <w:top w:val="nil"/>
            </w:tcBorders>
          </w:tcPr>
          <w:p w14:paraId="6DD943C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7791</w:t>
            </w:r>
          </w:p>
        </w:tc>
        <w:tc>
          <w:tcPr>
            <w:tcW w:w="960" w:type="dxa"/>
            <w:tcBorders>
              <w:top w:val="nil"/>
            </w:tcBorders>
          </w:tcPr>
          <w:p w14:paraId="430A98C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1744</w:t>
            </w:r>
          </w:p>
        </w:tc>
        <w:tc>
          <w:tcPr>
            <w:tcW w:w="960" w:type="dxa"/>
            <w:tcBorders>
              <w:top w:val="nil"/>
            </w:tcBorders>
          </w:tcPr>
          <w:p w14:paraId="08935E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1.72 (1.34-2.19)</w:t>
            </w:r>
          </w:p>
        </w:tc>
        <w:tc>
          <w:tcPr>
            <w:tcW w:w="960" w:type="dxa"/>
            <w:tcBorders>
              <w:top w:val="nil"/>
            </w:tcBorders>
          </w:tcPr>
          <w:p w14:paraId="18A7243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  <w:tcBorders>
              <w:top w:val="nil"/>
            </w:tcBorders>
          </w:tcPr>
          <w:p w14:paraId="5F25803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0.0001</w:t>
            </w:r>
          </w:p>
        </w:tc>
        <w:tc>
          <w:tcPr>
            <w:tcW w:w="960" w:type="dxa"/>
            <w:tcBorders>
              <w:top w:val="nil"/>
            </w:tcBorders>
          </w:tcPr>
          <w:p w14:paraId="3CB3975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0.0039</w:t>
            </w:r>
          </w:p>
        </w:tc>
        <w:tc>
          <w:tcPr>
            <w:tcW w:w="960" w:type="dxa"/>
            <w:tcBorders>
              <w:top w:val="nil"/>
            </w:tcBorders>
          </w:tcPr>
          <w:p w14:paraId="50C1BFA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  <w:tcBorders>
              <w:top w:val="nil"/>
            </w:tcBorders>
          </w:tcPr>
          <w:p w14:paraId="33E1EB0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excludes physical activity, matching the CHARLS main Model 2 because physical activity has structural high missingness.</w:t>
            </w:r>
          </w:p>
        </w:tc>
      </w:tr>
      <w:tr w:rsidR="003F06A1" w:rsidRPr="00EC162C" w14:paraId="038A2A22" w14:textId="77777777" w:rsidTr="00EC162C">
        <w:trPr>
          <w:jc w:val="center"/>
        </w:trPr>
        <w:tc>
          <w:tcPr>
            <w:tcW w:w="960" w:type="dxa"/>
          </w:tcPr>
          <w:p w14:paraId="4B7A071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960" w:type="dxa"/>
          </w:tcPr>
          <w:p w14:paraId="236E1DA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960" w:type="dxa"/>
          </w:tcPr>
          <w:p w14:paraId="52752B0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multiple-imputation Model 2</w:t>
            </w:r>
          </w:p>
        </w:tc>
        <w:tc>
          <w:tcPr>
            <w:tcW w:w="960" w:type="dxa"/>
          </w:tcPr>
          <w:p w14:paraId="740143D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960" w:type="dxa"/>
          </w:tcPr>
          <w:p w14:paraId="6F94C98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960" w:type="dxa"/>
          </w:tcPr>
          <w:p w14:paraId="3A0416E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1.70 (1.25-2.31)</w:t>
            </w:r>
          </w:p>
        </w:tc>
        <w:tc>
          <w:tcPr>
            <w:tcW w:w="960" w:type="dxa"/>
          </w:tcPr>
          <w:p w14:paraId="49EECA0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</w:tcPr>
          <w:p w14:paraId="68C90D9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960" w:type="dxa"/>
          </w:tcPr>
          <w:p w14:paraId="041A2EC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960" w:type="dxa"/>
          </w:tcPr>
          <w:p w14:paraId="7B8207A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1.70 (1.25-2.31)</w:t>
            </w:r>
          </w:p>
        </w:tc>
        <w:tc>
          <w:tcPr>
            <w:tcW w:w="960" w:type="dxa"/>
          </w:tcPr>
          <w:p w14:paraId="466C465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</w:tcPr>
          <w:p w14:paraId="42D36C1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0.0024</w:t>
            </w:r>
          </w:p>
        </w:tc>
        <w:tc>
          <w:tcPr>
            <w:tcW w:w="960" w:type="dxa"/>
          </w:tcPr>
          <w:p w14:paraId="43E7A60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60" w:type="dxa"/>
          </w:tcPr>
          <w:p w14:paraId="28D9EA7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4B046B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 uses the multiple-imputation Model 2 as the primary estimator because complete-case fitting would exclude a substantial share of the main sample.</w:t>
            </w:r>
          </w:p>
        </w:tc>
      </w:tr>
      <w:tr w:rsidR="003F06A1" w:rsidRPr="00EC162C" w14:paraId="2C3BBEFD" w14:textId="77777777" w:rsidTr="00EC162C">
        <w:trPr>
          <w:jc w:val="center"/>
        </w:trPr>
        <w:tc>
          <w:tcPr>
            <w:tcW w:w="960" w:type="dxa"/>
          </w:tcPr>
          <w:p w14:paraId="667F1E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960" w:type="dxa"/>
          </w:tcPr>
          <w:p w14:paraId="35B7D35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960" w:type="dxa"/>
          </w:tcPr>
          <w:p w14:paraId="6834826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multiple-imputation Model 2</w:t>
            </w:r>
          </w:p>
        </w:tc>
        <w:tc>
          <w:tcPr>
            <w:tcW w:w="960" w:type="dxa"/>
          </w:tcPr>
          <w:p w14:paraId="417ABD2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960" w:type="dxa"/>
          </w:tcPr>
          <w:p w14:paraId="1CB7229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960" w:type="dxa"/>
          </w:tcPr>
          <w:p w14:paraId="38B6AEC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1.37 (0.92-2.04)</w:t>
            </w:r>
          </w:p>
        </w:tc>
        <w:tc>
          <w:tcPr>
            <w:tcW w:w="960" w:type="dxa"/>
          </w:tcPr>
          <w:p w14:paraId="535C03C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0.119</w:t>
            </w:r>
          </w:p>
        </w:tc>
        <w:tc>
          <w:tcPr>
            <w:tcW w:w="960" w:type="dxa"/>
          </w:tcPr>
          <w:p w14:paraId="0C09A9F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960" w:type="dxa"/>
          </w:tcPr>
          <w:p w14:paraId="69C9EC7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960" w:type="dxa"/>
          </w:tcPr>
          <w:p w14:paraId="0281E14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1.37 (0.92-2.04)</w:t>
            </w:r>
          </w:p>
        </w:tc>
        <w:tc>
          <w:tcPr>
            <w:tcW w:w="960" w:type="dxa"/>
          </w:tcPr>
          <w:p w14:paraId="4BAD572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0.119</w:t>
            </w:r>
          </w:p>
        </w:tc>
        <w:tc>
          <w:tcPr>
            <w:tcW w:w="1034" w:type="dxa"/>
          </w:tcPr>
          <w:p w14:paraId="53F49F7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0.0044</w:t>
            </w:r>
          </w:p>
        </w:tc>
        <w:tc>
          <w:tcPr>
            <w:tcW w:w="960" w:type="dxa"/>
          </w:tcPr>
          <w:p w14:paraId="6A96D9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60" w:type="dxa"/>
          </w:tcPr>
          <w:p w14:paraId="3832FAF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16D2B37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 xml:space="preserve">ELSA uses the multiple-imputation Model 2 as the primary estimator because complete-case fitting would exclude a substantial share of the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main sample.</w:t>
            </w:r>
          </w:p>
        </w:tc>
      </w:tr>
      <w:tr w:rsidR="003F06A1" w:rsidRPr="00EC162C" w14:paraId="56E4E5F5" w14:textId="77777777" w:rsidTr="00EC162C">
        <w:trPr>
          <w:jc w:val="center"/>
        </w:trPr>
        <w:tc>
          <w:tcPr>
            <w:tcW w:w="960" w:type="dxa"/>
          </w:tcPr>
          <w:p w14:paraId="0B1AB2D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SHARE</w:t>
            </w:r>
          </w:p>
        </w:tc>
        <w:tc>
          <w:tcPr>
            <w:tcW w:w="960" w:type="dxa"/>
          </w:tcPr>
          <w:p w14:paraId="1A4B040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960" w:type="dxa"/>
          </w:tcPr>
          <w:p w14:paraId="4AE5221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</w:tcPr>
          <w:p w14:paraId="53594E4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960" w:type="dxa"/>
          </w:tcPr>
          <w:p w14:paraId="241DD58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3428</w:t>
            </w:r>
          </w:p>
        </w:tc>
        <w:tc>
          <w:tcPr>
            <w:tcW w:w="960" w:type="dxa"/>
          </w:tcPr>
          <w:p w14:paraId="2795C26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1.24 (1.11-1.39)</w:t>
            </w:r>
          </w:p>
        </w:tc>
        <w:tc>
          <w:tcPr>
            <w:tcW w:w="960" w:type="dxa"/>
          </w:tcPr>
          <w:p w14:paraId="374F0CB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</w:tcPr>
          <w:p w14:paraId="6EA847A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21498</w:t>
            </w:r>
          </w:p>
        </w:tc>
        <w:tc>
          <w:tcPr>
            <w:tcW w:w="960" w:type="dxa"/>
          </w:tcPr>
          <w:p w14:paraId="48D2F8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3533</w:t>
            </w:r>
          </w:p>
        </w:tc>
        <w:tc>
          <w:tcPr>
            <w:tcW w:w="960" w:type="dxa"/>
          </w:tcPr>
          <w:p w14:paraId="60826E0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1.26 (1.12-1.41)</w:t>
            </w:r>
          </w:p>
        </w:tc>
        <w:tc>
          <w:tcPr>
            <w:tcW w:w="960" w:type="dxa"/>
          </w:tcPr>
          <w:p w14:paraId="06C3C69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</w:tcPr>
          <w:p w14:paraId="1FA5F2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60" w:type="dxa"/>
          </w:tcPr>
          <w:p w14:paraId="3C6491A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0.0123</w:t>
            </w:r>
          </w:p>
        </w:tc>
        <w:tc>
          <w:tcPr>
            <w:tcW w:w="960" w:type="dxa"/>
          </w:tcPr>
          <w:p w14:paraId="7933EE8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5851D85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uses the same covariates as the SHARE complete-case Model 2.</w:t>
            </w:r>
          </w:p>
        </w:tc>
      </w:tr>
      <w:tr w:rsidR="003F06A1" w:rsidRPr="00EC162C" w14:paraId="47542103" w14:textId="77777777" w:rsidTr="00EC162C">
        <w:trPr>
          <w:jc w:val="center"/>
        </w:trPr>
        <w:tc>
          <w:tcPr>
            <w:tcW w:w="960" w:type="dxa"/>
          </w:tcPr>
          <w:p w14:paraId="2656C0D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960" w:type="dxa"/>
          </w:tcPr>
          <w:p w14:paraId="6931EED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960" w:type="dxa"/>
          </w:tcPr>
          <w:p w14:paraId="3BA3D6E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</w:tcPr>
          <w:p w14:paraId="1777B23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960" w:type="dxa"/>
          </w:tcPr>
          <w:p w14:paraId="65FB883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3428</w:t>
            </w:r>
          </w:p>
        </w:tc>
        <w:tc>
          <w:tcPr>
            <w:tcW w:w="960" w:type="dxa"/>
          </w:tcPr>
          <w:p w14:paraId="7DA6A43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1.34 (1.19-1.51)</w:t>
            </w:r>
          </w:p>
        </w:tc>
        <w:tc>
          <w:tcPr>
            <w:tcW w:w="960" w:type="dxa"/>
          </w:tcPr>
          <w:p w14:paraId="7CF5B45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</w:tcPr>
          <w:p w14:paraId="7913F41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21498</w:t>
            </w:r>
          </w:p>
        </w:tc>
        <w:tc>
          <w:tcPr>
            <w:tcW w:w="960" w:type="dxa"/>
          </w:tcPr>
          <w:p w14:paraId="0D8941F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3533</w:t>
            </w:r>
          </w:p>
        </w:tc>
        <w:tc>
          <w:tcPr>
            <w:tcW w:w="960" w:type="dxa"/>
          </w:tcPr>
          <w:p w14:paraId="65B4B8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1.34 (1.19-1.51)</w:t>
            </w:r>
          </w:p>
        </w:tc>
        <w:tc>
          <w:tcPr>
            <w:tcW w:w="960" w:type="dxa"/>
          </w:tcPr>
          <w:p w14:paraId="6126991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</w:tcPr>
          <w:p w14:paraId="20CCB88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960" w:type="dxa"/>
          </w:tcPr>
          <w:p w14:paraId="68D0592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0.0021</w:t>
            </w:r>
          </w:p>
        </w:tc>
        <w:tc>
          <w:tcPr>
            <w:tcW w:w="960" w:type="dxa"/>
          </w:tcPr>
          <w:p w14:paraId="1BF910E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3D0A185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uses the same covariates as the SHARE complete-case Model 2.</w:t>
            </w:r>
          </w:p>
        </w:tc>
      </w:tr>
      <w:tr w:rsidR="003F06A1" w:rsidRPr="00EC162C" w14:paraId="2E2693B7" w14:textId="77777777" w:rsidTr="00EC162C">
        <w:trPr>
          <w:jc w:val="center"/>
        </w:trPr>
        <w:tc>
          <w:tcPr>
            <w:tcW w:w="960" w:type="dxa"/>
          </w:tcPr>
          <w:p w14:paraId="0183496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960" w:type="dxa"/>
          </w:tcPr>
          <w:p w14:paraId="24A3E2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960" w:type="dxa"/>
          </w:tcPr>
          <w:p w14:paraId="3E23698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</w:tcPr>
          <w:p w14:paraId="6F93775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960" w:type="dxa"/>
          </w:tcPr>
          <w:p w14:paraId="0755C49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978</w:t>
            </w:r>
          </w:p>
        </w:tc>
        <w:tc>
          <w:tcPr>
            <w:tcW w:w="960" w:type="dxa"/>
          </w:tcPr>
          <w:p w14:paraId="0064482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1.56 (1.27-1.92)</w:t>
            </w:r>
          </w:p>
        </w:tc>
        <w:tc>
          <w:tcPr>
            <w:tcW w:w="960" w:type="dxa"/>
          </w:tcPr>
          <w:p w14:paraId="2230AB7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</w:tcPr>
          <w:p w14:paraId="402F40B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12489</w:t>
            </w:r>
          </w:p>
        </w:tc>
        <w:tc>
          <w:tcPr>
            <w:tcW w:w="960" w:type="dxa"/>
          </w:tcPr>
          <w:p w14:paraId="6FD262B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1001</w:t>
            </w:r>
          </w:p>
        </w:tc>
        <w:tc>
          <w:tcPr>
            <w:tcW w:w="960" w:type="dxa"/>
          </w:tcPr>
          <w:p w14:paraId="752266E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1.52 (1.24-1.87)</w:t>
            </w:r>
          </w:p>
        </w:tc>
        <w:tc>
          <w:tcPr>
            <w:tcW w:w="960" w:type="dxa"/>
          </w:tcPr>
          <w:p w14:paraId="43D2134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</w:tcPr>
          <w:p w14:paraId="6D39FAD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0.0002</w:t>
            </w:r>
          </w:p>
        </w:tc>
        <w:tc>
          <w:tcPr>
            <w:tcW w:w="960" w:type="dxa"/>
          </w:tcPr>
          <w:p w14:paraId="6458A32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-0.0274</w:t>
            </w:r>
          </w:p>
        </w:tc>
        <w:tc>
          <w:tcPr>
            <w:tcW w:w="960" w:type="dxa"/>
          </w:tcPr>
          <w:p w14:paraId="37771C9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6F91243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excludes physical activity, matching the HRS Model 2 specification.</w:t>
            </w:r>
          </w:p>
        </w:tc>
      </w:tr>
      <w:tr w:rsidR="003F06A1" w:rsidRPr="00EC162C" w14:paraId="25CAC8FB" w14:textId="77777777" w:rsidTr="00EC162C">
        <w:trPr>
          <w:jc w:val="center"/>
        </w:trPr>
        <w:tc>
          <w:tcPr>
            <w:tcW w:w="960" w:type="dxa"/>
          </w:tcPr>
          <w:p w14:paraId="18FDAF9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960" w:type="dxa"/>
          </w:tcPr>
          <w:p w14:paraId="5745309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960" w:type="dxa"/>
          </w:tcPr>
          <w:p w14:paraId="146594F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complete-case Model 2</w:t>
            </w:r>
          </w:p>
        </w:tc>
        <w:tc>
          <w:tcPr>
            <w:tcW w:w="960" w:type="dxa"/>
          </w:tcPr>
          <w:p w14:paraId="1811144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960" w:type="dxa"/>
          </w:tcPr>
          <w:p w14:paraId="624409B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978</w:t>
            </w:r>
          </w:p>
        </w:tc>
        <w:tc>
          <w:tcPr>
            <w:tcW w:w="960" w:type="dxa"/>
          </w:tcPr>
          <w:p w14:paraId="6735791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1.74 (1.44-2.10)</w:t>
            </w:r>
          </w:p>
        </w:tc>
        <w:tc>
          <w:tcPr>
            <w:tcW w:w="960" w:type="dxa"/>
          </w:tcPr>
          <w:p w14:paraId="097419E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960" w:type="dxa"/>
          </w:tcPr>
          <w:p w14:paraId="4611F6D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12489</w:t>
            </w:r>
          </w:p>
        </w:tc>
        <w:tc>
          <w:tcPr>
            <w:tcW w:w="960" w:type="dxa"/>
          </w:tcPr>
          <w:p w14:paraId="3A36E2E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1001</w:t>
            </w:r>
          </w:p>
        </w:tc>
        <w:tc>
          <w:tcPr>
            <w:tcW w:w="960" w:type="dxa"/>
          </w:tcPr>
          <w:p w14:paraId="66AC9BF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1.69 (1.40-2.03)</w:t>
            </w:r>
          </w:p>
        </w:tc>
        <w:tc>
          <w:tcPr>
            <w:tcW w:w="960" w:type="dxa"/>
          </w:tcPr>
          <w:p w14:paraId="06E8A5A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034" w:type="dxa"/>
          </w:tcPr>
          <w:p w14:paraId="2627DDB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0.0003</w:t>
            </w:r>
          </w:p>
        </w:tc>
        <w:tc>
          <w:tcPr>
            <w:tcW w:w="960" w:type="dxa"/>
          </w:tcPr>
          <w:p w14:paraId="6271C4D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-0.0282</w:t>
            </w:r>
          </w:p>
        </w:tc>
        <w:tc>
          <w:tcPr>
            <w:tcW w:w="960" w:type="dxa"/>
          </w:tcPr>
          <w:p w14:paraId="4198721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Yes</w:t>
            </w:r>
          </w:p>
        </w:tc>
        <w:tc>
          <w:tcPr>
            <w:tcW w:w="1074" w:type="dxa"/>
          </w:tcPr>
          <w:p w14:paraId="105EF43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MI excludes physical activity, matching the HRS Model 2 specification.</w:t>
            </w:r>
          </w:p>
        </w:tc>
      </w:tr>
      <w:tr w:rsidR="003F06A1" w:rsidRPr="00EC162C" w14:paraId="5A637F0F" w14:textId="77777777" w:rsidTr="00EC162C">
        <w:trPr>
          <w:jc w:val="center"/>
        </w:trPr>
        <w:tc>
          <w:tcPr>
            <w:tcW w:w="960" w:type="dxa"/>
          </w:tcPr>
          <w:p w14:paraId="6F8CFC1A" w14:textId="7EC1126F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EB0771F" w14:textId="62089821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22D6958A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D33883B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CFE02A5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7B84B29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42827DC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38DCCBB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1F40969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A19D511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C0FB16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3116DB5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4EAA2A7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86EC406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5C62EE79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</w:tr>
      <w:tr w:rsidR="003F06A1" w:rsidRPr="00EC162C" w14:paraId="05EDC1C0" w14:textId="77777777" w:rsidTr="00EC162C">
        <w:trPr>
          <w:jc w:val="center"/>
        </w:trPr>
        <w:tc>
          <w:tcPr>
            <w:tcW w:w="960" w:type="dxa"/>
          </w:tcPr>
          <w:p w14:paraId="360E39E4" w14:textId="5A02BB14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ACFB8B1" w14:textId="4FED3478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DED4879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302328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65A614E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453C082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C0D0687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AC057F0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FFA656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4122598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73922FE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46003DE5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25348F2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20221BB8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578E3756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</w:tr>
      <w:tr w:rsidR="003F06A1" w:rsidRPr="00EC162C" w14:paraId="310ABBD6" w14:textId="77777777" w:rsidTr="00EC162C">
        <w:trPr>
          <w:jc w:val="center"/>
        </w:trPr>
        <w:tc>
          <w:tcPr>
            <w:tcW w:w="960" w:type="dxa"/>
          </w:tcPr>
          <w:p w14:paraId="0D2E9E9F" w14:textId="03BD31A0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087F242" w14:textId="35CFE62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A65A62C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8A49171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C6C8360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9F8E64C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6CA7C514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B407770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3330888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7DB4B8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2EE740F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0E72564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E921AD1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161B71DC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35EBC5A9" w14:textId="77777777" w:rsidR="003F06A1" w:rsidRPr="00EC162C" w:rsidRDefault="003F06A1">
            <w:pPr>
              <w:rPr>
                <w:rFonts w:ascii="Times New Roman" w:hAnsi="Times New Roman" w:cs="Times New Roman"/>
              </w:rPr>
            </w:pPr>
          </w:p>
        </w:tc>
      </w:tr>
    </w:tbl>
    <w:p w14:paraId="17ACF97C" w14:textId="0AF77E3C" w:rsidR="003F06A1" w:rsidRPr="00EC162C" w:rsidRDefault="00EC162C" w:rsidP="00EC162C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EC162C">
        <w:rPr>
          <w:rFonts w:ascii="Times New Roman" w:eastAsia="SimSun" w:hAnsi="Times New Roman" w:cs="Times New Roman"/>
          <w:sz w:val="20"/>
          <w:szCs w:val="20"/>
          <w:lang w:eastAsia="zh-CN"/>
        </w:rPr>
        <w:t>Footnotes</w:t>
      </w:r>
      <w:r w:rsidR="00807EC5"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: </w:t>
      </w:r>
      <w:r w:rsidRPr="00EC162C">
        <w:rPr>
          <w:rFonts w:ascii="Times New Roman" w:eastAsia="SimSun" w:hAnsi="Times New Roman" w:cs="Times New Roman"/>
          <w:sz w:val="20"/>
          <w:szCs w:val="20"/>
          <w:lang w:eastAsia="zh-CN"/>
        </w:rPr>
        <w:t>MI sensitivity models used 20 imputations with exposure, outcome, model covariates, and auxiliary variables in the imputation model. ELSA-MI is the primary estimator and is repeated here for comparison</w:t>
      </w:r>
      <w:r w:rsidR="00807EC5"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;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</w:t>
      </w:r>
      <w:r w:rsidRPr="00EC162C">
        <w:rPr>
          <w:rFonts w:ascii="Times New Roman" w:eastAsia="SimSun" w:hAnsi="Times New Roman" w:cs="Times New Roman"/>
          <w:sz w:val="20"/>
          <w:szCs w:val="20"/>
          <w:lang w:eastAsia="zh-CN"/>
        </w:rPr>
        <w:t>CHARLS and HRS MI sensitivity models follow their corresponding Model 2 specifications, which do not include physical activity; SHARE and ELSA include physical activity as in their corresponding Model 2 specifications</w:t>
      </w:r>
      <w:r w:rsidR="00807EC5"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; </w:t>
      </w:r>
      <w:r w:rsidRPr="00EC162C">
        <w:rPr>
          <w:rFonts w:ascii="Times New Roman" w:eastAsia="SimSun" w:hAnsi="Times New Roman" w:cs="Times New Roman"/>
          <w:sz w:val="20"/>
          <w:szCs w:val="20"/>
          <w:lang w:eastAsia="zh-CN"/>
        </w:rPr>
        <w:t>Primary N/events are the main analysis counts; MI sensitivity N/events show the fitted sample after imputed covariates and any robust-SE cluster-ID availability constraints.</w:t>
      </w:r>
    </w:p>
    <w:p w14:paraId="5DD666A6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2279FFF1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22D59470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48ECDF84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5258C81B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5F199A2A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40716A34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6A99B943" w14:textId="77777777" w:rsidR="00EC162C" w:rsidRPr="00EC162C" w:rsidRDefault="00EC162C">
      <w:pPr>
        <w:rPr>
          <w:rFonts w:ascii="Times New Roman" w:eastAsia="SimSun" w:hAnsi="Times New Roman" w:cs="Times New Roman"/>
          <w:lang w:eastAsia="zh-CN"/>
        </w:rPr>
      </w:pPr>
    </w:p>
    <w:p w14:paraId="61EBCC48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t>Table S4. Analysis coverage and cohort-specific availability summary for supporting analyses across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  <w:gridCol w:w="3600"/>
      </w:tblGrid>
      <w:tr w:rsidR="003F06A1" w:rsidRPr="00EC162C" w14:paraId="318E4EA1" w14:textId="77777777" w:rsidTr="00807EC5">
        <w:trPr>
          <w:jc w:val="center"/>
        </w:trPr>
        <w:tc>
          <w:tcPr>
            <w:tcW w:w="3600" w:type="dxa"/>
            <w:tcBorders>
              <w:bottom w:val="single" w:sz="6" w:space="0" w:color="auto"/>
            </w:tcBorders>
          </w:tcPr>
          <w:p w14:paraId="2E08D5E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Item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14:paraId="2401C58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Content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14:paraId="7304572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Cohorts included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14:paraId="0890AEC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Use in the present study</w:t>
            </w:r>
          </w:p>
        </w:tc>
      </w:tr>
      <w:tr w:rsidR="003F06A1" w:rsidRPr="00EC162C" w14:paraId="474DB702" w14:textId="77777777" w:rsidTr="00807EC5">
        <w:trPr>
          <w:jc w:val="center"/>
        </w:trPr>
        <w:tc>
          <w:tcPr>
            <w:tcW w:w="3600" w:type="dxa"/>
            <w:tcBorders>
              <w:top w:val="single" w:sz="6" w:space="0" w:color="auto"/>
              <w:bottom w:val="nil"/>
            </w:tcBorders>
          </w:tcPr>
          <w:p w14:paraId="3B6B48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S1</w:t>
            </w:r>
          </w:p>
        </w:tc>
        <w:tc>
          <w:tcPr>
            <w:tcW w:w="3600" w:type="dxa"/>
            <w:tcBorders>
              <w:top w:val="single" w:sz="6" w:space="0" w:color="auto"/>
              <w:bottom w:val="nil"/>
            </w:tcBorders>
          </w:tcPr>
          <w:p w14:paraId="1DD3254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Measurement and scoring logic</w:t>
            </w:r>
          </w:p>
        </w:tc>
        <w:tc>
          <w:tcPr>
            <w:tcW w:w="3600" w:type="dxa"/>
            <w:tcBorders>
              <w:top w:val="single" w:sz="6" w:space="0" w:color="auto"/>
              <w:bottom w:val="nil"/>
            </w:tcBorders>
          </w:tcPr>
          <w:p w14:paraId="4848DBD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  <w:tcBorders>
              <w:top w:val="single" w:sz="6" w:space="0" w:color="auto"/>
              <w:bottom w:val="nil"/>
            </w:tcBorders>
          </w:tcPr>
          <w:p w14:paraId="2E27C8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Provides harmonized definitions for exposure outcome and key analytic variables</w:t>
            </w:r>
          </w:p>
        </w:tc>
      </w:tr>
      <w:tr w:rsidR="003F06A1" w:rsidRPr="00EC162C" w14:paraId="2A1AC1AD" w14:textId="77777777" w:rsidTr="00807EC5">
        <w:trPr>
          <w:jc w:val="center"/>
        </w:trPr>
        <w:tc>
          <w:tcPr>
            <w:tcW w:w="3600" w:type="dxa"/>
            <w:tcBorders>
              <w:top w:val="nil"/>
            </w:tcBorders>
          </w:tcPr>
          <w:p w14:paraId="0B729D3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S2</w:t>
            </w:r>
          </w:p>
        </w:tc>
        <w:tc>
          <w:tcPr>
            <w:tcW w:w="3600" w:type="dxa"/>
            <w:tcBorders>
              <w:top w:val="nil"/>
            </w:tcBorders>
          </w:tcPr>
          <w:p w14:paraId="470650D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Analytic sample progression and missingness summary</w:t>
            </w:r>
          </w:p>
        </w:tc>
        <w:tc>
          <w:tcPr>
            <w:tcW w:w="3600" w:type="dxa"/>
            <w:tcBorders>
              <w:top w:val="nil"/>
            </w:tcBorders>
          </w:tcPr>
          <w:p w14:paraId="5858771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  <w:tcBorders>
              <w:top w:val="nil"/>
            </w:tcBorders>
          </w:tcPr>
          <w:p w14:paraId="54DC7FA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Summarizes sample inclusion missingness and classification rules for missing primary vision items</w:t>
            </w:r>
          </w:p>
        </w:tc>
      </w:tr>
      <w:tr w:rsidR="003F06A1" w:rsidRPr="00EC162C" w14:paraId="1C33FCE8" w14:textId="77777777" w:rsidTr="00807EC5">
        <w:trPr>
          <w:jc w:val="center"/>
        </w:trPr>
        <w:tc>
          <w:tcPr>
            <w:tcW w:w="3600" w:type="dxa"/>
          </w:tcPr>
          <w:p w14:paraId="5F84DBA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S3</w:t>
            </w:r>
          </w:p>
        </w:tc>
        <w:tc>
          <w:tcPr>
            <w:tcW w:w="3600" w:type="dxa"/>
          </w:tcPr>
          <w:p w14:paraId="06EC167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Covariate multiple-imputation sensitivity analysis</w:t>
            </w:r>
          </w:p>
        </w:tc>
        <w:tc>
          <w:tcPr>
            <w:tcW w:w="3600" w:type="dxa"/>
          </w:tcPr>
          <w:p w14:paraId="2A25FF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0ED1A85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Supports robustness of the main cohort-specific Model 2 estimates</w:t>
            </w:r>
          </w:p>
        </w:tc>
      </w:tr>
      <w:tr w:rsidR="003F06A1" w:rsidRPr="00EC162C" w14:paraId="78E38ABE" w14:textId="77777777" w:rsidTr="00807EC5">
        <w:trPr>
          <w:jc w:val="center"/>
        </w:trPr>
        <w:tc>
          <w:tcPr>
            <w:tcW w:w="3600" w:type="dxa"/>
          </w:tcPr>
          <w:p w14:paraId="117A07F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S4</w:t>
            </w:r>
          </w:p>
        </w:tc>
        <w:tc>
          <w:tcPr>
            <w:tcW w:w="3600" w:type="dxa"/>
          </w:tcPr>
          <w:p w14:paraId="118FF3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Analysis coverage and cohort-specific availability summary</w:t>
            </w:r>
          </w:p>
        </w:tc>
        <w:tc>
          <w:tcPr>
            <w:tcW w:w="3600" w:type="dxa"/>
          </w:tcPr>
          <w:p w14:paraId="5A8CE41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6A1669B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Summarizes how supporting analyses were used and where cohort-specific availability limits apply</w:t>
            </w:r>
          </w:p>
        </w:tc>
      </w:tr>
      <w:tr w:rsidR="003F06A1" w:rsidRPr="00EC162C" w14:paraId="3476752C" w14:textId="77777777" w:rsidTr="00807EC5">
        <w:trPr>
          <w:jc w:val="center"/>
        </w:trPr>
        <w:tc>
          <w:tcPr>
            <w:tcW w:w="3600" w:type="dxa"/>
          </w:tcPr>
          <w:p w14:paraId="4C4E8A5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Supplementary Figure S1</w:t>
            </w:r>
          </w:p>
        </w:tc>
        <w:tc>
          <w:tcPr>
            <w:tcW w:w="3600" w:type="dxa"/>
          </w:tcPr>
          <w:p w14:paraId="7C1F0EF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Single-contrast forest plot for incident impairment</w:t>
            </w:r>
          </w:p>
        </w:tc>
        <w:tc>
          <w:tcPr>
            <w:tcW w:w="3600" w:type="dxa"/>
          </w:tcPr>
          <w:p w14:paraId="4E8EEDC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5C43EA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Displays cohort-specific and pooled estimates for incident impairment</w:t>
            </w:r>
          </w:p>
        </w:tc>
      </w:tr>
      <w:tr w:rsidR="003F06A1" w:rsidRPr="00EC162C" w14:paraId="405D24EF" w14:textId="77777777" w:rsidTr="00807EC5">
        <w:trPr>
          <w:jc w:val="center"/>
        </w:trPr>
        <w:tc>
          <w:tcPr>
            <w:tcW w:w="3600" w:type="dxa"/>
          </w:tcPr>
          <w:p w14:paraId="3F79F64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Supplementary Figure S2</w:t>
            </w:r>
          </w:p>
        </w:tc>
        <w:tc>
          <w:tcPr>
            <w:tcW w:w="3600" w:type="dxa"/>
          </w:tcPr>
          <w:p w14:paraId="44E9946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Single-contrast forest plot for persistent impairment</w:t>
            </w:r>
          </w:p>
        </w:tc>
        <w:tc>
          <w:tcPr>
            <w:tcW w:w="3600" w:type="dxa"/>
          </w:tcPr>
          <w:p w14:paraId="4FEE028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78E33B0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Displays cohort-specific and pooled estimates for persistent impairment</w:t>
            </w:r>
          </w:p>
        </w:tc>
      </w:tr>
      <w:tr w:rsidR="003F06A1" w:rsidRPr="00EC162C" w14:paraId="1547C2F2" w14:textId="77777777" w:rsidTr="00807EC5">
        <w:trPr>
          <w:jc w:val="center"/>
        </w:trPr>
        <w:tc>
          <w:tcPr>
            <w:tcW w:w="3600" w:type="dxa"/>
          </w:tcPr>
          <w:p w14:paraId="505EBC1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Supplementary Figure S3</w:t>
            </w:r>
          </w:p>
        </w:tc>
        <w:tc>
          <w:tcPr>
            <w:tcW w:w="3600" w:type="dxa"/>
          </w:tcPr>
          <w:p w14:paraId="5D6395D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Adjusted absolute risk difference figure</w:t>
            </w:r>
          </w:p>
        </w:tc>
        <w:tc>
          <w:tcPr>
            <w:tcW w:w="3600" w:type="dxa"/>
          </w:tcPr>
          <w:p w14:paraId="5077B21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1AF71E0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Displays absolute risk differences corresponding to the main adjusted models</w:t>
            </w:r>
          </w:p>
        </w:tc>
      </w:tr>
      <w:tr w:rsidR="003F06A1" w:rsidRPr="00EC162C" w14:paraId="63799F69" w14:textId="77777777" w:rsidTr="00807EC5">
        <w:trPr>
          <w:jc w:val="center"/>
        </w:trPr>
        <w:tc>
          <w:tcPr>
            <w:tcW w:w="3600" w:type="dxa"/>
          </w:tcPr>
          <w:p w14:paraId="7D0E6D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Supplementary Figure S4</w:t>
            </w:r>
          </w:p>
        </w:tc>
        <w:tc>
          <w:tcPr>
            <w:tcW w:w="3600" w:type="dxa"/>
          </w:tcPr>
          <w:p w14:paraId="2D8E419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Exploratory age sex and chronic disease burden subgroup forest plot</w:t>
            </w:r>
          </w:p>
        </w:tc>
        <w:tc>
          <w:tcPr>
            <w:tcW w:w="3600" w:type="dxa"/>
          </w:tcPr>
          <w:p w14:paraId="457750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0D46781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Provides exploratory subgroup results and should be interpreted as supportive rather than primary pooled evidence</w:t>
            </w:r>
          </w:p>
        </w:tc>
      </w:tr>
      <w:tr w:rsidR="003F06A1" w:rsidRPr="00EC162C" w14:paraId="2611032F" w14:textId="77777777" w:rsidTr="00807EC5">
        <w:trPr>
          <w:jc w:val="center"/>
        </w:trPr>
        <w:tc>
          <w:tcPr>
            <w:tcW w:w="3600" w:type="dxa"/>
          </w:tcPr>
          <w:p w14:paraId="4BE55A8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S5</w:t>
            </w:r>
          </w:p>
        </w:tc>
        <w:tc>
          <w:tcPr>
            <w:tcW w:w="3600" w:type="dxa"/>
          </w:tcPr>
          <w:p w14:paraId="38CFEA8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Modified Poisson and E-value robustness analysis</w:t>
            </w:r>
          </w:p>
        </w:tc>
        <w:tc>
          <w:tcPr>
            <w:tcW w:w="3600" w:type="dxa"/>
          </w:tcPr>
          <w:p w14:paraId="1B64267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6C236CC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Provides an alternative effect scale and unmeasured-confounding sensitivity summary</w:t>
            </w:r>
          </w:p>
        </w:tc>
      </w:tr>
      <w:tr w:rsidR="003F06A1" w:rsidRPr="00EC162C" w14:paraId="6359017C" w14:textId="77777777" w:rsidTr="00807EC5">
        <w:trPr>
          <w:jc w:val="center"/>
        </w:trPr>
        <w:tc>
          <w:tcPr>
            <w:tcW w:w="3600" w:type="dxa"/>
          </w:tcPr>
          <w:p w14:paraId="75B3E35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Table S6</w:t>
            </w:r>
          </w:p>
        </w:tc>
        <w:tc>
          <w:tcPr>
            <w:tcW w:w="3600" w:type="dxa"/>
          </w:tcPr>
          <w:p w14:paraId="11253C1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Follow-up interval and wave-structure summary</w:t>
            </w:r>
          </w:p>
        </w:tc>
        <w:tc>
          <w:tcPr>
            <w:tcW w:w="3600" w:type="dxa"/>
          </w:tcPr>
          <w:p w14:paraId="5C7F6D9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CHARLS, ELSA-MI, SHARE, HRS</w:t>
            </w:r>
          </w:p>
        </w:tc>
        <w:tc>
          <w:tcPr>
            <w:tcW w:w="3600" w:type="dxa"/>
          </w:tcPr>
          <w:p w14:paraId="1F9CF46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Provides study-design context for exposure and outcome timing across cohorts</w:t>
            </w:r>
          </w:p>
        </w:tc>
      </w:tr>
    </w:tbl>
    <w:p w14:paraId="689AEBBA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1A523E2D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602804A2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lastRenderedPageBreak/>
        <w:t>Table S5. Alternative effect-scale and unmeasured-confounding robustness analysis using modified Poisson risk ratios and E-values across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w:rsidR="003F06A1" w:rsidRPr="00EC162C" w14:paraId="581EBFA0" w14:textId="77777777" w:rsidTr="00807EC5">
        <w:trPr>
          <w:jc w:val="center"/>
        </w:trPr>
        <w:tc>
          <w:tcPr>
            <w:tcW w:w="1309" w:type="dxa"/>
            <w:tcBorders>
              <w:bottom w:val="single" w:sz="6" w:space="0" w:color="auto"/>
            </w:tcBorders>
          </w:tcPr>
          <w:p w14:paraId="7A46B53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Cohort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05A2A3D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Exposure contrast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4B747D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Model 2 N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4EFB630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Incident cases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1D14085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Primary OR (95% CI)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2491064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Primary OR </w:t>
            </w:r>
            <w:r w:rsidRPr="00EC162C">
              <w:rPr>
                <w:rFonts w:ascii="Times New Roman" w:hAnsi="Times New Roman" w:cs="Times New Roman"/>
                <w:b/>
                <w:i/>
                <w:sz w:val="16"/>
              </w:rPr>
              <w:t>P</w:t>
            </w: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 value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6AAA209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Modified Poisson RR (95% CI)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1BB0278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RR </w:t>
            </w:r>
            <w:r w:rsidRPr="00EC162C">
              <w:rPr>
                <w:rFonts w:ascii="Times New Roman" w:hAnsi="Times New Roman" w:cs="Times New Roman"/>
                <w:b/>
                <w:i/>
                <w:sz w:val="16"/>
              </w:rPr>
              <w:t>P</w:t>
            </w:r>
            <w:r w:rsidRPr="00EC162C">
              <w:rPr>
                <w:rFonts w:ascii="Times New Roman" w:hAnsi="Times New Roman" w:cs="Times New Roman"/>
                <w:b/>
                <w:sz w:val="16"/>
              </w:rPr>
              <w:t xml:space="preserve"> value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4FEA33F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E-value for RR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66D9AD6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E-value for CI limit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47DF2F1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E-value basis</w:t>
            </w:r>
          </w:p>
        </w:tc>
      </w:tr>
      <w:tr w:rsidR="003F06A1" w:rsidRPr="00EC162C" w14:paraId="1E0002CB" w14:textId="77777777" w:rsidTr="00807EC5">
        <w:trPr>
          <w:jc w:val="center"/>
        </w:trPr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2EAA4C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56418E6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2C015C8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4B47E06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1633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1F792AE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1.56 (1.15-2.10)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066EFA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0.004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6A9CC28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1.45 (1.14-1.84)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1AE018A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0.003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221F77F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2.25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2C49434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1.53</w:t>
            </w:r>
          </w:p>
        </w:tc>
        <w:tc>
          <w:tcPr>
            <w:tcW w:w="1309" w:type="dxa"/>
            <w:tcBorders>
              <w:top w:val="single" w:sz="6" w:space="0" w:color="auto"/>
              <w:bottom w:val="nil"/>
            </w:tcBorders>
          </w:tcPr>
          <w:p w14:paraId="11A5BA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4134E4AB" w14:textId="77777777" w:rsidTr="00807EC5">
        <w:trPr>
          <w:jc w:val="center"/>
        </w:trPr>
        <w:tc>
          <w:tcPr>
            <w:tcW w:w="1309" w:type="dxa"/>
            <w:tcBorders>
              <w:top w:val="nil"/>
            </w:tcBorders>
          </w:tcPr>
          <w:p w14:paraId="0177D52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1309" w:type="dxa"/>
            <w:tcBorders>
              <w:top w:val="nil"/>
            </w:tcBorders>
          </w:tcPr>
          <w:p w14:paraId="6D39F85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1309" w:type="dxa"/>
            <w:tcBorders>
              <w:top w:val="nil"/>
            </w:tcBorders>
          </w:tcPr>
          <w:p w14:paraId="63F9D98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1309" w:type="dxa"/>
            <w:tcBorders>
              <w:top w:val="nil"/>
            </w:tcBorders>
          </w:tcPr>
          <w:p w14:paraId="031B226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1633</w:t>
            </w:r>
          </w:p>
        </w:tc>
        <w:tc>
          <w:tcPr>
            <w:tcW w:w="1309" w:type="dxa"/>
            <w:tcBorders>
              <w:top w:val="nil"/>
            </w:tcBorders>
          </w:tcPr>
          <w:p w14:paraId="4302B34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1.71 (1.32-2.21)</w:t>
            </w:r>
          </w:p>
        </w:tc>
        <w:tc>
          <w:tcPr>
            <w:tcW w:w="1309" w:type="dxa"/>
            <w:tcBorders>
              <w:top w:val="nil"/>
            </w:tcBorders>
          </w:tcPr>
          <w:p w14:paraId="59A3EAE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  <w:tcBorders>
              <w:top w:val="nil"/>
            </w:tcBorders>
          </w:tcPr>
          <w:p w14:paraId="0076ACE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1.54 (1.25-1.90)</w:t>
            </w:r>
          </w:p>
        </w:tc>
        <w:tc>
          <w:tcPr>
            <w:tcW w:w="1309" w:type="dxa"/>
            <w:tcBorders>
              <w:top w:val="nil"/>
            </w:tcBorders>
          </w:tcPr>
          <w:p w14:paraId="63D3FAB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  <w:tcBorders>
              <w:top w:val="nil"/>
            </w:tcBorders>
          </w:tcPr>
          <w:p w14:paraId="56467F1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2.45</w:t>
            </w:r>
          </w:p>
        </w:tc>
        <w:tc>
          <w:tcPr>
            <w:tcW w:w="1309" w:type="dxa"/>
            <w:tcBorders>
              <w:top w:val="nil"/>
            </w:tcBorders>
          </w:tcPr>
          <w:p w14:paraId="6987AD7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1.81</w:t>
            </w:r>
          </w:p>
        </w:tc>
        <w:tc>
          <w:tcPr>
            <w:tcW w:w="1309" w:type="dxa"/>
            <w:tcBorders>
              <w:top w:val="nil"/>
            </w:tcBorders>
          </w:tcPr>
          <w:p w14:paraId="15177D7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40B27156" w14:textId="77777777" w:rsidTr="00807EC5">
        <w:trPr>
          <w:jc w:val="center"/>
        </w:trPr>
        <w:tc>
          <w:tcPr>
            <w:tcW w:w="1309" w:type="dxa"/>
          </w:tcPr>
          <w:p w14:paraId="253554E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1309" w:type="dxa"/>
          </w:tcPr>
          <w:p w14:paraId="0A07FC0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1309" w:type="dxa"/>
          </w:tcPr>
          <w:p w14:paraId="6F5BD8D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1309" w:type="dxa"/>
          </w:tcPr>
          <w:p w14:paraId="319B144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1309" w:type="dxa"/>
          </w:tcPr>
          <w:p w14:paraId="25652B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1.70 (1.25-2.31)</w:t>
            </w:r>
          </w:p>
        </w:tc>
        <w:tc>
          <w:tcPr>
            <w:tcW w:w="1309" w:type="dxa"/>
          </w:tcPr>
          <w:p w14:paraId="3552F7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4AFDBD8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1.53 (1.21-1.94)</w:t>
            </w:r>
          </w:p>
        </w:tc>
        <w:tc>
          <w:tcPr>
            <w:tcW w:w="1309" w:type="dxa"/>
          </w:tcPr>
          <w:p w14:paraId="035C9EA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133EAEB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2.43</w:t>
            </w:r>
          </w:p>
        </w:tc>
        <w:tc>
          <w:tcPr>
            <w:tcW w:w="1309" w:type="dxa"/>
          </w:tcPr>
          <w:p w14:paraId="66C100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</w:t>
            </w:r>
          </w:p>
        </w:tc>
        <w:tc>
          <w:tcPr>
            <w:tcW w:w="1309" w:type="dxa"/>
          </w:tcPr>
          <w:p w14:paraId="154CDC7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3200A2B9" w14:textId="77777777" w:rsidTr="00807EC5">
        <w:trPr>
          <w:jc w:val="center"/>
        </w:trPr>
        <w:tc>
          <w:tcPr>
            <w:tcW w:w="1309" w:type="dxa"/>
          </w:tcPr>
          <w:p w14:paraId="18B2BB4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1309" w:type="dxa"/>
          </w:tcPr>
          <w:p w14:paraId="1BC632E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1309" w:type="dxa"/>
          </w:tcPr>
          <w:p w14:paraId="1D9BD20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1309" w:type="dxa"/>
          </w:tcPr>
          <w:p w14:paraId="7DD48DD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1309" w:type="dxa"/>
          </w:tcPr>
          <w:p w14:paraId="5E5329C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1.37 (0.92-2.04)</w:t>
            </w:r>
          </w:p>
        </w:tc>
        <w:tc>
          <w:tcPr>
            <w:tcW w:w="1309" w:type="dxa"/>
          </w:tcPr>
          <w:p w14:paraId="3776B70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0.119</w:t>
            </w:r>
          </w:p>
        </w:tc>
        <w:tc>
          <w:tcPr>
            <w:tcW w:w="1309" w:type="dxa"/>
          </w:tcPr>
          <w:p w14:paraId="6059159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1.29 (0.93-1.79)</w:t>
            </w:r>
          </w:p>
        </w:tc>
        <w:tc>
          <w:tcPr>
            <w:tcW w:w="1309" w:type="dxa"/>
          </w:tcPr>
          <w:p w14:paraId="549DE73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0.123</w:t>
            </w:r>
          </w:p>
        </w:tc>
        <w:tc>
          <w:tcPr>
            <w:tcW w:w="1309" w:type="dxa"/>
          </w:tcPr>
          <w:p w14:paraId="48BD27D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1.91</w:t>
            </w:r>
          </w:p>
        </w:tc>
        <w:tc>
          <w:tcPr>
            <w:tcW w:w="1309" w:type="dxa"/>
          </w:tcPr>
          <w:p w14:paraId="1BAF2A2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1.0</w:t>
            </w:r>
          </w:p>
        </w:tc>
        <w:tc>
          <w:tcPr>
            <w:tcW w:w="1309" w:type="dxa"/>
          </w:tcPr>
          <w:p w14:paraId="29F1882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3B1A297E" w14:textId="77777777" w:rsidTr="00807EC5">
        <w:trPr>
          <w:jc w:val="center"/>
        </w:trPr>
        <w:tc>
          <w:tcPr>
            <w:tcW w:w="1309" w:type="dxa"/>
          </w:tcPr>
          <w:p w14:paraId="5D6F5E4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1309" w:type="dxa"/>
          </w:tcPr>
          <w:p w14:paraId="1480F08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1309" w:type="dxa"/>
          </w:tcPr>
          <w:p w14:paraId="31978AD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1309" w:type="dxa"/>
          </w:tcPr>
          <w:p w14:paraId="1DB604E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3428</w:t>
            </w:r>
          </w:p>
        </w:tc>
        <w:tc>
          <w:tcPr>
            <w:tcW w:w="1309" w:type="dxa"/>
          </w:tcPr>
          <w:p w14:paraId="6AE66DC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1.24 (1.11-1.39)</w:t>
            </w:r>
          </w:p>
        </w:tc>
        <w:tc>
          <w:tcPr>
            <w:tcW w:w="1309" w:type="dxa"/>
          </w:tcPr>
          <w:p w14:paraId="250F3C8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5492901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1.18 (1.08-1.29)</w:t>
            </w:r>
          </w:p>
        </w:tc>
        <w:tc>
          <w:tcPr>
            <w:tcW w:w="1309" w:type="dxa"/>
          </w:tcPr>
          <w:p w14:paraId="15ADA16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41160CB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1.65</w:t>
            </w:r>
          </w:p>
        </w:tc>
        <w:tc>
          <w:tcPr>
            <w:tcW w:w="1309" w:type="dxa"/>
          </w:tcPr>
          <w:p w14:paraId="05F1AA1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1.38</w:t>
            </w:r>
          </w:p>
        </w:tc>
        <w:tc>
          <w:tcPr>
            <w:tcW w:w="1309" w:type="dxa"/>
          </w:tcPr>
          <w:p w14:paraId="2316C1E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2E38BF77" w14:textId="77777777" w:rsidTr="00807EC5">
        <w:trPr>
          <w:jc w:val="center"/>
        </w:trPr>
        <w:tc>
          <w:tcPr>
            <w:tcW w:w="1309" w:type="dxa"/>
          </w:tcPr>
          <w:p w14:paraId="75B6876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1309" w:type="dxa"/>
          </w:tcPr>
          <w:p w14:paraId="7676A42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Persistent impairment vs persistent normal</w:t>
            </w:r>
          </w:p>
        </w:tc>
        <w:tc>
          <w:tcPr>
            <w:tcW w:w="1309" w:type="dxa"/>
          </w:tcPr>
          <w:p w14:paraId="4084960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1309" w:type="dxa"/>
          </w:tcPr>
          <w:p w14:paraId="397C825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3428</w:t>
            </w:r>
          </w:p>
        </w:tc>
        <w:tc>
          <w:tcPr>
            <w:tcW w:w="1309" w:type="dxa"/>
          </w:tcPr>
          <w:p w14:paraId="78A1A18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1.34 (1.19-1.51)</w:t>
            </w:r>
          </w:p>
        </w:tc>
        <w:tc>
          <w:tcPr>
            <w:tcW w:w="1309" w:type="dxa"/>
          </w:tcPr>
          <w:p w14:paraId="6BBF2C1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200B12B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1.24 (1.14-1.36)</w:t>
            </w:r>
          </w:p>
        </w:tc>
        <w:tc>
          <w:tcPr>
            <w:tcW w:w="1309" w:type="dxa"/>
          </w:tcPr>
          <w:p w14:paraId="63D9143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19EAB01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1.8</w:t>
            </w:r>
          </w:p>
        </w:tc>
        <w:tc>
          <w:tcPr>
            <w:tcW w:w="1309" w:type="dxa"/>
          </w:tcPr>
          <w:p w14:paraId="5B716DB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1.54</w:t>
            </w:r>
          </w:p>
        </w:tc>
        <w:tc>
          <w:tcPr>
            <w:tcW w:w="1309" w:type="dxa"/>
          </w:tcPr>
          <w:p w14:paraId="298A004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1A9FF3F1" w14:textId="77777777" w:rsidTr="00807EC5">
        <w:trPr>
          <w:jc w:val="center"/>
        </w:trPr>
        <w:tc>
          <w:tcPr>
            <w:tcW w:w="1309" w:type="dxa"/>
          </w:tcPr>
          <w:p w14:paraId="521609C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1309" w:type="dxa"/>
          </w:tcPr>
          <w:p w14:paraId="3280FC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New impairment vs persistent normal</w:t>
            </w:r>
          </w:p>
        </w:tc>
        <w:tc>
          <w:tcPr>
            <w:tcW w:w="1309" w:type="dxa"/>
          </w:tcPr>
          <w:p w14:paraId="19661D2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1309" w:type="dxa"/>
          </w:tcPr>
          <w:p w14:paraId="7D78DF7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978</w:t>
            </w:r>
          </w:p>
        </w:tc>
        <w:tc>
          <w:tcPr>
            <w:tcW w:w="1309" w:type="dxa"/>
          </w:tcPr>
          <w:p w14:paraId="2120EB7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1.56 (1.27-1.92)</w:t>
            </w:r>
          </w:p>
        </w:tc>
        <w:tc>
          <w:tcPr>
            <w:tcW w:w="1309" w:type="dxa"/>
          </w:tcPr>
          <w:p w14:paraId="06F4E50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7C041AD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1.46 (1.23-1.73)</w:t>
            </w:r>
          </w:p>
        </w:tc>
        <w:tc>
          <w:tcPr>
            <w:tcW w:w="1309" w:type="dxa"/>
          </w:tcPr>
          <w:p w14:paraId="44873C6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1325AE4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2.28</w:t>
            </w:r>
          </w:p>
        </w:tc>
        <w:tc>
          <w:tcPr>
            <w:tcW w:w="1309" w:type="dxa"/>
          </w:tcPr>
          <w:p w14:paraId="279B0E9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1.76</w:t>
            </w:r>
          </w:p>
        </w:tc>
        <w:tc>
          <w:tcPr>
            <w:tcW w:w="1309" w:type="dxa"/>
          </w:tcPr>
          <w:p w14:paraId="028A9C6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sqrt(RR*(RR-1)); CI-limit E-value set to 1.00 when the 95% CI crosses the null.</w:t>
            </w:r>
          </w:p>
        </w:tc>
      </w:tr>
      <w:tr w:rsidR="003F06A1" w:rsidRPr="00EC162C" w14:paraId="438FBCFA" w14:textId="77777777" w:rsidTr="00807EC5">
        <w:trPr>
          <w:jc w:val="center"/>
        </w:trPr>
        <w:tc>
          <w:tcPr>
            <w:tcW w:w="1309" w:type="dxa"/>
          </w:tcPr>
          <w:p w14:paraId="055E1F1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1309" w:type="dxa"/>
          </w:tcPr>
          <w:p w14:paraId="06DAE111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 xml:space="preserve">Persistent impairment vs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persistent normal</w:t>
            </w:r>
          </w:p>
        </w:tc>
        <w:tc>
          <w:tcPr>
            <w:tcW w:w="1309" w:type="dxa"/>
          </w:tcPr>
          <w:p w14:paraId="15F8EF6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12210</w:t>
            </w:r>
          </w:p>
        </w:tc>
        <w:tc>
          <w:tcPr>
            <w:tcW w:w="1309" w:type="dxa"/>
          </w:tcPr>
          <w:p w14:paraId="0A049B3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978</w:t>
            </w:r>
          </w:p>
        </w:tc>
        <w:tc>
          <w:tcPr>
            <w:tcW w:w="1309" w:type="dxa"/>
          </w:tcPr>
          <w:p w14:paraId="6DC4005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1.74 (1.44-2.10)</w:t>
            </w:r>
          </w:p>
        </w:tc>
        <w:tc>
          <w:tcPr>
            <w:tcW w:w="1309" w:type="dxa"/>
          </w:tcPr>
          <w:p w14:paraId="134E2EF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396CDBC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1.57 (1.35-1.82)</w:t>
            </w:r>
          </w:p>
        </w:tc>
        <w:tc>
          <w:tcPr>
            <w:tcW w:w="1309" w:type="dxa"/>
          </w:tcPr>
          <w:p w14:paraId="20391D0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&lt;0.001</w:t>
            </w:r>
          </w:p>
        </w:tc>
        <w:tc>
          <w:tcPr>
            <w:tcW w:w="1309" w:type="dxa"/>
          </w:tcPr>
          <w:p w14:paraId="4A1BF31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2.51</w:t>
            </w:r>
          </w:p>
        </w:tc>
        <w:tc>
          <w:tcPr>
            <w:tcW w:w="1309" w:type="dxa"/>
          </w:tcPr>
          <w:p w14:paraId="2D4A30E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2.03</w:t>
            </w:r>
          </w:p>
        </w:tc>
        <w:tc>
          <w:tcPr>
            <w:tcW w:w="1309" w:type="dxa"/>
          </w:tcPr>
          <w:p w14:paraId="1243869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RR + sqrt(RR*(RR-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1)); CI-limit E-value set to 1.00 when the 95% CI crosses the null.</w:t>
            </w:r>
          </w:p>
        </w:tc>
      </w:tr>
    </w:tbl>
    <w:p w14:paraId="7C51A666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63698041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</w:rPr>
        <w:br w:type="page"/>
      </w:r>
    </w:p>
    <w:p w14:paraId="616A185A" w14:textId="77777777" w:rsidR="003F06A1" w:rsidRPr="00EC162C" w:rsidRDefault="005B4683">
      <w:pPr>
        <w:rPr>
          <w:rFonts w:ascii="Times New Roman" w:hAnsi="Times New Roman" w:cs="Times New Roman"/>
        </w:rPr>
      </w:pPr>
      <w:r w:rsidRPr="00EC162C">
        <w:rPr>
          <w:rFonts w:ascii="Times New Roman" w:hAnsi="Times New Roman" w:cs="Times New Roman"/>
          <w:b/>
        </w:rPr>
        <w:lastRenderedPageBreak/>
        <w:t>Table S6. Follow-up interval and wave-structure summary across CHARLS, ELSA-MI, SHARE, and HRS.</w:t>
      </w:r>
    </w:p>
    <w:tbl>
      <w:tblPr>
        <w:tblStyle w:val="af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21"/>
      </w:tblGrid>
      <w:tr w:rsidR="003F06A1" w:rsidRPr="00EC162C" w14:paraId="0ECDAA25" w14:textId="77777777" w:rsidTr="00807EC5">
        <w:trPr>
          <w:jc w:val="center"/>
        </w:trPr>
        <w:tc>
          <w:tcPr>
            <w:tcW w:w="1200" w:type="dxa"/>
            <w:tcBorders>
              <w:bottom w:val="single" w:sz="6" w:space="0" w:color="auto"/>
            </w:tcBorders>
          </w:tcPr>
          <w:p w14:paraId="3E350D4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Cohort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144A91A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Exposure classification wave 1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0BC2134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Baseline risk wave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2F6B38D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Outcome wave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3F6FFE4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Calendar exposure window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467A946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Calendar outcome follow-up window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679D00F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Median observed exposure interval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0D3C29F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Median observed outcome interval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58223E0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Model 2 analytic N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34B2317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Incident cases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332162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Time source</w:t>
            </w:r>
          </w:p>
        </w:tc>
        <w:tc>
          <w:tcPr>
            <w:tcW w:w="1200" w:type="dxa"/>
            <w:tcBorders>
              <w:bottom w:val="single" w:sz="6" w:space="0" w:color="auto"/>
            </w:tcBorders>
          </w:tcPr>
          <w:p w14:paraId="22DCE1C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b/>
                <w:sz w:val="16"/>
              </w:rPr>
              <w:t>Comparability note</w:t>
            </w:r>
          </w:p>
        </w:tc>
      </w:tr>
      <w:tr w:rsidR="003F06A1" w:rsidRPr="00EC162C" w14:paraId="27D21655" w14:textId="77777777" w:rsidTr="00807EC5">
        <w:trPr>
          <w:jc w:val="center"/>
        </w:trPr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0304F8A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CHARLS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70C4D74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4A83446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W2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28E478E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W3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5FFE894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2011-2013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42E49F4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2013-2015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57BFAC7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 years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6F47BE6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 years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2E611EB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7247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5EE4E28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1633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0DD3DCF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Wave labels and observed age-based intervals where available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14:paraId="13CFD95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Exposure was classified across two consecutive waves and incident depressive symptoms were assessed at the subsequent wave.</w:t>
            </w:r>
          </w:p>
        </w:tc>
      </w:tr>
      <w:tr w:rsidR="003F06A1" w:rsidRPr="00EC162C" w14:paraId="2097FCE7" w14:textId="77777777" w:rsidTr="00807EC5">
        <w:trPr>
          <w:jc w:val="center"/>
        </w:trPr>
        <w:tc>
          <w:tcPr>
            <w:tcW w:w="1200" w:type="dxa"/>
            <w:tcBorders>
              <w:top w:val="nil"/>
            </w:tcBorders>
          </w:tcPr>
          <w:p w14:paraId="41AF7D0A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ELSA-MI</w:t>
            </w:r>
          </w:p>
        </w:tc>
        <w:tc>
          <w:tcPr>
            <w:tcW w:w="1200" w:type="dxa"/>
            <w:tcBorders>
              <w:top w:val="nil"/>
            </w:tcBorders>
          </w:tcPr>
          <w:p w14:paraId="045CD16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W4</w:t>
            </w:r>
          </w:p>
        </w:tc>
        <w:tc>
          <w:tcPr>
            <w:tcW w:w="1200" w:type="dxa"/>
            <w:tcBorders>
              <w:top w:val="nil"/>
            </w:tcBorders>
          </w:tcPr>
          <w:p w14:paraId="77D973E4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</w:t>
            </w:r>
          </w:p>
        </w:tc>
        <w:tc>
          <w:tcPr>
            <w:tcW w:w="1200" w:type="dxa"/>
            <w:tcBorders>
              <w:top w:val="nil"/>
            </w:tcBorders>
          </w:tcPr>
          <w:p w14:paraId="6C3FE31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W6</w:t>
            </w:r>
          </w:p>
        </w:tc>
        <w:tc>
          <w:tcPr>
            <w:tcW w:w="1200" w:type="dxa"/>
            <w:tcBorders>
              <w:top w:val="nil"/>
            </w:tcBorders>
          </w:tcPr>
          <w:p w14:paraId="69F8E85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2008/2009-2010/2011</w:t>
            </w:r>
          </w:p>
        </w:tc>
        <w:tc>
          <w:tcPr>
            <w:tcW w:w="1200" w:type="dxa"/>
            <w:tcBorders>
              <w:top w:val="nil"/>
            </w:tcBorders>
          </w:tcPr>
          <w:p w14:paraId="0CF52CF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2010/2011-2012/2013</w:t>
            </w:r>
          </w:p>
        </w:tc>
        <w:tc>
          <w:tcPr>
            <w:tcW w:w="1200" w:type="dxa"/>
            <w:tcBorders>
              <w:top w:val="nil"/>
            </w:tcBorders>
          </w:tcPr>
          <w:p w14:paraId="34CBBD4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 years</w:t>
            </w:r>
          </w:p>
        </w:tc>
        <w:tc>
          <w:tcPr>
            <w:tcW w:w="1200" w:type="dxa"/>
            <w:tcBorders>
              <w:top w:val="nil"/>
            </w:tcBorders>
          </w:tcPr>
          <w:p w14:paraId="07291EB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 years</w:t>
            </w:r>
          </w:p>
        </w:tc>
        <w:tc>
          <w:tcPr>
            <w:tcW w:w="1200" w:type="dxa"/>
            <w:tcBorders>
              <w:top w:val="nil"/>
            </w:tcBorders>
          </w:tcPr>
          <w:p w14:paraId="4F8B343B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6783</w:t>
            </w:r>
          </w:p>
        </w:tc>
        <w:tc>
          <w:tcPr>
            <w:tcW w:w="1200" w:type="dxa"/>
            <w:tcBorders>
              <w:top w:val="nil"/>
            </w:tcBorders>
          </w:tcPr>
          <w:p w14:paraId="2A5FA3A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474</w:t>
            </w:r>
          </w:p>
        </w:tc>
        <w:tc>
          <w:tcPr>
            <w:tcW w:w="1200" w:type="dxa"/>
            <w:tcBorders>
              <w:top w:val="nil"/>
            </w:tcBorders>
          </w:tcPr>
          <w:p w14:paraId="3216574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Wave labels and observed age-based intervals where available</w:t>
            </w:r>
          </w:p>
        </w:tc>
        <w:tc>
          <w:tcPr>
            <w:tcW w:w="1200" w:type="dxa"/>
            <w:tcBorders>
              <w:top w:val="nil"/>
            </w:tcBorders>
          </w:tcPr>
          <w:p w14:paraId="1E1ED9D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Exposure was classified across two consecutive waves and incident depressive symptoms were assessed at the subsequent wave.</w:t>
            </w:r>
          </w:p>
        </w:tc>
      </w:tr>
      <w:tr w:rsidR="003F06A1" w:rsidRPr="00EC162C" w14:paraId="0403632A" w14:textId="77777777" w:rsidTr="00807EC5">
        <w:trPr>
          <w:jc w:val="center"/>
        </w:trPr>
        <w:tc>
          <w:tcPr>
            <w:tcW w:w="1200" w:type="dxa"/>
          </w:tcPr>
          <w:p w14:paraId="01CDDDB3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SHARE</w:t>
            </w:r>
          </w:p>
        </w:tc>
        <w:tc>
          <w:tcPr>
            <w:tcW w:w="1200" w:type="dxa"/>
          </w:tcPr>
          <w:p w14:paraId="51BEBCD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W4</w:t>
            </w:r>
          </w:p>
        </w:tc>
        <w:tc>
          <w:tcPr>
            <w:tcW w:w="1200" w:type="dxa"/>
          </w:tcPr>
          <w:p w14:paraId="1D5F99BE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W5</w:t>
            </w:r>
          </w:p>
        </w:tc>
        <w:tc>
          <w:tcPr>
            <w:tcW w:w="1200" w:type="dxa"/>
          </w:tcPr>
          <w:p w14:paraId="7799CE6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W6</w:t>
            </w:r>
          </w:p>
        </w:tc>
        <w:tc>
          <w:tcPr>
            <w:tcW w:w="1200" w:type="dxa"/>
          </w:tcPr>
          <w:p w14:paraId="628F86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2011/2012-2013</w:t>
            </w:r>
          </w:p>
        </w:tc>
        <w:tc>
          <w:tcPr>
            <w:tcW w:w="1200" w:type="dxa"/>
          </w:tcPr>
          <w:p w14:paraId="37381FB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2013-2015</w:t>
            </w:r>
          </w:p>
        </w:tc>
        <w:tc>
          <w:tcPr>
            <w:tcW w:w="1200" w:type="dxa"/>
          </w:tcPr>
          <w:p w14:paraId="7F25A5B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Not available in harmonized analytic file</w:t>
            </w:r>
          </w:p>
        </w:tc>
        <w:tc>
          <w:tcPr>
            <w:tcW w:w="1200" w:type="dxa"/>
          </w:tcPr>
          <w:p w14:paraId="62534F7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Not available in harmonized analytic file</w:t>
            </w:r>
          </w:p>
        </w:tc>
        <w:tc>
          <w:tcPr>
            <w:tcW w:w="1200" w:type="dxa"/>
          </w:tcPr>
          <w:p w14:paraId="311BACE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21010</w:t>
            </w:r>
          </w:p>
        </w:tc>
        <w:tc>
          <w:tcPr>
            <w:tcW w:w="1200" w:type="dxa"/>
          </w:tcPr>
          <w:p w14:paraId="0DC496ED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3428</w:t>
            </w:r>
          </w:p>
        </w:tc>
        <w:tc>
          <w:tcPr>
            <w:tcW w:w="1200" w:type="dxa"/>
          </w:tcPr>
          <w:p w14:paraId="49DEAB62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Calendar wave labels from the harmonized analytic file</w:t>
            </w:r>
          </w:p>
        </w:tc>
        <w:tc>
          <w:tcPr>
            <w:tcW w:w="1200" w:type="dxa"/>
          </w:tcPr>
          <w:p w14:paraId="7E61ABA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Exposure was classified across two consecutive waves and incident depressive symptoms were assessed at the subsequent wave; calendar-wave timing is reported where person-level interval data were not uniformly retained.</w:t>
            </w:r>
          </w:p>
        </w:tc>
      </w:tr>
      <w:tr w:rsidR="003F06A1" w:rsidRPr="00EC162C" w14:paraId="670EBDD4" w14:textId="77777777" w:rsidTr="00807EC5">
        <w:trPr>
          <w:jc w:val="center"/>
        </w:trPr>
        <w:tc>
          <w:tcPr>
            <w:tcW w:w="1200" w:type="dxa"/>
          </w:tcPr>
          <w:p w14:paraId="110003F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HRS</w:t>
            </w:r>
          </w:p>
        </w:tc>
        <w:tc>
          <w:tcPr>
            <w:tcW w:w="1200" w:type="dxa"/>
          </w:tcPr>
          <w:p w14:paraId="48A52666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W10</w:t>
            </w:r>
          </w:p>
        </w:tc>
        <w:tc>
          <w:tcPr>
            <w:tcW w:w="1200" w:type="dxa"/>
          </w:tcPr>
          <w:p w14:paraId="02BEE0B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W11</w:t>
            </w:r>
          </w:p>
        </w:tc>
        <w:tc>
          <w:tcPr>
            <w:tcW w:w="1200" w:type="dxa"/>
          </w:tcPr>
          <w:p w14:paraId="6FBF6EC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W12</w:t>
            </w:r>
          </w:p>
        </w:tc>
        <w:tc>
          <w:tcPr>
            <w:tcW w:w="1200" w:type="dxa"/>
          </w:tcPr>
          <w:p w14:paraId="1E0A694C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2010-2012</w:t>
            </w:r>
          </w:p>
        </w:tc>
        <w:tc>
          <w:tcPr>
            <w:tcW w:w="1200" w:type="dxa"/>
          </w:tcPr>
          <w:p w14:paraId="10764348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2012-2014</w:t>
            </w:r>
          </w:p>
        </w:tc>
        <w:tc>
          <w:tcPr>
            <w:tcW w:w="1200" w:type="dxa"/>
          </w:tcPr>
          <w:p w14:paraId="23FFDD40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Not available in harmonized analytic file</w:t>
            </w:r>
          </w:p>
        </w:tc>
        <w:tc>
          <w:tcPr>
            <w:tcW w:w="1200" w:type="dxa"/>
          </w:tcPr>
          <w:p w14:paraId="29D7ADA7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2.0 years</w:t>
            </w:r>
          </w:p>
        </w:tc>
        <w:tc>
          <w:tcPr>
            <w:tcW w:w="1200" w:type="dxa"/>
          </w:tcPr>
          <w:p w14:paraId="522DAB7F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12210</w:t>
            </w:r>
          </w:p>
        </w:tc>
        <w:tc>
          <w:tcPr>
            <w:tcW w:w="1200" w:type="dxa"/>
          </w:tcPr>
          <w:p w14:paraId="3D18FA1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978</w:t>
            </w:r>
          </w:p>
        </w:tc>
        <w:tc>
          <w:tcPr>
            <w:tcW w:w="1200" w:type="dxa"/>
          </w:tcPr>
          <w:p w14:paraId="023ED465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>Calendar wave labels and observed outcome interval where available</w:t>
            </w:r>
          </w:p>
        </w:tc>
        <w:tc>
          <w:tcPr>
            <w:tcW w:w="1200" w:type="dxa"/>
          </w:tcPr>
          <w:p w14:paraId="3F66D539" w14:textId="77777777" w:rsidR="003F06A1" w:rsidRPr="00EC162C" w:rsidRDefault="005B4683">
            <w:pPr>
              <w:rPr>
                <w:rFonts w:ascii="Times New Roman" w:hAnsi="Times New Roman" w:cs="Times New Roman"/>
              </w:rPr>
            </w:pPr>
            <w:r w:rsidRPr="00EC162C">
              <w:rPr>
                <w:rFonts w:ascii="Times New Roman" w:hAnsi="Times New Roman" w:cs="Times New Roman"/>
                <w:sz w:val="16"/>
              </w:rPr>
              <w:t xml:space="preserve">Exposure was classified across two consecutive waves and incident depressive </w:t>
            </w:r>
            <w:r w:rsidRPr="00EC162C">
              <w:rPr>
                <w:rFonts w:ascii="Times New Roman" w:hAnsi="Times New Roman" w:cs="Times New Roman"/>
                <w:sz w:val="16"/>
              </w:rPr>
              <w:lastRenderedPageBreak/>
              <w:t>symptoms were assessed at the subsequent wave; calendar-wave timing is reported where person-level interval data were not uniformly retained.</w:t>
            </w:r>
          </w:p>
        </w:tc>
      </w:tr>
    </w:tbl>
    <w:p w14:paraId="3B9561DB" w14:textId="77777777" w:rsidR="003F06A1" w:rsidRPr="00EC162C" w:rsidRDefault="003F06A1">
      <w:pPr>
        <w:rPr>
          <w:rFonts w:ascii="Times New Roman" w:hAnsi="Times New Roman" w:cs="Times New Roman"/>
        </w:rPr>
      </w:pPr>
    </w:p>
    <w:p w14:paraId="6CD7E15A" w14:textId="10278222" w:rsidR="003F06A1" w:rsidRPr="00807EC5" w:rsidRDefault="003F06A1">
      <w:pPr>
        <w:rPr>
          <w:rFonts w:ascii="Times New Roman" w:eastAsia="SimSun" w:hAnsi="Times New Roman" w:cs="Times New Roman"/>
          <w:lang w:eastAsia="zh-CN"/>
        </w:rPr>
      </w:pPr>
    </w:p>
    <w:sectPr w:rsidR="003F06A1" w:rsidRPr="00807EC5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6033052">
    <w:abstractNumId w:val="8"/>
  </w:num>
  <w:num w:numId="2" w16cid:durableId="1961960771">
    <w:abstractNumId w:val="6"/>
  </w:num>
  <w:num w:numId="3" w16cid:durableId="2136486069">
    <w:abstractNumId w:val="5"/>
  </w:num>
  <w:num w:numId="4" w16cid:durableId="937327777">
    <w:abstractNumId w:val="4"/>
  </w:num>
  <w:num w:numId="5" w16cid:durableId="574434130">
    <w:abstractNumId w:val="7"/>
  </w:num>
  <w:num w:numId="6" w16cid:durableId="1564100653">
    <w:abstractNumId w:val="3"/>
  </w:num>
  <w:num w:numId="7" w16cid:durableId="993526331">
    <w:abstractNumId w:val="2"/>
  </w:num>
  <w:num w:numId="8" w16cid:durableId="47535503">
    <w:abstractNumId w:val="1"/>
  </w:num>
  <w:num w:numId="9" w16cid:durableId="70379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06A1"/>
    <w:rsid w:val="005B4683"/>
    <w:rsid w:val="0074449F"/>
    <w:rsid w:val="00807EC5"/>
    <w:rsid w:val="009A2FEB"/>
    <w:rsid w:val="00AA1D8D"/>
    <w:rsid w:val="00B47730"/>
    <w:rsid w:val="00CB0664"/>
    <w:rsid w:val="00E11656"/>
    <w:rsid w:val="00EC16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D20C9AD-4C61-48E9-9430-D0BF5078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KZ</cp:lastModifiedBy>
  <cp:revision>4</cp:revision>
  <dcterms:created xsi:type="dcterms:W3CDTF">2013-12-23T23:15:00Z</dcterms:created>
  <dcterms:modified xsi:type="dcterms:W3CDTF">2026-05-04T03:44:00Z</dcterms:modified>
  <cp:category/>
</cp:coreProperties>
</file>