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jc w:val="center"/>
      </w:pPr>
      <w:r>
        <w:rPr>
          <w:rFonts w:ascii="Times New Roman" w:cs="Times New Roman" w:eastAsia="Times New Roman" w:hAnsi="Times New Roman"/>
          <w:b/>
          <w:bCs/>
          <w:sz w:val="24"/>
          <w:szCs w:val="24"/>
        </w:rPr>
        <w:t xml:space="preserve">Additional file 5</w:t>
      </w:r>
    </w:p>
    <w:p>
      <w:pPr>
        <w:spacing w:after="200"/>
        <w:jc w:val="center"/>
      </w:pPr>
      <w:r>
        <w:rPr>
          <w:rFonts w:ascii="Times New Roman" w:cs="Times New Roman" w:eastAsia="Times New Roman" w:hAnsi="Times New Roman"/>
          <w:b/>
          <w:bCs/>
          <w:sz w:val="28"/>
          <w:szCs w:val="28"/>
        </w:rPr>
        <w:t xml:space="preserve">Nationwide Survey of Non-Mandatory Preventive Medicine Programmes</w:t>
      </w:r>
    </w:p>
    <w:p>
      <w:pPr>
        <w:spacing w:after="360"/>
        <w:jc w:val="center"/>
      </w:pPr>
      <w:r>
        <w:rPr>
          <w:rFonts w:ascii="Times New Roman" w:cs="Times New Roman" w:eastAsia="Times New Roman" w:hAnsi="Times New Roman"/>
          <w:i/>
          <w:iCs/>
          <w:sz w:val="22"/>
          <w:szCs w:val="22"/>
        </w:rPr>
        <w:t xml:space="preserve">(English translation of the Japanese questionnaire administered to all 1,741 Japanese municipalities)</w:t>
      </w:r>
    </w:p>
    <w:p>
      <w:pPr>
        <w:pStyle w:val="Heading1"/>
        <w:spacing w:after="200" w:before="360" w:line="320"/>
      </w:pPr>
      <w:r>
        <w:rPr>
          <w:rFonts w:ascii="Times New Roman" w:cs="Times New Roman" w:eastAsia="Times New Roman" w:hAnsi="Times New Roman"/>
          <w:b/>
          <w:bCs/>
          <w:sz w:val="28"/>
          <w:szCs w:val="28"/>
        </w:rPr>
        <w:t xml:space="preserve">Request for cooperation</w:t>
      </w:r>
    </w:p>
    <w:p>
      <w:pPr>
        <w:spacing w:after="120" w:line="320"/>
      </w:pPr>
      <w:r>
        <w:rPr>
          <w:rFonts w:ascii="Times New Roman" w:cs="Times New Roman" w:eastAsia="Times New Roman" w:hAnsi="Times New Roman"/>
          <w:sz w:val="22"/>
          <w:szCs w:val="22"/>
        </w:rPr>
        <w:t xml:space="preserve">Thank you for considering participation in our “Nationwide Survey of Non-Mandatory Preventive Medicine Programmes.”</w:t>
      </w:r>
    </w:p>
    <w:p>
      <w:pPr>
        <w:spacing w:after="120" w:line="320"/>
      </w:pPr>
      <w:r>
        <w:rPr>
          <w:rFonts w:ascii="Times New Roman" w:cs="Times New Roman" w:eastAsia="Times New Roman" w:hAnsi="Times New Roman"/>
          <w:sz w:val="22"/>
          <w:szCs w:val="22"/>
        </w:rPr>
        <w:t xml:space="preserve">The purpose of this study is to characterise the implementation of non-mandatory preventive medicine programmes by municipalities across Japan, in order to provide foundational data for evidence-based health policy-making. The survey is conducted as part of the research activities of the Japan Preventive Services Task Force (JPPSTF) and is intended to inform evidence-based policy decisions.</w:t>
      </w:r>
    </w:p>
    <w:p>
      <w:pPr>
        <w:spacing w:after="120" w:line="320"/>
      </w:pPr>
      <w:r>
        <w:rPr>
          <w:rFonts w:ascii="Times New Roman" w:cs="Times New Roman" w:eastAsia="Times New Roman" w:hAnsi="Times New Roman"/>
          <w:sz w:val="22"/>
          <w:szCs w:val="22"/>
        </w:rPr>
        <w:t xml:space="preserve">In Japan, preventive medicine programmes mandated by law (such as the Specific Health Check-up) are widely implemented by municipalities. In contrast, detailed nationwide data on non-mandatory health check-ups and screenings, which municipalities provide in response to local needs, are limited.</w:t>
      </w:r>
    </w:p>
    <w:p>
      <w:pPr>
        <w:spacing w:after="120" w:line="320"/>
      </w:pPr>
      <w:r>
        <w:rPr>
          <w:rFonts w:ascii="Times New Roman" w:cs="Times New Roman" w:eastAsia="Times New Roman" w:hAnsi="Times New Roman"/>
          <w:sz w:val="22"/>
          <w:szCs w:val="22"/>
        </w:rPr>
        <w:t xml:space="preserve">In this survey, we ask the health check-up and screening divisions of municipalities to report on the implementation of preventive medicine programmes outside the scope of legal mandates, excluding vaccinations and cancer screenings. The data obtained will provide valuable information that reflects the current state of municipal preventive medicine in the context of the national health DX (digital transformation) initiative, and is expected to contribute to future utilisation of health data and to information sharing between municipalities.</w:t>
      </w:r>
    </w:p>
    <w:p>
      <w:pPr>
        <w:spacing w:after="120" w:line="320"/>
      </w:pPr>
      <w:r>
        <w:rPr>
          <w:rFonts w:ascii="Times New Roman" w:cs="Times New Roman" w:eastAsia="Times New Roman" w:hAnsi="Times New Roman"/>
          <w:sz w:val="22"/>
          <w:szCs w:val="22"/>
        </w:rPr>
        <w:t xml:space="preserve">Cooperating municipalities will subsequently be provided with a summary of the aggregated results, which we hope will be useful for future preventive medicine policy planning in each municipality.</w:t>
      </w:r>
    </w:p>
    <w:p>
      <w:pPr>
        <w:pStyle w:val="Heading2"/>
        <w:spacing w:after="160" w:before="280" w:line="320"/>
      </w:pPr>
      <w:r>
        <w:rPr>
          <w:rFonts w:ascii="Times New Roman" w:cs="Times New Roman" w:eastAsia="Times New Roman" w:hAnsi="Times New Roman"/>
          <w:b/>
          <w:bCs/>
          <w:sz w:val="24"/>
          <w:szCs w:val="24"/>
        </w:rPr>
        <w:t xml:space="preserve">Survey overview</w:t>
      </w:r>
    </w:p>
    <w:p>
      <w:pPr>
        <w:spacing w:after="120" w:line="320"/>
      </w:pPr>
      <w:r>
        <w:rPr>
          <w:rFonts w:ascii="Times New Roman" w:cs="Times New Roman" w:eastAsia="Times New Roman" w:hAnsi="Times New Roman"/>
          <w:sz w:val="22"/>
          <w:szCs w:val="22"/>
        </w:rPr>
        <w:t xml:space="preserve">Estimated time required: approximately 15 minutes.</w:t>
      </w:r>
    </w:p>
    <w:p>
      <w:pPr>
        <w:spacing w:after="120" w:line="320"/>
      </w:pPr>
      <w:r>
        <w:rPr>
          <w:rFonts w:ascii="Times New Roman" w:cs="Times New Roman" w:eastAsia="Times New Roman" w:hAnsi="Times New Roman"/>
          <w:sz w:val="22"/>
          <w:szCs w:val="22"/>
        </w:rPr>
        <w:t xml:space="preserve">Response deadline: end of April 2025 (we would be grateful if responses could be returned by 31 March 2025 where possible).</w:t>
      </w:r>
    </w:p>
    <w:p>
      <w:pPr>
        <w:pStyle w:val="Heading2"/>
        <w:spacing w:after="160" w:before="280" w:line="320"/>
      </w:pPr>
      <w:r>
        <w:rPr>
          <w:rFonts w:ascii="Times New Roman" w:cs="Times New Roman" w:eastAsia="Times New Roman" w:hAnsi="Times New Roman"/>
          <w:b/>
          <w:bCs/>
          <w:sz w:val="24"/>
          <w:szCs w:val="24"/>
        </w:rPr>
        <w:t xml:space="preserve">Important notes</w:t>
      </w:r>
    </w:p>
    <w:p>
      <w:pPr>
        <w:pStyle w:val="ListParagraph"/>
        <w:numPr>
          <w:ilvl w:val="0"/>
          <w:numId w:val="2"/>
        </w:numPr>
        <w:spacing w:after="80" w:line="320"/>
      </w:pPr>
      <w:r>
        <w:rPr>
          <w:rFonts w:ascii="Times New Roman" w:cs="Times New Roman" w:eastAsia="Times New Roman" w:hAnsi="Times New Roman"/>
          <w:sz w:val="22"/>
          <w:szCs w:val="22"/>
        </w:rPr>
        <w:t xml:space="preserve">This questionnaire is intended to be completed by the health check-up / screening division of each municipality.</w:t>
      </w:r>
    </w:p>
    <w:p>
      <w:pPr>
        <w:pStyle w:val="ListParagraph"/>
        <w:numPr>
          <w:ilvl w:val="0"/>
          <w:numId w:val="2"/>
        </w:numPr>
        <w:spacing w:after="80" w:line="320"/>
      </w:pPr>
      <w:r>
        <w:rPr>
          <w:rFonts w:ascii="Times New Roman" w:cs="Times New Roman" w:eastAsia="Times New Roman" w:hAnsi="Times New Roman"/>
          <w:sz w:val="22"/>
          <w:szCs w:val="22"/>
        </w:rPr>
        <w:t xml:space="preserve">Responses will be used solely for research purposes. Individual municipality names and personal information will not be disclosed.</w:t>
      </w:r>
    </w:p>
    <w:p>
      <w:pPr>
        <w:pStyle w:val="ListParagraph"/>
        <w:numPr>
          <w:ilvl w:val="0"/>
          <w:numId w:val="2"/>
        </w:numPr>
        <w:spacing w:after="80" w:line="320"/>
      </w:pPr>
      <w:r>
        <w:rPr>
          <w:rFonts w:ascii="Times New Roman" w:cs="Times New Roman" w:eastAsia="Times New Roman" w:hAnsi="Times New Roman"/>
          <w:sz w:val="22"/>
          <w:szCs w:val="22"/>
        </w:rPr>
        <w:t xml:space="preserve">No specific response will be treated critically; please respond with confidence.</w:t>
      </w:r>
    </w:p>
    <w:p>
      <w:pPr>
        <w:pStyle w:val="ListParagraph"/>
        <w:numPr>
          <w:ilvl w:val="0"/>
          <w:numId w:val="2"/>
        </w:numPr>
        <w:spacing w:after="80" w:line="320"/>
      </w:pPr>
      <w:r>
        <w:rPr>
          <w:rFonts w:ascii="Times New Roman" w:cs="Times New Roman" w:eastAsia="Times New Roman" w:hAnsi="Times New Roman"/>
          <w:sz w:val="22"/>
          <w:szCs w:val="22"/>
        </w:rPr>
        <w:t xml:space="preserve">If the questionnaire is returned by post, please note that postage costs will be borne by the responding municipality.</w:t>
      </w:r>
    </w:p>
    <w:p>
      <w:pPr>
        <w:pStyle w:val="ListParagraph"/>
        <w:numPr>
          <w:ilvl w:val="0"/>
          <w:numId w:val="2"/>
        </w:numPr>
        <w:spacing w:after="80" w:line="320"/>
      </w:pPr>
      <w:r>
        <w:rPr>
          <w:rFonts w:ascii="Times New Roman" w:cs="Times New Roman" w:eastAsia="Times New Roman" w:hAnsi="Times New Roman"/>
          <w:sz w:val="22"/>
          <w:szCs w:val="22"/>
        </w:rPr>
        <w:t xml:space="preserve">Completed questionnaires submitted as PDF files by e-mail may be sent to the address below: E-mail: mori.hideki.fu(at)mail.hosp.go.jp (please replace “(at)” with “@”).</w:t>
      </w:r>
    </w:p>
    <w:p>
      <w:pPr>
        <w:pStyle w:val="ListParagraph"/>
        <w:numPr>
          <w:ilvl w:val="0"/>
          <w:numId w:val="2"/>
        </w:numPr>
        <w:spacing w:after="80" w:line="320"/>
      </w:pPr>
      <w:r>
        <w:rPr>
          <w:rFonts w:ascii="Times New Roman" w:cs="Times New Roman" w:eastAsia="Times New Roman" w:hAnsi="Times New Roman"/>
          <w:sz w:val="22"/>
          <w:szCs w:val="22"/>
        </w:rPr>
        <w:t xml:space="preserve">Municipalities responding via the web-based form (Google Forms) do not need to return the questionnaire by post or e-mail.</w:t>
      </w:r>
    </w:p>
    <w:p>
      <w:pPr>
        <w:spacing w:after="120" w:line="320"/>
      </w:pPr>
      <w:r>
        <w:rPr>
          <w:rFonts w:ascii="Times New Roman" w:cs="Times New Roman" w:eastAsia="Times New Roman" w:hAnsi="Times New Roman"/>
          <w:sz w:val="22"/>
          <w:szCs w:val="22"/>
        </w:rPr>
        <w:t xml:space="preserve">For questions about this survey, please contact us at the address below.</w:t>
      </w:r>
    </w:p>
    <w:p>
      <w:pPr>
        <w:pStyle w:val="Heading2"/>
        <w:spacing w:after="160" w:before="280" w:line="320"/>
      </w:pPr>
      <w:r>
        <w:rPr>
          <w:rFonts w:ascii="Times New Roman" w:cs="Times New Roman" w:eastAsia="Times New Roman" w:hAnsi="Times New Roman"/>
          <w:b/>
          <w:bCs/>
          <w:sz w:val="24"/>
          <w:szCs w:val="24"/>
        </w:rPr>
        <w:t xml:space="preserve">Contact / mailing address</w:t>
      </w:r>
    </w:p>
    <w:p>
      <w:pPr>
        <w:spacing w:after="120" w:line="320"/>
      </w:pPr>
      <w:r>
        <w:rPr>
          <w:rFonts w:ascii="Times New Roman" w:cs="Times New Roman" w:eastAsia="Times New Roman" w:hAnsi="Times New Roman"/>
          <w:sz w:val="22"/>
          <w:szCs w:val="22"/>
        </w:rPr>
        <w:t xml:space="preserve">Principal investigator: Hideki Mori</w:t>
      </w:r>
    </w:p>
    <w:p>
      <w:pPr>
        <w:spacing w:after="120" w:line="320"/>
      </w:pPr>
      <w:r>
        <w:rPr>
          <w:rFonts w:ascii="Times New Roman" w:cs="Times New Roman" w:eastAsia="Times New Roman" w:hAnsi="Times New Roman"/>
          <w:sz w:val="22"/>
          <w:szCs w:val="22"/>
        </w:rPr>
        <w:t xml:space="preserve">Department of General Internal Medicine, National Hospital Organization Nagasaki Medical Center</w:t>
      </w:r>
    </w:p>
    <w:p>
      <w:pPr>
        <w:spacing w:after="120" w:line="320"/>
      </w:pPr>
      <w:r>
        <w:rPr>
          <w:rFonts w:ascii="Times New Roman" w:cs="Times New Roman" w:eastAsia="Times New Roman" w:hAnsi="Times New Roman"/>
          <w:sz w:val="22"/>
          <w:szCs w:val="22"/>
        </w:rPr>
        <w:t xml:space="preserve">2-1001-1 Kubara, Omura, Nagasaki 856-8562, Japan</w:t>
      </w:r>
    </w:p>
    <w:p>
      <w:pPr>
        <w:spacing w:after="120" w:line="320"/>
      </w:pPr>
      <w:r>
        <w:rPr>
          <w:rFonts w:ascii="Times New Roman" w:cs="Times New Roman" w:eastAsia="Times New Roman" w:hAnsi="Times New Roman"/>
          <w:sz w:val="22"/>
          <w:szCs w:val="22"/>
        </w:rPr>
        <w:t xml:space="preserve">Telephone: +81-957-52-3121 (main); weekdays 09:00–17:00</w:t>
      </w:r>
    </w:p>
    <w:p>
      <w:pPr>
        <w:spacing w:after="120" w:line="320"/>
      </w:pPr>
      <w:r>
        <w:rPr>
          <w:rFonts w:ascii="Times New Roman" w:cs="Times New Roman" w:eastAsia="Times New Roman" w:hAnsi="Times New Roman"/>
          <w:sz w:val="22"/>
          <w:szCs w:val="22"/>
        </w:rPr>
        <w:t xml:space="preserve">E-mail: mori.hideki.fu(at)mail.hosp.go.jp (please replace “(at)” with “@”)</w:t>
      </w:r>
    </w:p>
    <w:p>
      <w:pPr>
        <w:pStyle w:val="Heading1"/>
        <w:spacing w:after="200" w:before="360" w:line="320"/>
      </w:pPr>
      <w:r>
        <w:rPr>
          <w:rFonts w:ascii="Times New Roman" w:cs="Times New Roman" w:eastAsia="Times New Roman" w:hAnsi="Times New Roman"/>
          <w:b/>
          <w:bCs/>
          <w:sz w:val="28"/>
          <w:szCs w:val="28"/>
        </w:rPr>
        <w:t xml:space="preserve">Part 1. Information about the municipality and respondent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600"/>
        <w:gridCol w:w="5760"/>
      </w:tblGrid>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Prefecture</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Municipality</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Name of respondent</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Affiliation / division of respondent</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Telephone number*</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r>
        <w:tc>
          <w:tcPr>
            <w:tcW w:type="dxa" w:w="3600"/>
            <w:tcBorders>
              <w:top w:val="single" w:color="999999" w:sz="4"/>
              <w:left w:val="single" w:color="999999" w:sz="4"/>
              <w:bottom w:val="single" w:color="999999" w:sz="4"/>
              <w:right w:val="single" w:color="999999" w:sz="4"/>
            </w:tcBorders>
            <w:shd w:fill="F2F2F2" w:val="clear"/>
            <w:tcMar>
              <w:top w:type="dxa" w:w="80"/>
              <w:left w:type="dxa" w:w="120"/>
              <w:bottom w:type="dxa" w:w="80"/>
              <w:right w:type="dxa" w:w="120"/>
            </w:tcMar>
          </w:tcPr>
          <w:p>
            <w:r>
              <w:rPr>
                <w:rFonts w:ascii="Times New Roman" w:cs="Times New Roman" w:eastAsia="Times New Roman" w:hAnsi="Times New Roman"/>
                <w:b/>
                <w:bCs/>
                <w:sz w:val="22"/>
                <w:szCs w:val="22"/>
              </w:rPr>
              <w:t xml:space="preserve">E-mail address*</w:t>
            </w:r>
          </w:p>
        </w:tc>
        <w:tc>
          <w:tcPr>
            <w:tcW w:type="dxa" w:w="57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w:r>
          </w:p>
        </w:tc>
      </w:tr>
    </w:tbl>
    <w:p>
      <w:pPr>
        <w:spacing w:after="120" w:line="320"/>
      </w:pPr>
      <w:r>
        <w:rPr>
          <w:rFonts w:ascii="Times New Roman" w:cs="Times New Roman" w:eastAsia="Times New Roman" w:hAnsi="Times New Roman"/>
          <w:i/>
          <w:iCs/>
          <w:sz w:val="22"/>
          <w:szCs w:val="22"/>
        </w:rPr>
        <w:t xml:space="preserve">* These contact details will only be used in cases where it is necessary to verify the response for research purposes.</w:t>
      </w:r>
    </w:p>
    <w:p>
      <w:pPr>
        <w:pStyle w:val="Heading1"/>
        <w:spacing w:after="200" w:before="360" w:line="320"/>
      </w:pPr>
      <w:r>
        <w:rPr>
          <w:rFonts w:ascii="Times New Roman" w:cs="Times New Roman" w:eastAsia="Times New Roman" w:hAnsi="Times New Roman"/>
          <w:b/>
          <w:bCs/>
          <w:sz w:val="28"/>
          <w:szCs w:val="28"/>
        </w:rPr>
        <w:t xml:space="preserve">Part 2. Non-mandatory preventive medicine programmes (general items)</w:t>
      </w:r>
    </w:p>
    <w:p>
      <w:pPr>
        <w:spacing w:after="120" w:line="320"/>
      </w:pPr>
      <w:r>
        <w:rPr>
          <w:rFonts w:ascii="Times New Roman" w:cs="Times New Roman" w:eastAsia="Times New Roman" w:hAnsi="Times New Roman"/>
          <w:b/>
          <w:bCs/>
          <w:sz w:val="22"/>
          <w:szCs w:val="22"/>
        </w:rPr>
        <w:t xml:space="preserve">Q1. For each of the following programmes, please indicate the implementation or subsidy status (including outsourcing to external providers) by your municipality.</w:t>
      </w:r>
    </w:p>
    <w:p>
      <w:pPr>
        <w:spacing w:after="100"/>
      </w:pPr>
      <w:r>
        <w:rPr>
          <w:rFonts w:ascii="Times New Roman" w:cs="Times New Roman" w:eastAsia="Times New Roman" w:hAnsi="Times New Roman"/>
          <w:sz w:val="22"/>
          <w:szCs w:val="22"/>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400"/>
        <w:gridCol w:w="3960"/>
      </w:tblGrid>
      <w:tr>
        <w:trPr>
          <w:tblHeader/>
        </w:trPr>
        <w:tc>
          <w:tcPr>
            <w:tcW w:type="dxa" w:w="5400"/>
            <w:tcBorders>
              <w:top w:val="single" w:color="999999" w:sz="4"/>
              <w:left w:val="single" w:color="999999" w:sz="4"/>
              <w:bottom w:val="single" w:color="999999" w:sz="4"/>
              <w:right w:val="single" w:color="999999" w:sz="4"/>
            </w:tcBorders>
            <w:shd w:fill="D9E2F3" w:val="clear"/>
            <w:tcMar>
              <w:top w:type="dxa" w:w="80"/>
              <w:left w:type="dxa" w:w="120"/>
              <w:bottom w:type="dxa" w:w="80"/>
              <w:right w:type="dxa" w:w="120"/>
            </w:tcMar>
          </w:tcPr>
          <w:p>
            <w:r>
              <w:rPr>
                <w:rFonts w:ascii="Times New Roman" w:cs="Times New Roman" w:eastAsia="Times New Roman" w:hAnsi="Times New Roman"/>
                <w:b/>
                <w:bCs/>
                <w:sz w:val="22"/>
                <w:szCs w:val="22"/>
              </w:rPr>
              <w:t xml:space="preserve">Screening / check-up programme</w:t>
            </w:r>
          </w:p>
        </w:tc>
        <w:tc>
          <w:tcPr>
            <w:tcW w:type="dxa" w:w="3960"/>
            <w:tcBorders>
              <w:top w:val="single" w:color="999999" w:sz="4"/>
              <w:left w:val="single" w:color="999999" w:sz="4"/>
              <w:bottom w:val="single" w:color="999999" w:sz="4"/>
              <w:right w:val="single" w:color="999999" w:sz="4"/>
            </w:tcBorders>
            <w:shd w:fill="D9E2F3" w:val="clear"/>
            <w:tcMar>
              <w:top w:type="dxa" w:w="80"/>
              <w:left w:type="dxa" w:w="120"/>
              <w:bottom w:type="dxa" w:w="80"/>
              <w:right w:type="dxa" w:w="120"/>
            </w:tcMar>
          </w:tcPr>
          <w:p>
            <w:r>
              <w:rPr>
                <w:rFonts w:ascii="Times New Roman" w:cs="Times New Roman" w:eastAsia="Times New Roman" w:hAnsi="Times New Roman"/>
                <w:b/>
                <w:bCs/>
                <w:sz w:val="22"/>
                <w:szCs w:val="22"/>
              </w:rPr>
              <w:t xml:space="preserve">Implementation status</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Young adult health check-up (a health check-up targeting individuals aged 39 years or younger who are not covered by employer-based check-ups, etc.)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Atherosclerotic disease screening using ankle–brachial index (ABI)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Abdominal aortic aneurysm screening by abdominal ultrasonography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Cardiac screening by echocardiography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Chronic obstructive pulmonary disease (COPD)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HIV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Syphilis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Gonorrhoea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Chlamydia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Hepatitis B virus screening – provision or subsidy (excluding screening as part of antenatal care)</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Hepatitis C virus screening – provision or subsidy (excluding screening as part of antenatal care)</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Folic acid supplementation for women who are pregnant or planning pregnancy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Screening for depression or anxiety disorders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Screening for unhealthy drug use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Screening for intimate partner violence (IPV)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Frailty screening targeting older adults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Fall risk assessment / fall prevention programme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Dental check-ups / examinations (excluding school-based dental check-ups)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Helicobacter pylori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Thyroid ultrasonography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Comprehensive medical check-up (“ningen dock”)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r>
        <w:tc>
          <w:tcPr>
            <w:tcW w:type="dxa" w:w="540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Positron emission tomography (PET) screening – provision or subsidy</w:t>
            </w:r>
          </w:p>
        </w:tc>
        <w:tc>
          <w:tcPr>
            <w:tcW w:type="dxa" w:w="3960"/>
            <w:tcBorders>
              <w:top w:val="single" w:color="999999" w:sz="4"/>
              <w:left w:val="single" w:color="999999" w:sz="4"/>
              <w:bottom w:val="single" w:color="999999" w:sz="4"/>
              <w:right w:val="single" w:color="999999" w:sz="4"/>
            </w:tcBorders>
            <w:tcMar>
              <w:top w:type="dxa" w:w="80"/>
              <w:left w:type="dxa" w:w="120"/>
              <w:bottom w:type="dxa" w:w="80"/>
              <w:right w:type="dxa" w:w="120"/>
            </w:tcMar>
          </w:tcPr>
          <w:p>
            <w:r>
              <w:rPr>
                <w:rFonts w:ascii="Times New Roman" w:cs="Times New Roman" w:eastAsia="Times New Roman" w:hAnsi="Times New Roman"/>
                <w:sz w:val="22"/>
                <w:szCs w:val="22"/>
              </w:rPr>
              <w:t xml:space="preserve">☐ 1. Implemented or subsidised</w:t>
            </w:r>
          </w:p>
          <w:p>
            <w:r>
              <w:rPr>
                <w:rFonts w:ascii="Times New Roman" w:cs="Times New Roman" w:eastAsia="Times New Roman" w:hAnsi="Times New Roman"/>
                <w:sz w:val="22"/>
                <w:szCs w:val="22"/>
              </w:rPr>
              <w:t xml:space="preserve">☐ 2. Neither implemented nor subsidised</w:t>
            </w:r>
          </w:p>
          <w:p>
            <w:r>
              <w:rPr>
                <w:rFonts w:ascii="Times New Roman" w:cs="Times New Roman" w:eastAsia="Times New Roman" w:hAnsi="Times New Roman"/>
                <w:sz w:val="22"/>
                <w:szCs w:val="22"/>
              </w:rPr>
              <w:t xml:space="preserve">☐ 3. Other (please specify): _______________</w:t>
            </w:r>
          </w:p>
        </w:tc>
      </w:tr>
    </w:tbl>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b/>
          <w:bCs/>
          <w:sz w:val="22"/>
          <w:szCs w:val="22"/>
        </w:rPr>
        <w:t xml:space="preserve">Q2. Please indicate the implementation or subsidy status of “brain dock” (brain check-up) screening (including outsourcing to external providers) by your municipality.</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1. Implemented or subsidised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2. Neither implemented nor subsidised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3. Other (please specify): ________________________</w:t>
      </w:r>
    </w:p>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i/>
          <w:iCs/>
          <w:sz w:val="22"/>
          <w:szCs w:val="22"/>
        </w:rPr>
        <w:t xml:space="preserve">To be answered only if you have selected “Implemented or subsidised” above; please provide further details of the programme.</w:t>
      </w:r>
    </w:p>
    <w:p>
      <w:pPr>
        <w:spacing w:after="120" w:line="320"/>
      </w:pPr>
      <w:r>
        <w:rPr>
          <w:rFonts w:ascii="Times New Roman" w:cs="Times New Roman" w:eastAsia="Times New Roman" w:hAnsi="Times New Roman"/>
          <w:b/>
          <w:bCs/>
          <w:sz w:val="22"/>
          <w:szCs w:val="22"/>
        </w:rPr>
        <w:t xml:space="preserve">(a) Method used (multiple selections allowed):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Brain MRI</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Carotid ultrasonography</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(b) Target age (eligibility) specification:</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A continuous age range is specified (e.g., “40–60 years” or “40 years and over”)</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Specific individual ages are designated (e.g., “40, 45, 50 years”)</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No age restriction (all ages are eligible)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(c) Please describe the target age range specifically (only if applicable):</w:t>
      </w:r>
    </w:p>
    <w:p>
      <w:pPr>
        <w:spacing w:after="120" w:line="320"/>
      </w:pPr>
      <w:r>
        <w:rPr>
          <w:rFonts w:ascii="Times New Roman" w:cs="Times New Roman" w:eastAsia="Times New Roman" w:hAnsi="Times New Roman"/>
          <w:i/>
          <w:iCs/>
          <w:sz w:val="22"/>
          <w:szCs w:val="22"/>
        </w:rPr>
        <w:t xml:space="preserve">Examples: “40–60 years”; “40, 45, 50 years”</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(d) Uptake (participation) rate for brain dock screening in fiscal year 2023 (Reiwa 5):</w:t>
      </w:r>
    </w:p>
    <w:p>
      <w:pPr>
        <w:spacing w:after="120" w:line="320"/>
      </w:pPr>
      <w:r>
        <w:rPr>
          <w:rFonts w:ascii="Times New Roman" w:cs="Times New Roman" w:eastAsia="Times New Roman" w:hAnsi="Times New Roman"/>
          <w:i/>
          <w:iCs/>
          <w:sz w:val="22"/>
          <w:szCs w:val="22"/>
        </w:rPr>
        <w:t xml:space="preserve">The uptake rate is defined as the proportion (%) of eligible residents who received the screening. If data for FY2023 have not been tabulated or are unavailable, please tick “Not tabulated / unavailable.”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Tabulated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Not tabulated / unavailable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If tabulated, please indicate the fiscal year tabulated:</w:t>
      </w:r>
    </w:p>
    <w:p>
      <w:pPr>
        <w:spacing w:after="120" w:line="320"/>
      </w:pPr>
      <w:r>
        <w:rPr>
          <w:rFonts w:ascii="Times New Roman" w:cs="Times New Roman" w:eastAsia="Times New Roman" w:hAnsi="Times New Roman"/>
          <w:i/>
          <w:iCs/>
          <w:sz w:val="22"/>
          <w:szCs w:val="22"/>
        </w:rPr>
        <w:t xml:space="preserve">Example: FY2023 (please use Japanese-era notation in the original; English-era notation is acceptable in translation).</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If tabulated, please indicate the uptake rate (%):</w:t>
      </w:r>
    </w:p>
    <w:p>
      <w:pPr>
        <w:spacing w:after="120" w:line="320"/>
      </w:pPr>
      <w:r>
        <w:rPr>
          <w:rFonts w:ascii="Times New Roman" w:cs="Times New Roman" w:eastAsia="Times New Roman" w:hAnsi="Times New Roman"/>
          <w:i/>
          <w:iCs/>
          <w:sz w:val="22"/>
          <w:szCs w:val="22"/>
        </w:rPr>
        <w:t xml:space="preserve">Example: 50% (please provide as a proportion).</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(e) Approximate annual public expenditure for the provision or subsidy of brain dock screening (FY2023 / Reiwa 5 settled amount):</w:t>
      </w:r>
    </w:p>
    <w:p>
      <w:pPr>
        <w:spacing w:after="120" w:line="320"/>
      </w:pPr>
      <w:r>
        <w:rPr>
          <w:rFonts w:ascii="Times New Roman" w:cs="Times New Roman" w:eastAsia="Times New Roman" w:hAnsi="Times New Roman"/>
          <w:i/>
          <w:iCs/>
          <w:sz w:val="22"/>
          <w:szCs w:val="22"/>
        </w:rPr>
        <w:t xml:space="preserve">Example: ###,### JPY per fiscal year.</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(f) Remarks (any supplementary explanation):</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b/>
          <w:bCs/>
          <w:sz w:val="22"/>
          <w:szCs w:val="22"/>
        </w:rPr>
        <w:t xml:space="preserve">Q3. Please indicate the implementation or subsidy status of “osteoporosis screening” (including outsourcing to external providers) by your municipality.</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1. Implemented or subsidised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2. Neither implemented nor subsidised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3. Other (please specify): ________________________</w:t>
      </w:r>
    </w:p>
    <w:p>
      <w:pPr>
        <w:spacing w:after="120" w:line="320"/>
      </w:pPr>
      <w:r>
        <w:rPr>
          <w:rFonts w:ascii="Times New Roman" w:cs="Times New Roman" w:eastAsia="Times New Roman" w:hAnsi="Times New Roman"/>
          <w:i/>
          <w:iCs/>
          <w:sz w:val="22"/>
          <w:szCs w:val="22"/>
        </w:rPr>
        <w:t xml:space="preserve">To be answered only if you have selected “Implemented or subsidised” above; please provide further details of the programme.</w:t>
      </w:r>
    </w:p>
    <w:p>
      <w:pPr>
        <w:spacing w:after="120" w:line="320"/>
      </w:pPr>
      <w:r>
        <w:rPr>
          <w:rFonts w:ascii="Times New Roman" w:cs="Times New Roman" w:eastAsia="Times New Roman" w:hAnsi="Times New Roman"/>
          <w:b/>
          <w:bCs/>
          <w:sz w:val="22"/>
          <w:szCs w:val="22"/>
        </w:rPr>
        <w:t xml:space="preserve">(a) Target age (eligibility) specification:</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A continuous age range is specified (e.g., “40–60 years” or “40 years and over”)</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Specific individual ages are designated (e.g., “40, 45, 50 years”)</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No age restriction (all ages are eligible)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(b) Please describe the target age range specifically (only if applicable):</w:t>
      </w:r>
    </w:p>
    <w:p>
      <w:pPr>
        <w:spacing w:after="120" w:line="320"/>
      </w:pPr>
      <w:r>
        <w:rPr>
          <w:rFonts w:ascii="Times New Roman" w:cs="Times New Roman" w:eastAsia="Times New Roman" w:hAnsi="Times New Roman"/>
          <w:i/>
          <w:iCs/>
          <w:sz w:val="22"/>
          <w:szCs w:val="22"/>
        </w:rPr>
        <w:t xml:space="preserve">Examples: “40–60 years”; “40, 45, 50 years”</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(c) Eligibility by sex:</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Men only</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Women only</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Both sexes (provided or subsidised regardless of sex)</w:t>
      </w:r>
    </w:p>
    <w:p>
      <w:pPr>
        <w:spacing w:after="120" w:line="320"/>
      </w:pPr>
      <w:r>
        <w:rPr>
          <w:rFonts w:ascii="Times New Roman" w:cs="Times New Roman" w:eastAsia="Times New Roman" w:hAnsi="Times New Roman"/>
          <w:b/>
          <w:bCs/>
          <w:sz w:val="22"/>
          <w:szCs w:val="22"/>
        </w:rPr>
        <w:t xml:space="preserve">(d) Is osteoporosis risk assessment, beyond age and sex, used to select eligible individuals?</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Yes</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No</w:t>
      </w:r>
    </w:p>
    <w:p>
      <w:pPr>
        <w:spacing w:after="120" w:line="320"/>
      </w:pPr>
      <w:r>
        <w:rPr>
          <w:rFonts w:ascii="Times New Roman" w:cs="Times New Roman" w:eastAsia="Times New Roman" w:hAnsi="Times New Roman"/>
          <w:b/>
          <w:bCs/>
          <w:sz w:val="22"/>
          <w:szCs w:val="22"/>
        </w:rPr>
        <w:t xml:space="preserve">(e) If bone mineral density (BMD) measurement is included, please indicate the method used (multiple selections allowed):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Dual-energy X-ray absorptiometry (DXA) of the femur or lumbar spine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DXA at bone sites other than the femur or lumbar spine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Quantitative ultrasound (QUS)</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(f) Uptake rate for osteoporosis screening in fiscal year 2023 (Reiwa 5):</w:t>
      </w:r>
    </w:p>
    <w:p>
      <w:pPr>
        <w:spacing w:after="120" w:line="320"/>
      </w:pPr>
      <w:r>
        <w:rPr>
          <w:rFonts w:ascii="Times New Roman" w:cs="Times New Roman" w:eastAsia="Times New Roman" w:hAnsi="Times New Roman"/>
          <w:i/>
          <w:iCs/>
          <w:sz w:val="22"/>
          <w:szCs w:val="22"/>
        </w:rPr>
        <w:t xml:space="preserve">The uptake rate is defined as the proportion (%) of eligible residents who received the screening. If data for FY2023 have not been tabulated or are unavailable, please tick “Not tabulated / unavailable.”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Tabulated</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Not tabulated / unavailable</w:t>
      </w:r>
    </w:p>
    <w:p>
      <w:pPr>
        <w:spacing w:after="6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Other: ________________________</w:t>
      </w:r>
    </w:p>
    <w:p>
      <w:pPr>
        <w:spacing w:after="120" w:line="320"/>
      </w:pPr>
      <w:r>
        <w:rPr>
          <w:rFonts w:ascii="Times New Roman" w:cs="Times New Roman" w:eastAsia="Times New Roman" w:hAnsi="Times New Roman"/>
          <w:b/>
          <w:bCs/>
          <w:sz w:val="22"/>
          <w:szCs w:val="22"/>
        </w:rPr>
        <w:t xml:space="preserve">If tabulated, please indicate the fiscal year tabulated:</w:t>
      </w:r>
    </w:p>
    <w:p>
      <w:pPr>
        <w:spacing w:after="120" w:line="320"/>
      </w:pPr>
      <w:r>
        <w:rPr>
          <w:rFonts w:ascii="Times New Roman" w:cs="Times New Roman" w:eastAsia="Times New Roman" w:hAnsi="Times New Roman"/>
          <w:i/>
          <w:iCs/>
          <w:sz w:val="22"/>
          <w:szCs w:val="22"/>
        </w:rPr>
        <w:t xml:space="preserve">Example: FY2023.</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If tabulated, please indicate the uptake rate (%):</w:t>
      </w:r>
    </w:p>
    <w:p>
      <w:pPr>
        <w:spacing w:after="120" w:line="320"/>
      </w:pPr>
      <w:r>
        <w:rPr>
          <w:rFonts w:ascii="Times New Roman" w:cs="Times New Roman" w:eastAsia="Times New Roman" w:hAnsi="Times New Roman"/>
          <w:i/>
          <w:iCs/>
          <w:sz w:val="22"/>
          <w:szCs w:val="22"/>
        </w:rPr>
        <w:t xml:space="preserve">Example: 50%.</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(g) Approximate annual public expenditure for the provision or subsidy of osteoporosis screening (FY2023 / Reiwa 5 settled amount):</w:t>
      </w:r>
    </w:p>
    <w:p>
      <w:pPr>
        <w:spacing w:after="120" w:line="320"/>
      </w:pPr>
      <w:r>
        <w:rPr>
          <w:rFonts w:ascii="Times New Roman" w:cs="Times New Roman" w:eastAsia="Times New Roman" w:hAnsi="Times New Roman"/>
          <w:i/>
          <w:iCs/>
          <w:sz w:val="22"/>
          <w:szCs w:val="22"/>
        </w:rPr>
        <w:t xml:space="preserve">Example: ###,### JPY per fiscal year.</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20" w:line="320"/>
      </w:pPr>
      <w:r>
        <w:rPr>
          <w:rFonts w:ascii="Times New Roman" w:cs="Times New Roman" w:eastAsia="Times New Roman" w:hAnsi="Times New Roman"/>
          <w:b/>
          <w:bCs/>
          <w:sz w:val="22"/>
          <w:szCs w:val="22"/>
        </w:rPr>
        <w:t xml:space="preserve">(h) Remarks (any supplementary explanation):</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b/>
          <w:bCs/>
          <w:sz w:val="22"/>
          <w:szCs w:val="22"/>
        </w:rPr>
        <w:t xml:space="preserve">Q4. Other preventive medicine programmes uniquely provided or subsidised by your municipality</w:t>
      </w:r>
    </w:p>
    <w:p>
      <w:pPr>
        <w:spacing w:after="120" w:line="320"/>
      </w:pPr>
      <w:r>
        <w:rPr>
          <w:rFonts w:ascii="Times New Roman" w:cs="Times New Roman" w:eastAsia="Times New Roman" w:hAnsi="Times New Roman"/>
          <w:i/>
          <w:iCs/>
          <w:sz w:val="22"/>
          <w:szCs w:val="22"/>
        </w:rPr>
        <w:t xml:space="preserve">Excluding vaccinations and cancer screenings, please describe any other preventive medicine programmes provided or subsidised uniquely by your municipality (free-text response).</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00" w:line="320"/>
        <w:ind w:left="360"/>
      </w:pPr>
      <w:r>
        <w:rPr>
          <w:rFonts w:ascii="Times New Roman" w:cs="Times New Roman" w:eastAsia="Times New Roman" w:hAnsi="Times New Roman"/>
          <w:sz w:val="22"/>
          <w:szCs w:val="22"/>
        </w:rPr>
        <w:t xml:space="preserve"> </w:t>
      </w:r>
      <w:r>
        <w:rPr>
          <w:rFonts w:ascii="Times New Roman" w:cs="Times New Roman" w:eastAsia="Times New Roman" w:hAnsi="Times New Roman"/>
          <w:sz w:val="22"/>
          <w:szCs w:val="22"/>
        </w:rPr>
        <w:t xml:space="preserve">( ____________________________________________ )</w:t>
      </w:r>
    </w:p>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b/>
          <w:bCs/>
          <w:sz w:val="22"/>
          <w:szCs w:val="22"/>
        </w:rPr>
        <w:t xml:space="preserve">Requests, questions, or other comments regarding this research (free text):</w:t>
      </w:r>
    </w:p>
    <w:p>
      <w:pPr>
        <w:spacing w:after="100" w:line="320"/>
        <w:ind w:left="360"/>
      </w:pPr>
      <w:r>
        <w:rPr>
          <w:rFonts w:ascii="Times New Roman" w:cs="Times New Roman" w:eastAsia="Times New Roman" w:hAnsi="Times New Roman"/>
          <w:sz w:val="22"/>
          <w:szCs w:val="22"/>
        </w:rPr>
        <w:t xml:space="preserve">Response: </w:t>
      </w:r>
      <w:r>
        <w:rPr>
          <w:rFonts w:ascii="Times New Roman" w:cs="Times New Roman" w:eastAsia="Times New Roman" w:hAnsi="Times New Roman"/>
          <w:sz w:val="22"/>
          <w:szCs w:val="22"/>
        </w:rPr>
        <w:t xml:space="preserve">( ____________________________________________ )</w:t>
      </w:r>
    </w:p>
    <w:p>
      <w:pPr>
        <w:spacing w:after="100"/>
      </w:pPr>
      <w:r>
        <w:rPr>
          <w:rFonts w:ascii="Times New Roman" w:cs="Times New Roman" w:eastAsia="Times New Roman" w:hAnsi="Times New Roman"/>
          <w:sz w:val="22"/>
          <w:szCs w:val="22"/>
        </w:rPr>
        <w:t xml:space="preserve"/>
      </w:r>
    </w:p>
    <w:p>
      <w:pPr>
        <w:spacing w:after="120" w:line="320"/>
      </w:pPr>
      <w:r>
        <w:rPr>
          <w:rFonts w:ascii="Times New Roman" w:cs="Times New Roman" w:eastAsia="Times New Roman" w:hAnsi="Times New Roman"/>
          <w:b/>
          <w:bCs/>
          <w:sz w:val="22"/>
          <w:szCs w:val="22"/>
        </w:rPr>
        <w:t xml:space="preserve">Thank you very much for your cooperation.</w:t>
      </w:r>
    </w:p>
    <w:p>
      <w:pPr>
        <w:spacing w:after="100"/>
      </w:pPr>
      <w:r>
        <w:rPr>
          <w:rFonts w:ascii="Times New Roman" w:cs="Times New Roman" w:eastAsia="Times New Roman" w:hAnsi="Times New Roman"/>
          <w:sz w:val="22"/>
          <w:szCs w:val="22"/>
        </w:rPr>
        <w:t xml:space="preserve"/>
      </w:r>
    </w:p>
    <w:p>
      <w:pPr>
        <w:pStyle w:val="Heading2"/>
        <w:spacing w:after="160" w:before="280" w:line="320"/>
      </w:pPr>
      <w:r>
        <w:rPr>
          <w:rFonts w:ascii="Times New Roman" w:cs="Times New Roman" w:eastAsia="Times New Roman" w:hAnsi="Times New Roman"/>
          <w:b/>
          <w:bCs/>
          <w:sz w:val="24"/>
          <w:szCs w:val="24"/>
        </w:rPr>
        <w:t xml:space="preserve">Contact / mailing address</w:t>
      </w:r>
    </w:p>
    <w:p>
      <w:pPr>
        <w:spacing w:after="120" w:line="320"/>
      </w:pPr>
      <w:r>
        <w:rPr>
          <w:rFonts w:ascii="Times New Roman" w:cs="Times New Roman" w:eastAsia="Times New Roman" w:hAnsi="Times New Roman"/>
          <w:sz w:val="22"/>
          <w:szCs w:val="22"/>
        </w:rPr>
        <w:t xml:space="preserve">Principal investigator: Hideki Mori</w:t>
      </w:r>
    </w:p>
    <w:p>
      <w:pPr>
        <w:spacing w:after="120" w:line="320"/>
      </w:pPr>
      <w:r>
        <w:rPr>
          <w:rFonts w:ascii="Times New Roman" w:cs="Times New Roman" w:eastAsia="Times New Roman" w:hAnsi="Times New Roman"/>
          <w:sz w:val="22"/>
          <w:szCs w:val="22"/>
        </w:rPr>
        <w:t xml:space="preserve">Department of General Internal Medicine, National Hospital Organization Nagasaki Medical Center</w:t>
      </w:r>
    </w:p>
    <w:p>
      <w:pPr>
        <w:spacing w:after="120" w:line="320"/>
      </w:pPr>
      <w:r>
        <w:rPr>
          <w:rFonts w:ascii="Times New Roman" w:cs="Times New Roman" w:eastAsia="Times New Roman" w:hAnsi="Times New Roman"/>
          <w:sz w:val="22"/>
          <w:szCs w:val="22"/>
        </w:rPr>
        <w:t xml:space="preserve">2-1001-1 Kubara, Omura, Nagasaki 856-8562, Japan</w:t>
      </w:r>
    </w:p>
    <w:p>
      <w:pPr>
        <w:spacing w:after="120" w:line="320"/>
      </w:pPr>
      <w:r>
        <w:rPr>
          <w:rFonts w:ascii="Times New Roman" w:cs="Times New Roman" w:eastAsia="Times New Roman" w:hAnsi="Times New Roman"/>
          <w:sz w:val="22"/>
          <w:szCs w:val="22"/>
        </w:rPr>
        <w:t xml:space="preserve">Telephone: +81-957-52-3121 (main); weekdays 09:00–17:00</w:t>
      </w:r>
    </w:p>
    <w:p>
      <w:pPr>
        <w:spacing w:after="120" w:line="320"/>
      </w:pPr>
      <w:r>
        <w:rPr>
          <w:rFonts w:ascii="Times New Roman" w:cs="Times New Roman" w:eastAsia="Times New Roman" w:hAnsi="Times New Roman"/>
          <w:sz w:val="22"/>
          <w:szCs w:val="22"/>
        </w:rPr>
        <w:t xml:space="preserve">E-mail: mori.hideki.fu(at)mail.hosp.go.jp (please replace “(at)” with “@”)</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after="160" w:before="280"/>
      <w:outlineLvl w:val="1"/>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Questionnaire (English translation)</dc:title>
  <dc:creator>Hideki Mori</dc:creator>
  <cp:lastModifiedBy>Un-named</cp:lastModifiedBy>
  <cp:revision>1</cp:revision>
  <dcterms:created xsi:type="dcterms:W3CDTF">2026-05-14T04:12:02.173Z</dcterms:created>
  <dcterms:modified xsi:type="dcterms:W3CDTF">2026-05-14T04:12:02.173Z</dcterms:modified>
</cp:coreProperties>
</file>

<file path=docProps/custom.xml><?xml version="1.0" encoding="utf-8"?>
<Properties xmlns="http://schemas.openxmlformats.org/officeDocument/2006/custom-properties" xmlns:vt="http://schemas.openxmlformats.org/officeDocument/2006/docPropsVTypes"/>
</file>