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E7BCC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600831">
        <w:rPr>
          <w:rFonts w:ascii="Times New Roman" w:hAnsi="Times New Roman" w:cs="Times New Roman"/>
          <w:b/>
          <w:bCs/>
          <w:sz w:val="30"/>
          <w:szCs w:val="30"/>
        </w:rPr>
        <w:t>Supporting information</w:t>
      </w:r>
    </w:p>
    <w:p w14:paraId="3C9FF0FD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  <w:szCs w:val="21"/>
        </w:rPr>
      </w:pPr>
      <w:r w:rsidRPr="00600831">
        <w:rPr>
          <w:rFonts w:ascii="Times New Roman" w:hAnsi="Times New Roman" w:cs="Times New Roman"/>
          <w:szCs w:val="21"/>
        </w:rPr>
        <w:t>Table S1. Primer sequences for target genes used for qPCR</w:t>
      </w:r>
    </w:p>
    <w:tbl>
      <w:tblPr>
        <w:tblStyle w:val="TableGrid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515"/>
        <w:gridCol w:w="1181"/>
        <w:gridCol w:w="3402"/>
        <w:gridCol w:w="3261"/>
      </w:tblGrid>
      <w:tr w:rsidR="00BE6B47" w:rsidRPr="00600831" w14:paraId="35D70070" w14:textId="77777777" w:rsidTr="002F6386">
        <w:trPr>
          <w:jc w:val="center"/>
        </w:trPr>
        <w:tc>
          <w:tcPr>
            <w:tcW w:w="515" w:type="dxa"/>
          </w:tcPr>
          <w:p w14:paraId="5EECF65F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No.</w:t>
            </w:r>
          </w:p>
        </w:tc>
        <w:tc>
          <w:tcPr>
            <w:tcW w:w="1181" w:type="dxa"/>
          </w:tcPr>
          <w:p w14:paraId="43B479E5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Gene name</w:t>
            </w:r>
          </w:p>
        </w:tc>
        <w:tc>
          <w:tcPr>
            <w:tcW w:w="3402" w:type="dxa"/>
          </w:tcPr>
          <w:p w14:paraId="7DB528CB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Forward</w:t>
            </w:r>
          </w:p>
        </w:tc>
        <w:tc>
          <w:tcPr>
            <w:tcW w:w="3261" w:type="dxa"/>
          </w:tcPr>
          <w:p w14:paraId="29EAF573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Reverse</w:t>
            </w:r>
          </w:p>
        </w:tc>
      </w:tr>
      <w:tr w:rsidR="00BE6B47" w:rsidRPr="00600831" w14:paraId="713E90F8" w14:textId="77777777" w:rsidTr="002F6386">
        <w:trPr>
          <w:jc w:val="center"/>
        </w:trPr>
        <w:tc>
          <w:tcPr>
            <w:tcW w:w="515" w:type="dxa"/>
          </w:tcPr>
          <w:p w14:paraId="1438A35B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1</w:t>
            </w:r>
          </w:p>
        </w:tc>
        <w:tc>
          <w:tcPr>
            <w:tcW w:w="1181" w:type="dxa"/>
          </w:tcPr>
          <w:p w14:paraId="5BDF854A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IL-6</w:t>
            </w:r>
          </w:p>
        </w:tc>
        <w:tc>
          <w:tcPr>
            <w:tcW w:w="3402" w:type="dxa"/>
          </w:tcPr>
          <w:p w14:paraId="290960AB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ACTCACCTCTTCAGAACGAATTG</w:t>
            </w:r>
          </w:p>
        </w:tc>
        <w:tc>
          <w:tcPr>
            <w:tcW w:w="3261" w:type="dxa"/>
          </w:tcPr>
          <w:p w14:paraId="67CE5277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CCATCTTTGGAAGGTTCAGGTTG</w:t>
            </w:r>
          </w:p>
        </w:tc>
      </w:tr>
      <w:tr w:rsidR="00BE6B47" w:rsidRPr="00600831" w14:paraId="2C10F207" w14:textId="77777777" w:rsidTr="002F6386">
        <w:trPr>
          <w:jc w:val="center"/>
        </w:trPr>
        <w:tc>
          <w:tcPr>
            <w:tcW w:w="515" w:type="dxa"/>
          </w:tcPr>
          <w:p w14:paraId="084C6FF6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2</w:t>
            </w:r>
          </w:p>
        </w:tc>
        <w:tc>
          <w:tcPr>
            <w:tcW w:w="1181" w:type="dxa"/>
          </w:tcPr>
          <w:p w14:paraId="776FD933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TNF-α</w:t>
            </w:r>
          </w:p>
        </w:tc>
        <w:tc>
          <w:tcPr>
            <w:tcW w:w="3402" w:type="dxa"/>
          </w:tcPr>
          <w:p w14:paraId="18EC7982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CCTCTCTCTAATCAGCCCTCTG</w:t>
            </w:r>
          </w:p>
        </w:tc>
        <w:tc>
          <w:tcPr>
            <w:tcW w:w="3261" w:type="dxa"/>
          </w:tcPr>
          <w:p w14:paraId="42FE2CFE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GAGGACCTGGGAGTAGATGAG</w:t>
            </w:r>
          </w:p>
        </w:tc>
      </w:tr>
      <w:tr w:rsidR="00BE6B47" w:rsidRPr="00600831" w14:paraId="4E37D820" w14:textId="77777777" w:rsidTr="002F6386">
        <w:trPr>
          <w:jc w:val="center"/>
        </w:trPr>
        <w:tc>
          <w:tcPr>
            <w:tcW w:w="515" w:type="dxa"/>
          </w:tcPr>
          <w:p w14:paraId="2121C3A5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3</w:t>
            </w:r>
          </w:p>
        </w:tc>
        <w:tc>
          <w:tcPr>
            <w:tcW w:w="1181" w:type="dxa"/>
          </w:tcPr>
          <w:p w14:paraId="275B6743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Wnt 7B</w:t>
            </w:r>
          </w:p>
        </w:tc>
        <w:tc>
          <w:tcPr>
            <w:tcW w:w="3402" w:type="dxa"/>
          </w:tcPr>
          <w:p w14:paraId="78953267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CACAGAAACTTTCGCAAGTGG</w:t>
            </w:r>
          </w:p>
        </w:tc>
        <w:tc>
          <w:tcPr>
            <w:tcW w:w="3261" w:type="dxa"/>
          </w:tcPr>
          <w:p w14:paraId="0EBB9B0C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GTACTGGCACTCGTTGATGC</w:t>
            </w:r>
          </w:p>
        </w:tc>
      </w:tr>
      <w:tr w:rsidR="00BE6B47" w:rsidRPr="00600831" w14:paraId="3FE80185" w14:textId="77777777" w:rsidTr="002F6386">
        <w:trPr>
          <w:jc w:val="center"/>
        </w:trPr>
        <w:tc>
          <w:tcPr>
            <w:tcW w:w="515" w:type="dxa"/>
          </w:tcPr>
          <w:p w14:paraId="4F6B2961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4</w:t>
            </w:r>
          </w:p>
        </w:tc>
        <w:tc>
          <w:tcPr>
            <w:tcW w:w="1181" w:type="dxa"/>
          </w:tcPr>
          <w:p w14:paraId="5D1F3B57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CSNK1A1</w:t>
            </w:r>
          </w:p>
        </w:tc>
        <w:tc>
          <w:tcPr>
            <w:tcW w:w="3402" w:type="dxa"/>
          </w:tcPr>
          <w:p w14:paraId="12344EED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AGTGGCAGTGAAGCTAGAATCT</w:t>
            </w:r>
          </w:p>
        </w:tc>
        <w:tc>
          <w:tcPr>
            <w:tcW w:w="3261" w:type="dxa"/>
          </w:tcPr>
          <w:p w14:paraId="7BC49729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CGCCCAATACCCATTAGGAAGTT</w:t>
            </w:r>
          </w:p>
        </w:tc>
      </w:tr>
      <w:tr w:rsidR="00BE6B47" w:rsidRPr="00600831" w14:paraId="3E0D0E1C" w14:textId="77777777" w:rsidTr="002F6386">
        <w:trPr>
          <w:jc w:val="center"/>
        </w:trPr>
        <w:tc>
          <w:tcPr>
            <w:tcW w:w="515" w:type="dxa"/>
          </w:tcPr>
          <w:p w14:paraId="428F2E72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5</w:t>
            </w:r>
          </w:p>
        </w:tc>
        <w:tc>
          <w:tcPr>
            <w:tcW w:w="1181" w:type="dxa"/>
          </w:tcPr>
          <w:p w14:paraId="09F5B12C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TLE3</w:t>
            </w:r>
          </w:p>
        </w:tc>
        <w:tc>
          <w:tcPr>
            <w:tcW w:w="3402" w:type="dxa"/>
          </w:tcPr>
          <w:p w14:paraId="319A8BB9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AACCACCATGAACTCGATCAC</w:t>
            </w:r>
          </w:p>
        </w:tc>
        <w:tc>
          <w:tcPr>
            <w:tcW w:w="3261" w:type="dxa"/>
          </w:tcPr>
          <w:p w14:paraId="10EF0E87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TCACTGTCGTATCGGCTCAAG</w:t>
            </w:r>
          </w:p>
        </w:tc>
      </w:tr>
      <w:tr w:rsidR="00BE6B47" w:rsidRPr="00600831" w14:paraId="69424428" w14:textId="77777777" w:rsidTr="002F6386">
        <w:trPr>
          <w:jc w:val="center"/>
        </w:trPr>
        <w:tc>
          <w:tcPr>
            <w:tcW w:w="515" w:type="dxa"/>
          </w:tcPr>
          <w:p w14:paraId="15E32370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6</w:t>
            </w:r>
          </w:p>
        </w:tc>
        <w:tc>
          <w:tcPr>
            <w:tcW w:w="1181" w:type="dxa"/>
          </w:tcPr>
          <w:p w14:paraId="45D33C4E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FZD</w:t>
            </w:r>
          </w:p>
        </w:tc>
        <w:tc>
          <w:tcPr>
            <w:tcW w:w="3402" w:type="dxa"/>
          </w:tcPr>
          <w:p w14:paraId="53BD5427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GTCTTTCAGTCAAGAGACGCTG</w:t>
            </w:r>
          </w:p>
        </w:tc>
        <w:tc>
          <w:tcPr>
            <w:tcW w:w="3261" w:type="dxa"/>
          </w:tcPr>
          <w:p w14:paraId="21523183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GTTGTGGTCGTTCTGTGGTG</w:t>
            </w:r>
          </w:p>
        </w:tc>
      </w:tr>
      <w:tr w:rsidR="00BE6B47" w:rsidRPr="00600831" w14:paraId="06E8E52D" w14:textId="77777777" w:rsidTr="002F6386">
        <w:trPr>
          <w:jc w:val="center"/>
        </w:trPr>
        <w:tc>
          <w:tcPr>
            <w:tcW w:w="515" w:type="dxa"/>
          </w:tcPr>
          <w:p w14:paraId="2E3D9D01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7</w:t>
            </w:r>
          </w:p>
        </w:tc>
        <w:tc>
          <w:tcPr>
            <w:tcW w:w="1181" w:type="dxa"/>
          </w:tcPr>
          <w:p w14:paraId="0CBD0D7A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LRP6</w:t>
            </w:r>
          </w:p>
        </w:tc>
        <w:tc>
          <w:tcPr>
            <w:tcW w:w="3402" w:type="dxa"/>
          </w:tcPr>
          <w:p w14:paraId="4BBABA31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TGTCAGCGAAGAAGCCATTAAA</w:t>
            </w:r>
          </w:p>
        </w:tc>
        <w:tc>
          <w:tcPr>
            <w:tcW w:w="3261" w:type="dxa"/>
          </w:tcPr>
          <w:p w14:paraId="5585BE78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TCTAAGGCAATAGCTCTGGGT</w:t>
            </w:r>
          </w:p>
        </w:tc>
      </w:tr>
      <w:tr w:rsidR="00BE6B47" w:rsidRPr="00600831" w14:paraId="5C74989A" w14:textId="77777777" w:rsidTr="002F6386">
        <w:trPr>
          <w:jc w:val="center"/>
        </w:trPr>
        <w:tc>
          <w:tcPr>
            <w:tcW w:w="515" w:type="dxa"/>
          </w:tcPr>
          <w:p w14:paraId="2FACB22F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8</w:t>
            </w:r>
          </w:p>
        </w:tc>
        <w:tc>
          <w:tcPr>
            <w:tcW w:w="1181" w:type="dxa"/>
          </w:tcPr>
          <w:p w14:paraId="0F3C8FD1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PP2A</w:t>
            </w:r>
          </w:p>
        </w:tc>
        <w:tc>
          <w:tcPr>
            <w:tcW w:w="3402" w:type="dxa"/>
          </w:tcPr>
          <w:p w14:paraId="2165F721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CCGGGTGGATGACCAAATAGC</w:t>
            </w:r>
          </w:p>
        </w:tc>
        <w:tc>
          <w:tcPr>
            <w:tcW w:w="3261" w:type="dxa"/>
          </w:tcPr>
          <w:p w14:paraId="5FC67B49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GAACTGCCCCAGATGAAGGG</w:t>
            </w:r>
          </w:p>
        </w:tc>
      </w:tr>
      <w:tr w:rsidR="00BE6B47" w:rsidRPr="00600831" w14:paraId="477603A0" w14:textId="77777777" w:rsidTr="002F6386">
        <w:trPr>
          <w:jc w:val="center"/>
        </w:trPr>
        <w:tc>
          <w:tcPr>
            <w:tcW w:w="515" w:type="dxa"/>
          </w:tcPr>
          <w:p w14:paraId="000F3A2B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</w:tcPr>
          <w:p w14:paraId="63373E83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β-catenin</w:t>
            </w:r>
          </w:p>
        </w:tc>
        <w:tc>
          <w:tcPr>
            <w:tcW w:w="3402" w:type="dxa"/>
          </w:tcPr>
          <w:p w14:paraId="59661EF3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CATCTACACAGTTTGATGCTGCT</w:t>
            </w:r>
          </w:p>
        </w:tc>
        <w:tc>
          <w:tcPr>
            <w:tcW w:w="3261" w:type="dxa"/>
          </w:tcPr>
          <w:p w14:paraId="3DBE4551" w14:textId="77777777" w:rsidR="00BE6B47" w:rsidRPr="00600831" w:rsidRDefault="00BE6B47" w:rsidP="002F6386">
            <w:pPr>
              <w:spacing w:line="360" w:lineRule="auto"/>
              <w:rPr>
                <w:sz w:val="18"/>
                <w:szCs w:val="18"/>
              </w:rPr>
            </w:pPr>
            <w:r w:rsidRPr="00600831">
              <w:rPr>
                <w:sz w:val="18"/>
                <w:szCs w:val="18"/>
              </w:rPr>
              <w:t>GCAGTTTTGTCAGTTCAGGGA</w:t>
            </w:r>
          </w:p>
        </w:tc>
      </w:tr>
    </w:tbl>
    <w:p w14:paraId="1575EABE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  <w:szCs w:val="21"/>
        </w:rPr>
      </w:pPr>
    </w:p>
    <w:p w14:paraId="67BB37CA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</w:rPr>
      </w:pPr>
      <w:r w:rsidRPr="00600831">
        <w:rPr>
          <w:rFonts w:ascii="Times New Roman" w:hAnsi="Times New Roman" w:cs="Times New Roman"/>
          <w:noProof/>
        </w:rPr>
        <w:drawing>
          <wp:inline distT="0" distB="0" distL="0" distR="0" wp14:anchorId="1D9EA4F6" wp14:editId="6A2B2EBB">
            <wp:extent cx="5357495" cy="955040"/>
            <wp:effectExtent l="0" t="0" r="0" b="0"/>
            <wp:docPr id="14813457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4577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l="7116" t="2486" b="86916"/>
                    <a:stretch>
                      <a:fillRect/>
                    </a:stretch>
                  </pic:blipFill>
                  <pic:spPr>
                    <a:xfrm>
                      <a:off x="0" y="0"/>
                      <a:ext cx="5371176" cy="957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82623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</w:rPr>
      </w:pPr>
      <w:r w:rsidRPr="00600831">
        <w:rPr>
          <w:rFonts w:ascii="Times New Roman" w:hAnsi="Times New Roman" w:cs="Times New Roman"/>
        </w:rPr>
        <w:t>SI 1. The formation of mesoporous nanoparticles.</w:t>
      </w:r>
    </w:p>
    <w:p w14:paraId="14BBD9D2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</w:rPr>
      </w:pPr>
    </w:p>
    <w:p w14:paraId="059FFD3F" w14:textId="77777777" w:rsidR="00BE6B47" w:rsidRPr="00600831" w:rsidRDefault="00BE6B47" w:rsidP="00BE6B47">
      <w:pPr>
        <w:spacing w:line="360" w:lineRule="auto"/>
        <w:jc w:val="center"/>
        <w:rPr>
          <w:rFonts w:ascii="Times New Roman" w:hAnsi="Times New Roman" w:cs="Times New Roman"/>
        </w:rPr>
      </w:pPr>
      <w:r w:rsidRPr="00600831">
        <w:rPr>
          <w:rFonts w:ascii="Times New Roman" w:hAnsi="Times New Roman" w:cs="Times New Roman"/>
          <w:noProof/>
        </w:rPr>
        <w:drawing>
          <wp:inline distT="0" distB="0" distL="0" distR="0" wp14:anchorId="15ACB313" wp14:editId="1D5E8C0A">
            <wp:extent cx="1920240" cy="1920240"/>
            <wp:effectExtent l="0" t="0" r="3810" b="3810"/>
            <wp:docPr id="1034736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36593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316F4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</w:rPr>
      </w:pPr>
      <w:r w:rsidRPr="00600831">
        <w:rPr>
          <w:rFonts w:ascii="Times New Roman" w:hAnsi="Times New Roman" w:cs="Times New Roman"/>
        </w:rPr>
        <w:t>SI 2. The TEM image of Fe</w:t>
      </w:r>
      <w:r w:rsidRPr="00600831">
        <w:rPr>
          <w:rFonts w:ascii="Times New Roman" w:hAnsi="Times New Roman" w:cs="Times New Roman"/>
          <w:vertAlign w:val="subscript"/>
        </w:rPr>
        <w:t>3</w:t>
      </w:r>
      <w:r w:rsidRPr="00600831">
        <w:rPr>
          <w:rFonts w:ascii="Times New Roman" w:hAnsi="Times New Roman" w:cs="Times New Roman"/>
        </w:rPr>
        <w:t>O</w:t>
      </w:r>
      <w:r w:rsidRPr="00600831">
        <w:rPr>
          <w:rFonts w:ascii="Times New Roman" w:hAnsi="Times New Roman" w:cs="Times New Roman"/>
          <w:vertAlign w:val="subscript"/>
        </w:rPr>
        <w:t>4</w:t>
      </w:r>
      <w:r w:rsidRPr="00600831">
        <w:rPr>
          <w:rFonts w:ascii="Times New Roman" w:hAnsi="Times New Roman" w:cs="Times New Roman"/>
        </w:rPr>
        <w:t>@mSiO</w:t>
      </w:r>
      <w:r w:rsidRPr="00600831">
        <w:rPr>
          <w:rFonts w:ascii="Times New Roman" w:hAnsi="Times New Roman" w:cs="Times New Roman"/>
          <w:vertAlign w:val="subscript"/>
        </w:rPr>
        <w:t>2</w:t>
      </w:r>
      <w:r w:rsidRPr="00600831">
        <w:rPr>
          <w:rFonts w:ascii="Times New Roman" w:hAnsi="Times New Roman" w:cs="Times New Roman"/>
        </w:rPr>
        <w:t xml:space="preserve"> (scale bar: 50 nm).</w:t>
      </w:r>
    </w:p>
    <w:p w14:paraId="085469E8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  <w:szCs w:val="21"/>
        </w:rPr>
      </w:pPr>
    </w:p>
    <w:p w14:paraId="296FA5E6" w14:textId="77777777" w:rsidR="00BE6B47" w:rsidRPr="00600831" w:rsidRDefault="00BE6B47" w:rsidP="00BE6B47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600831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F2F0E95" wp14:editId="5B4F57BF">
            <wp:extent cx="2512060" cy="1889760"/>
            <wp:effectExtent l="0" t="0" r="0" b="0"/>
            <wp:docPr id="5536693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69390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C405F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  <w:szCs w:val="21"/>
        </w:rPr>
      </w:pPr>
      <w:r w:rsidRPr="00600831">
        <w:rPr>
          <w:rFonts w:ascii="Times New Roman" w:hAnsi="Times New Roman" w:cs="Times New Roman"/>
          <w:szCs w:val="21"/>
        </w:rPr>
        <w:t>SI 3. Size distribution of rPMP.</w:t>
      </w:r>
    </w:p>
    <w:p w14:paraId="117E51DC" w14:textId="77777777" w:rsidR="00BE6B47" w:rsidRPr="00600831" w:rsidRDefault="00BE6B47" w:rsidP="00BE6B47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600831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DE630A0" wp14:editId="52E435BA">
            <wp:extent cx="2212975" cy="1713230"/>
            <wp:effectExtent l="0" t="0" r="0" b="0"/>
            <wp:docPr id="198715080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50804" name="图片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71421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</w:rPr>
      </w:pPr>
      <w:r w:rsidRPr="00600831">
        <w:rPr>
          <w:rFonts w:ascii="Times New Roman" w:hAnsi="Times New Roman" w:cs="Times New Roman"/>
        </w:rPr>
        <w:t>SI 4. Encapsulation efficiency of MMN.</w:t>
      </w:r>
    </w:p>
    <w:p w14:paraId="2E6BFA19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</w:rPr>
      </w:pPr>
    </w:p>
    <w:p w14:paraId="7F666F30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  <w:szCs w:val="21"/>
        </w:rPr>
      </w:pPr>
    </w:p>
    <w:p w14:paraId="17C48A0A" w14:textId="77777777" w:rsidR="00BE6B47" w:rsidRPr="00600831" w:rsidRDefault="00BE6B47" w:rsidP="00BE6B47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600831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7EE04FA" wp14:editId="54C642D9">
            <wp:extent cx="2265680" cy="1764030"/>
            <wp:effectExtent l="0" t="0" r="1270" b="7620"/>
            <wp:docPr id="3491273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27372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265" cy="177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05003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  <w:szCs w:val="21"/>
        </w:rPr>
      </w:pPr>
      <w:r w:rsidRPr="00600831">
        <w:rPr>
          <w:rFonts w:ascii="Times New Roman" w:hAnsi="Times New Roman" w:cs="Times New Roman"/>
          <w:szCs w:val="21"/>
        </w:rPr>
        <w:t>SI 5. Manipulation of nanomotors in 4 cP fluid.</w:t>
      </w:r>
    </w:p>
    <w:p w14:paraId="433A6DA3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  <w:szCs w:val="21"/>
        </w:rPr>
      </w:pPr>
    </w:p>
    <w:p w14:paraId="338CEB4B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  <w:szCs w:val="21"/>
        </w:rPr>
      </w:pPr>
      <w:r w:rsidRPr="00600831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FAD00E5" wp14:editId="5B08543D">
            <wp:extent cx="5273675" cy="4651375"/>
            <wp:effectExtent l="0" t="0" r="3175" b="0"/>
            <wp:docPr id="4974540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5400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t="7863" b="356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20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B775C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</w:rPr>
      </w:pPr>
      <w:r w:rsidRPr="00600831">
        <w:rPr>
          <w:rFonts w:ascii="Times New Roman" w:hAnsi="Times New Roman" w:cs="Times New Roman"/>
          <w:b/>
          <w:bCs/>
          <w:szCs w:val="21"/>
        </w:rPr>
        <w:t>SI 6</w:t>
      </w:r>
      <w:r w:rsidRPr="00600831">
        <w:rPr>
          <w:rFonts w:ascii="Times New Roman" w:hAnsi="Times New Roman" w:cs="Times New Roman"/>
          <w:b/>
          <w:bCs/>
        </w:rPr>
        <w:t xml:space="preserve">. </w:t>
      </w:r>
      <w:r w:rsidRPr="00600831">
        <w:rPr>
          <w:rFonts w:ascii="Times New Roman" w:hAnsi="Times New Roman" w:cs="Times New Roman"/>
          <w:b/>
          <w:bCs/>
          <w:i/>
          <w:iCs/>
        </w:rPr>
        <w:t>In vitro</w:t>
      </w:r>
      <w:r w:rsidRPr="00600831">
        <w:rPr>
          <w:rFonts w:ascii="Times New Roman" w:hAnsi="Times New Roman" w:cs="Times New Roman"/>
          <w:b/>
          <w:bCs/>
        </w:rPr>
        <w:t xml:space="preserve"> photothermal capability of MMN@PDA.</w:t>
      </w:r>
      <w:r w:rsidRPr="00600831">
        <w:rPr>
          <w:rFonts w:ascii="Times New Roman" w:hAnsi="Times New Roman" w:cs="Times New Roman"/>
        </w:rPr>
        <w:t xml:space="preserve"> (A-B) Infrared thermal images (A) and temperature increase curves (B) of Control, MMN, and MMN@PDA (2.5 W/cm</w:t>
      </w:r>
      <w:r w:rsidRPr="00600831">
        <w:rPr>
          <w:rFonts w:ascii="Times New Roman" w:hAnsi="Times New Roman" w:cs="Times New Roman"/>
          <w:vertAlign w:val="superscript"/>
        </w:rPr>
        <w:t>2</w:t>
      </w:r>
      <w:r w:rsidRPr="00600831">
        <w:rPr>
          <w:rFonts w:ascii="Times New Roman" w:hAnsi="Times New Roman" w:cs="Times New Roman"/>
        </w:rPr>
        <w:t xml:space="preserve">). (C) Thermal stability of MMN@PDA during five heating-cooling cycles. </w:t>
      </w:r>
    </w:p>
    <w:p w14:paraId="5E8ED977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  <w:szCs w:val="21"/>
        </w:rPr>
      </w:pPr>
    </w:p>
    <w:p w14:paraId="29398A4A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  <w:szCs w:val="21"/>
        </w:rPr>
      </w:pPr>
    </w:p>
    <w:p w14:paraId="1F7B0D7B" w14:textId="77777777" w:rsidR="00BE6B47" w:rsidRPr="00600831" w:rsidRDefault="00BE6B47" w:rsidP="00BE6B47">
      <w:pPr>
        <w:spacing w:line="360" w:lineRule="auto"/>
        <w:jc w:val="center"/>
        <w:rPr>
          <w:rFonts w:ascii="Times New Roman" w:hAnsi="Times New Roman" w:cs="Times New Roman"/>
        </w:rPr>
      </w:pPr>
    </w:p>
    <w:p w14:paraId="4EC0DDEE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</w:rPr>
      </w:pPr>
      <w:r w:rsidRPr="00600831">
        <w:rPr>
          <w:rFonts w:ascii="Times New Roman" w:hAnsi="Times New Roman" w:cs="Times New Roman"/>
          <w:noProof/>
          <w14:ligatures w14:val="none"/>
        </w:rPr>
        <w:lastRenderedPageBreak/>
        <w:drawing>
          <wp:inline distT="0" distB="0" distL="0" distR="0" wp14:anchorId="69949C86" wp14:editId="05459DE5">
            <wp:extent cx="5274059" cy="3610030"/>
            <wp:effectExtent l="0" t="0" r="3175" b="0"/>
            <wp:docPr id="8756543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54361" name="图片 875654361"/>
                    <pic:cNvPicPr/>
                  </pic:nvPicPr>
                  <pic:blipFill rotWithShape="1">
                    <a:blip r:embed="rId10"/>
                    <a:srcRect t="8208" b="4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EE0C8" w14:textId="77777777" w:rsidR="00BE6B47" w:rsidRPr="00600831" w:rsidRDefault="00BE6B47" w:rsidP="00BE6B47">
      <w:pPr>
        <w:spacing w:line="360" w:lineRule="auto"/>
        <w:rPr>
          <w:rFonts w:ascii="Times New Roman" w:hAnsi="Times New Roman" w:cs="Times New Roman"/>
        </w:rPr>
      </w:pPr>
      <w:r w:rsidRPr="00600831">
        <w:rPr>
          <w:rFonts w:ascii="Times New Roman" w:hAnsi="Times New Roman" w:cs="Times New Roman"/>
          <w:b/>
          <w:bCs/>
        </w:rPr>
        <w:t xml:space="preserve">SI 7. The biocompatibility of </w:t>
      </w:r>
      <w:r w:rsidRPr="00600831">
        <w:rPr>
          <w:rFonts w:ascii="Times New Roman" w:hAnsi="Times New Roman" w:cs="Times New Roman"/>
          <w:b/>
          <w:bCs/>
          <w:szCs w:val="21"/>
        </w:rPr>
        <w:t>rPMP</w:t>
      </w:r>
      <w:r w:rsidRPr="00600831">
        <w:rPr>
          <w:rFonts w:ascii="Times New Roman" w:hAnsi="Times New Roman" w:cs="Times New Roman"/>
          <w:b/>
          <w:bCs/>
        </w:rPr>
        <w:t>.</w:t>
      </w:r>
      <w:r w:rsidRPr="00600831">
        <w:rPr>
          <w:rFonts w:ascii="Times New Roman" w:hAnsi="Times New Roman" w:cs="Times New Roman"/>
        </w:rPr>
        <w:t xml:space="preserve"> (A) Hemolysis test results of </w:t>
      </w:r>
      <w:r w:rsidRPr="00600831">
        <w:rPr>
          <w:rFonts w:ascii="Times New Roman" w:hAnsi="Times New Roman" w:cs="Times New Roman"/>
          <w:szCs w:val="21"/>
        </w:rPr>
        <w:t>rPMP</w:t>
      </w:r>
      <w:r w:rsidRPr="00600831">
        <w:rPr>
          <w:rFonts w:ascii="Times New Roman" w:hAnsi="Times New Roman" w:cs="Times New Roman"/>
        </w:rPr>
        <w:t xml:space="preserve"> (n = 6). (B) The viability of HUVECs co-cultured with </w:t>
      </w:r>
      <w:r w:rsidRPr="00600831">
        <w:rPr>
          <w:rFonts w:ascii="Times New Roman" w:hAnsi="Times New Roman" w:cs="Times New Roman"/>
          <w:szCs w:val="21"/>
        </w:rPr>
        <w:t>rPMP</w:t>
      </w:r>
      <w:r w:rsidRPr="00600831">
        <w:rPr>
          <w:rFonts w:ascii="Times New Roman" w:hAnsi="Times New Roman" w:cs="Times New Roman"/>
        </w:rPr>
        <w:t xml:space="preserve"> was measured by CCK-8 (n = 3). (C) The living/dead fluorescence images of HUVECs cocultured with </w:t>
      </w:r>
      <w:r w:rsidRPr="00600831">
        <w:rPr>
          <w:rFonts w:ascii="Times New Roman" w:hAnsi="Times New Roman" w:cs="Times New Roman"/>
          <w:szCs w:val="21"/>
        </w:rPr>
        <w:t>rPMP</w:t>
      </w:r>
      <w:r w:rsidRPr="00600831">
        <w:rPr>
          <w:rFonts w:ascii="Times New Roman" w:hAnsi="Times New Roman" w:cs="Times New Roman"/>
        </w:rPr>
        <w:t xml:space="preserve"> (scale bar = 200 μm). </w:t>
      </w:r>
    </w:p>
    <w:p w14:paraId="4DD23305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13FC22E8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 w:rsidRPr="00600831">
        <w:rPr>
          <w:rFonts w:ascii="Times New Roman" w:hAnsi="Times New Roman" w:cs="Times New Roman"/>
          <w:noProof/>
        </w:rPr>
        <w:drawing>
          <wp:inline distT="0" distB="0" distL="0" distR="0" wp14:anchorId="5AC70C2B" wp14:editId="212AAD62">
            <wp:extent cx="3645535" cy="1322705"/>
            <wp:effectExtent l="0" t="0" r="0" b="0"/>
            <wp:docPr id="4481216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21649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3DAD3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  <w:r w:rsidRPr="00600831">
        <w:rPr>
          <w:rFonts w:ascii="Times New Roman" w:hAnsi="Times New Roman" w:cs="Times New Roman"/>
        </w:rPr>
        <w:t>SI 8. qPCR results of IL-6 (A) and TNF-α (B).</w:t>
      </w:r>
    </w:p>
    <w:p w14:paraId="3C7EA180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610684F6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 w:rsidRPr="0060083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4A4152" wp14:editId="24B8D3E3">
            <wp:extent cx="1478280" cy="2052955"/>
            <wp:effectExtent l="0" t="0" r="7620" b="4445"/>
            <wp:docPr id="18599710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71095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754" cy="2061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27CCEC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600831">
        <w:rPr>
          <w:rFonts w:ascii="Times New Roman" w:hAnsi="Times New Roman" w:cs="Times New Roman"/>
        </w:rPr>
        <w:t xml:space="preserve">SI 9. </w:t>
      </w:r>
      <w:r w:rsidRPr="00600831">
        <w:rPr>
          <w:rFonts w:ascii="Times New Roman" w:hAnsi="Times New Roman" w:cs="Times New Roman"/>
          <w:szCs w:val="21"/>
        </w:rPr>
        <w:t>Photographs of the residual thrombus (i: PBS + NIR, ii: rt-PA + NIR, iii: rt-PA/MMN + NIR, iv: rPMP + NIR).</w:t>
      </w:r>
    </w:p>
    <w:p w14:paraId="5BED67BA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3DB13D49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600831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1A570EC" wp14:editId="22E9F630">
            <wp:extent cx="5272405" cy="1101725"/>
            <wp:effectExtent l="0" t="0" r="4445" b="3175"/>
            <wp:docPr id="18034034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03460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t="37774" b="488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7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8F6E1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600831">
        <w:rPr>
          <w:rFonts w:ascii="Times New Roman" w:hAnsi="Times New Roman" w:cs="Times New Roman"/>
          <w:szCs w:val="21"/>
        </w:rPr>
        <w:t>SI 10. Quantification of blood biochemistry test at 24 h after treatment with different.</w:t>
      </w:r>
    </w:p>
    <w:p w14:paraId="4873FC04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2497FCF9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600831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4964ADC" wp14:editId="14C28EF9">
            <wp:extent cx="5272405" cy="1101725"/>
            <wp:effectExtent l="0" t="0" r="4445" b="3175"/>
            <wp:docPr id="11065898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8984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l="212" t="58348" r="-212" b="282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7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95ED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600831">
        <w:rPr>
          <w:rFonts w:ascii="Times New Roman" w:hAnsi="Times New Roman" w:cs="Times New Roman"/>
          <w:szCs w:val="21"/>
        </w:rPr>
        <w:t>SI 11. Quantification of typical hematological parameters at 24 h after treatment with different samples.</w:t>
      </w:r>
    </w:p>
    <w:p w14:paraId="5E148B26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 w:rsidRPr="0060083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F3B104" wp14:editId="4DDA8FAA">
            <wp:extent cx="5185081" cy="4339436"/>
            <wp:effectExtent l="0" t="0" r="0" b="4445"/>
            <wp:docPr id="15301069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727" cy="434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B19EE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  <w:r w:rsidRPr="00600831">
        <w:rPr>
          <w:rFonts w:ascii="Times New Roman" w:hAnsi="Times New Roman" w:cs="Times New Roman"/>
        </w:rPr>
        <w:t>SI 12. H&amp;E staining of major organs (scale bar: 100 μm).</w:t>
      </w:r>
    </w:p>
    <w:p w14:paraId="718E933A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05B31B20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43244243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610EE18D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12EFB691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113B9213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355F9BA0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2FE20FDC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0E873062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7357E1AF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0D79FEB9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1C2DB455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206BF267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683F24DE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5976557A" w14:textId="77777777" w:rsidR="00BE6B47" w:rsidRPr="00600831" w:rsidRDefault="00BE6B47" w:rsidP="00BE6B4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600831">
        <w:rPr>
          <w:rFonts w:ascii="Times New Roman" w:hAnsi="Times New Roman" w:cs="Times New Roman"/>
        </w:rPr>
        <w:lastRenderedPageBreak/>
        <w:br w:type="page"/>
      </w:r>
    </w:p>
    <w:p w14:paraId="2BBA1AB0" w14:textId="77777777" w:rsidR="00BE6B47" w:rsidRPr="00600831" w:rsidRDefault="00BE6B47" w:rsidP="00BE6B4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3700FC" w14:textId="77777777" w:rsidR="00EB4A2D" w:rsidRDefault="00EB4A2D"/>
    <w:sectPr w:rsidR="00EB4A2D" w:rsidSect="00BE6B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B47"/>
    <w:rsid w:val="002C7D54"/>
    <w:rsid w:val="0033371E"/>
    <w:rsid w:val="00474D08"/>
    <w:rsid w:val="005C0D39"/>
    <w:rsid w:val="0070406C"/>
    <w:rsid w:val="00724754"/>
    <w:rsid w:val="00BE6B47"/>
    <w:rsid w:val="00C321FA"/>
    <w:rsid w:val="00C97210"/>
    <w:rsid w:val="00EB4A2D"/>
    <w:rsid w:val="00EE513F"/>
    <w:rsid w:val="00FC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B82ED"/>
  <w15:chartTrackingRefBased/>
  <w15:docId w15:val="{35AE276E-20B6-4E43-BAA2-5E40F20D3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B47"/>
    <w:pPr>
      <w:widowControl w:val="0"/>
      <w:spacing w:after="0" w:line="240" w:lineRule="auto"/>
      <w:jc w:val="both"/>
    </w:pPr>
    <w:rPr>
      <w:rFonts w:eastAsiaTheme="minorEastAsia"/>
      <w:sz w:val="21"/>
      <w:szCs w:val="22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6B47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N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6B47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N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B47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IN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B47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val="en-IN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6B47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szCs w:val="24"/>
      <w:lang w:val="en-IN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6B47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en-IN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6B47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szCs w:val="24"/>
      <w:lang w:val="en-IN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6B47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en-IN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6B47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szCs w:val="24"/>
      <w:lang w:val="en-I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6B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6B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B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B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6B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6B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6B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6B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6B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6B47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</w:rPr>
  </w:style>
  <w:style w:type="character" w:customStyle="1" w:styleId="TitleChar">
    <w:name w:val="Title Char"/>
    <w:basedOn w:val="DefaultParagraphFont"/>
    <w:link w:val="Title"/>
    <w:uiPriority w:val="10"/>
    <w:rsid w:val="00BE6B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6B47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val="en-IN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E6B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6B47"/>
    <w:pPr>
      <w:widowControl/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sz w:val="24"/>
      <w:szCs w:val="24"/>
      <w:lang w:val="en-IN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E6B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6B47"/>
    <w:pPr>
      <w:widowControl/>
      <w:spacing w:after="160" w:line="278" w:lineRule="auto"/>
      <w:ind w:left="720"/>
      <w:contextualSpacing/>
      <w:jc w:val="left"/>
    </w:pPr>
    <w:rPr>
      <w:rFonts w:eastAsiaTheme="minorHAnsi"/>
      <w:sz w:val="24"/>
      <w:szCs w:val="24"/>
      <w:lang w:val="en-IN" w:eastAsia="en-US"/>
    </w:rPr>
  </w:style>
  <w:style w:type="character" w:styleId="IntenseEmphasis">
    <w:name w:val="Intense Emphasis"/>
    <w:basedOn w:val="DefaultParagraphFont"/>
    <w:uiPriority w:val="21"/>
    <w:qFormat/>
    <w:rsid w:val="00BE6B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6B47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szCs w:val="24"/>
      <w:lang w:val="en-IN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6B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6B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qFormat/>
    <w:rsid w:val="00BE6B47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val="en-US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265</Words>
  <Characters>1513</Characters>
  <Application>Microsoft Office Word</Application>
  <DocSecurity>0</DocSecurity>
  <Lines>12</Lines>
  <Paragraphs>3</Paragraphs>
  <ScaleCrop>false</ScaleCrop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Gaikwad</dc:creator>
  <cp:keywords/>
  <dc:description/>
  <cp:lastModifiedBy>Pradeep Gaikwad</cp:lastModifiedBy>
  <cp:revision>1</cp:revision>
  <dcterms:created xsi:type="dcterms:W3CDTF">2026-06-03T15:56:00Z</dcterms:created>
  <dcterms:modified xsi:type="dcterms:W3CDTF">2026-06-03T15:57:00Z</dcterms:modified>
</cp:coreProperties>
</file>