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CA78" w14:textId="0D2BC425" w:rsidR="00E1582D" w:rsidRPr="00B76128" w:rsidRDefault="006E11D6">
      <w:pPr>
        <w:rPr>
          <w:rFonts w:ascii="Times New Roman" w:hAnsi="Times New Roman" w:cs="Times New Roman"/>
        </w:rPr>
      </w:pPr>
      <w:r w:rsidRPr="00B76128">
        <w:rPr>
          <w:rFonts w:ascii="Times New Roman" w:hAnsi="Times New Roman" w:cs="Times New Roman"/>
          <w:b/>
          <w:bCs/>
        </w:rPr>
        <w:t>Supplemental</w:t>
      </w:r>
      <w:r w:rsidR="000A262E" w:rsidRPr="00B76128">
        <w:rPr>
          <w:rFonts w:ascii="Times New Roman" w:hAnsi="Times New Roman" w:cs="Times New Roman"/>
          <w:b/>
          <w:bCs/>
        </w:rPr>
        <w:t xml:space="preserve"> Figure S1:</w:t>
      </w:r>
      <w:r w:rsidR="000A262E" w:rsidRPr="00B76128">
        <w:rPr>
          <w:rFonts w:ascii="Times New Roman" w:hAnsi="Times New Roman" w:cs="Times New Roman"/>
        </w:rPr>
        <w:t xml:space="preserve"> Cell-type composition across healthy colon, tumor-adjacent normal, and colorectal cancer tissues.</w:t>
      </w:r>
    </w:p>
    <w:p w14:paraId="0BF1EB4D" w14:textId="77777777" w:rsidR="006E11D6" w:rsidRPr="00B76128" w:rsidRDefault="006E11D6">
      <w:pPr>
        <w:rPr>
          <w:rFonts w:ascii="Times New Roman" w:hAnsi="Times New Roman" w:cs="Times New Roman"/>
        </w:rPr>
      </w:pPr>
    </w:p>
    <w:p w14:paraId="4F5FC992" w14:textId="10F53D62" w:rsidR="006E11D6" w:rsidRPr="00B76128" w:rsidRDefault="00D3634B" w:rsidP="006E11D6">
      <w:pPr>
        <w:rPr>
          <w:rFonts w:ascii="Times New Roman" w:hAnsi="Times New Roman" w:cs="Times New Roman"/>
        </w:rPr>
      </w:pPr>
      <w:r>
        <w:rPr>
          <w:rFonts w:ascii="Times New Roman" w:hAnsi="Times New Roman" w:cs="Times New Roman"/>
          <w:noProof/>
        </w:rPr>
        <w:drawing>
          <wp:inline distT="0" distB="0" distL="0" distR="0" wp14:anchorId="2B409020" wp14:editId="1CB3A2AD">
            <wp:extent cx="5257800" cy="6210300"/>
            <wp:effectExtent l="0" t="0" r="0" b="0"/>
            <wp:docPr id="1075756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56899" name="Picture 1075756899"/>
                    <pic:cNvPicPr/>
                  </pic:nvPicPr>
                  <pic:blipFill>
                    <a:blip r:embed="rId4"/>
                    <a:stretch>
                      <a:fillRect/>
                    </a:stretch>
                  </pic:blipFill>
                  <pic:spPr>
                    <a:xfrm>
                      <a:off x="0" y="0"/>
                      <a:ext cx="5257800" cy="6210300"/>
                    </a:xfrm>
                    <a:prstGeom prst="rect">
                      <a:avLst/>
                    </a:prstGeom>
                  </pic:spPr>
                </pic:pic>
              </a:graphicData>
            </a:graphic>
          </wp:inline>
        </w:drawing>
      </w:r>
    </w:p>
    <w:p w14:paraId="5DBB0A51" w14:textId="6D21E213" w:rsidR="006E11D6" w:rsidRPr="00B76128" w:rsidRDefault="00071BC8">
      <w:pPr>
        <w:rPr>
          <w:rFonts w:ascii="Times New Roman" w:hAnsi="Times New Roman" w:cs="Times New Roman"/>
        </w:rPr>
      </w:pPr>
      <w:r w:rsidRPr="00071BC8">
        <w:rPr>
          <w:rFonts w:ascii="Times New Roman" w:hAnsi="Times New Roman" w:cs="Times New Roman"/>
        </w:rPr>
        <w:t>Boxplots showing estimated cell-type proportions across GTEx healthy colon (n=297), TCGA tumor-adjacent normal colon (n=45), and discovery cohort pT3 colorectal tumors stratified by metastasis status (non-metastatic, n=2</w:t>
      </w:r>
      <w:r w:rsidR="00D065EB">
        <w:rPr>
          <w:rFonts w:ascii="Times New Roman" w:hAnsi="Times New Roman" w:cs="Times New Roman"/>
        </w:rPr>
        <w:t>5</w:t>
      </w:r>
      <w:r w:rsidRPr="00071BC8">
        <w:rPr>
          <w:rFonts w:ascii="Times New Roman" w:hAnsi="Times New Roman" w:cs="Times New Roman"/>
        </w:rPr>
        <w:t>; metastatic, n=3</w:t>
      </w:r>
      <w:r w:rsidR="00D065EB">
        <w:rPr>
          <w:rFonts w:ascii="Times New Roman" w:hAnsi="Times New Roman" w:cs="Times New Roman"/>
        </w:rPr>
        <w:t>2</w:t>
      </w:r>
      <w:r w:rsidRPr="00071BC8">
        <w:rPr>
          <w:rFonts w:ascii="Times New Roman" w:hAnsi="Times New Roman" w:cs="Times New Roman"/>
        </w:rPr>
        <w:t>). Immune, epithelial, endothelial, and fibroblast proportions were renormalized after excluding the tumor compartment to enable direct comparison across tissue types. CD8⁺ T-cell and Treg proportions are shown as fractions of total immune. Cell-type estimates were derived from HiTIMED (h=6) and EpiDISH. Pairwise comparisons by Wilcoxon rank-sum test with BH correction; significance: *p &lt; 0.05, **p &lt; 0.01, ***p &lt; 0.001, ****p &lt; 0.0001. Non-significant comparisons are hidden.</w:t>
      </w:r>
    </w:p>
    <w:p w14:paraId="320E4AAF" w14:textId="77777777" w:rsidR="00F55173" w:rsidRPr="00B76128" w:rsidRDefault="00F55173">
      <w:pPr>
        <w:rPr>
          <w:rFonts w:ascii="Times New Roman" w:hAnsi="Times New Roman" w:cs="Times New Roman"/>
        </w:rPr>
      </w:pPr>
    </w:p>
    <w:p w14:paraId="053F0693" w14:textId="432AD1B7" w:rsidR="000A262E" w:rsidRPr="00B76128" w:rsidRDefault="00F55173">
      <w:pPr>
        <w:rPr>
          <w:rFonts w:ascii="Times New Roman" w:hAnsi="Times New Roman" w:cs="Times New Roman"/>
        </w:rPr>
      </w:pPr>
      <w:r w:rsidRPr="00B76128">
        <w:rPr>
          <w:rFonts w:ascii="Times New Roman" w:hAnsi="Times New Roman" w:cs="Times New Roman"/>
          <w:b/>
          <w:bCs/>
        </w:rPr>
        <w:t>Supplementary Figure S2:</w:t>
      </w:r>
      <w:r w:rsidRPr="00B76128">
        <w:rPr>
          <w:rFonts w:ascii="Times New Roman" w:hAnsi="Times New Roman" w:cs="Times New Roman"/>
        </w:rPr>
        <w:t xml:space="preserve"> Differential methylation between lymph node–only and distant metastasis</w:t>
      </w:r>
      <w:r w:rsidR="000A262E" w:rsidRPr="00B76128">
        <w:rPr>
          <w:rFonts w:ascii="Times New Roman" w:hAnsi="Times New Roman" w:cs="Times New Roman"/>
          <w:noProof/>
        </w:rPr>
        <w:drawing>
          <wp:inline distT="0" distB="0" distL="0" distR="0" wp14:anchorId="447458A8" wp14:editId="2357268C">
            <wp:extent cx="5943600" cy="4560570"/>
            <wp:effectExtent l="0" t="0" r="0" b="0"/>
            <wp:docPr id="1212282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82925" name="Picture 1212282925"/>
                    <pic:cNvPicPr/>
                  </pic:nvPicPr>
                  <pic:blipFill>
                    <a:blip r:embed="rId5"/>
                    <a:stretch>
                      <a:fillRect/>
                    </a:stretch>
                  </pic:blipFill>
                  <pic:spPr>
                    <a:xfrm>
                      <a:off x="0" y="0"/>
                      <a:ext cx="5943600" cy="4560570"/>
                    </a:xfrm>
                    <a:prstGeom prst="rect">
                      <a:avLst/>
                    </a:prstGeom>
                  </pic:spPr>
                </pic:pic>
              </a:graphicData>
            </a:graphic>
          </wp:inline>
        </w:drawing>
      </w:r>
    </w:p>
    <w:p w14:paraId="2B66E8BA" w14:textId="77777777" w:rsidR="006E11D6" w:rsidRPr="00B76128" w:rsidRDefault="006E11D6" w:rsidP="006E11D6">
      <w:pPr>
        <w:rPr>
          <w:rFonts w:ascii="Times New Roman" w:hAnsi="Times New Roman" w:cs="Times New Roman"/>
        </w:rPr>
      </w:pPr>
    </w:p>
    <w:p w14:paraId="75C75E1F" w14:textId="77777777" w:rsidR="006E11D6" w:rsidRPr="00B76128" w:rsidRDefault="006E11D6" w:rsidP="006E11D6">
      <w:pPr>
        <w:rPr>
          <w:rFonts w:ascii="Times New Roman" w:hAnsi="Times New Roman" w:cs="Times New Roman"/>
        </w:rPr>
      </w:pPr>
    </w:p>
    <w:p w14:paraId="59595865" w14:textId="56649947" w:rsidR="006E11D6" w:rsidRPr="00B76128" w:rsidRDefault="00F55173" w:rsidP="006E11D6">
      <w:pPr>
        <w:rPr>
          <w:rFonts w:ascii="Times New Roman" w:hAnsi="Times New Roman" w:cs="Times New Roman"/>
        </w:rPr>
      </w:pPr>
      <w:r w:rsidRPr="00B76128">
        <w:rPr>
          <w:rFonts w:ascii="Times New Roman" w:hAnsi="Times New Roman" w:cs="Times New Roman"/>
        </w:rPr>
        <w:t>Volcano plot showing differentially methylated CpGs comparing distant metastasis (n=19) versus lymph node–only metastasis (n=13). The x-axis represents log₂ fold change in M-values; the y-axis represents −log₁₀ p-value. Horizontal dashed line indicates p = 0.001 threshold. Vertical dashed lines indicate log₂ fold change of −0.5 and 0.5. Red points denote hypermethylated CpGs (p &lt; 0.001); selected genes are labeled. A total of 164 CpGs reached significance (p &lt; 0.001), with a predominant hypermethylation signature in distant metastasis. Analysis adjusted for age, sex, MLH1 status, and cell-type composition.</w:t>
      </w:r>
    </w:p>
    <w:p w14:paraId="62D73FCC" w14:textId="77777777" w:rsidR="006E11D6" w:rsidRPr="00B76128" w:rsidRDefault="006E11D6" w:rsidP="006E11D6">
      <w:pPr>
        <w:rPr>
          <w:rFonts w:ascii="Times New Roman" w:hAnsi="Times New Roman" w:cs="Times New Roman"/>
        </w:rPr>
      </w:pPr>
    </w:p>
    <w:p w14:paraId="751CA6C0" w14:textId="32052B65" w:rsidR="006E11D6" w:rsidRPr="00B76128" w:rsidRDefault="00FC07BC" w:rsidP="006E11D6">
      <w:pPr>
        <w:rPr>
          <w:rFonts w:ascii="Times New Roman" w:hAnsi="Times New Roman" w:cs="Times New Roman"/>
          <w:b/>
          <w:bCs/>
        </w:rPr>
      </w:pPr>
      <w:r w:rsidRPr="00B76128">
        <w:rPr>
          <w:rFonts w:ascii="Times New Roman" w:hAnsi="Times New Roman" w:cs="Times New Roman"/>
          <w:b/>
          <w:bCs/>
        </w:rPr>
        <w:t>Supplementary Figure S3:</w:t>
      </w:r>
      <w:r w:rsidRPr="00B76128">
        <w:rPr>
          <w:rFonts w:ascii="Times New Roman" w:hAnsi="Times New Roman" w:cs="Times New Roman"/>
        </w:rPr>
        <w:t xml:space="preserve"> Correlation of Measured Epithelial Cell Type Proportions</w:t>
      </w:r>
    </w:p>
    <w:p w14:paraId="523AE294" w14:textId="5597B47F" w:rsidR="00FC07BC" w:rsidRPr="00B76128" w:rsidRDefault="00D83F92" w:rsidP="006E11D6">
      <w:pPr>
        <w:rPr>
          <w:rFonts w:ascii="Times New Roman" w:hAnsi="Times New Roman" w:cs="Times New Roman"/>
        </w:rPr>
      </w:pPr>
      <w:r w:rsidRPr="00B76128">
        <w:rPr>
          <w:rFonts w:ascii="Times New Roman" w:hAnsi="Times New Roman" w:cs="Times New Roman"/>
          <w:noProof/>
        </w:rPr>
        <w:lastRenderedPageBreak/>
        <w:drawing>
          <wp:inline distT="0" distB="0" distL="0" distR="0" wp14:anchorId="37F46020" wp14:editId="09CD6C02">
            <wp:extent cx="5943600" cy="5029200"/>
            <wp:effectExtent l="0" t="0" r="0" b="0"/>
            <wp:docPr id="7302146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14679" name="Picture 730214679"/>
                    <pic:cNvPicPr/>
                  </pic:nvPicPr>
                  <pic:blipFill>
                    <a:blip r:embed="rId6"/>
                    <a:stretch>
                      <a:fillRect/>
                    </a:stretch>
                  </pic:blipFill>
                  <pic:spPr>
                    <a:xfrm>
                      <a:off x="0" y="0"/>
                      <a:ext cx="5943600" cy="5029200"/>
                    </a:xfrm>
                    <a:prstGeom prst="rect">
                      <a:avLst/>
                    </a:prstGeom>
                  </pic:spPr>
                </pic:pic>
              </a:graphicData>
            </a:graphic>
          </wp:inline>
        </w:drawing>
      </w:r>
    </w:p>
    <w:p w14:paraId="43F4318B" w14:textId="77777777" w:rsidR="00FC07BC" w:rsidRPr="00B76128" w:rsidRDefault="00FC07BC" w:rsidP="006E11D6">
      <w:pPr>
        <w:rPr>
          <w:rFonts w:ascii="Times New Roman" w:hAnsi="Times New Roman" w:cs="Times New Roman"/>
        </w:rPr>
      </w:pPr>
    </w:p>
    <w:p w14:paraId="0175B2DC" w14:textId="66B5BB5D" w:rsidR="00D83F92" w:rsidRPr="00B76128" w:rsidRDefault="00D83F92" w:rsidP="00D83F92">
      <w:pPr>
        <w:rPr>
          <w:rFonts w:ascii="Times New Roman" w:hAnsi="Times New Roman" w:cs="Times New Roman"/>
        </w:rPr>
      </w:pPr>
      <w:r w:rsidRPr="00B76128">
        <w:rPr>
          <w:rFonts w:ascii="Times New Roman" w:hAnsi="Times New Roman" w:cs="Times New Roman"/>
        </w:rPr>
        <w:t>Scatter plot comparing epithelial cell-type proportions estimated by EpiDISH (Epithelial fraction) and HiTIMED (Tumor + Epithelial fraction) across 57 pT3 colon adenocarcinoma samples. Red line indicates linear trend with 95% confidence interval. Pearson correlation coefficient is shown (R = 0.815).</w:t>
      </w:r>
    </w:p>
    <w:p w14:paraId="032B5494" w14:textId="77777777" w:rsidR="00CD4C5E" w:rsidRPr="00B76128" w:rsidRDefault="00CD4C5E" w:rsidP="00D83F92">
      <w:pPr>
        <w:rPr>
          <w:rFonts w:ascii="Times New Roman" w:hAnsi="Times New Roman" w:cs="Times New Roman"/>
          <w:b/>
          <w:bCs/>
        </w:rPr>
      </w:pPr>
    </w:p>
    <w:p w14:paraId="498454F5" w14:textId="77777777" w:rsidR="00CD4C5E" w:rsidRPr="00B76128" w:rsidRDefault="00CD4C5E" w:rsidP="00D83F92">
      <w:pPr>
        <w:rPr>
          <w:rFonts w:ascii="Times New Roman" w:hAnsi="Times New Roman" w:cs="Times New Roman"/>
          <w:b/>
          <w:bCs/>
        </w:rPr>
      </w:pPr>
    </w:p>
    <w:p w14:paraId="6EA951F1" w14:textId="77777777" w:rsidR="00CD4C5E" w:rsidRPr="00B76128" w:rsidRDefault="00CD4C5E" w:rsidP="00D83F92">
      <w:pPr>
        <w:rPr>
          <w:rFonts w:ascii="Times New Roman" w:hAnsi="Times New Roman" w:cs="Times New Roman"/>
          <w:b/>
          <w:bCs/>
        </w:rPr>
      </w:pPr>
    </w:p>
    <w:p w14:paraId="143E9737" w14:textId="77777777" w:rsidR="00CD4C5E" w:rsidRPr="00B76128" w:rsidRDefault="00CD4C5E" w:rsidP="00D83F92">
      <w:pPr>
        <w:rPr>
          <w:rFonts w:ascii="Times New Roman" w:hAnsi="Times New Roman" w:cs="Times New Roman"/>
          <w:b/>
          <w:bCs/>
        </w:rPr>
      </w:pPr>
    </w:p>
    <w:p w14:paraId="51F9EC59" w14:textId="77777777" w:rsidR="00CD4C5E" w:rsidRPr="00B76128" w:rsidRDefault="00CD4C5E" w:rsidP="00D83F92">
      <w:pPr>
        <w:rPr>
          <w:rFonts w:ascii="Times New Roman" w:hAnsi="Times New Roman" w:cs="Times New Roman"/>
          <w:b/>
          <w:bCs/>
        </w:rPr>
      </w:pPr>
    </w:p>
    <w:p w14:paraId="4A2A714C" w14:textId="77777777" w:rsidR="00CD4C5E" w:rsidRPr="00B76128" w:rsidRDefault="00CD4C5E" w:rsidP="00D83F92">
      <w:pPr>
        <w:rPr>
          <w:rFonts w:ascii="Times New Roman" w:hAnsi="Times New Roman" w:cs="Times New Roman"/>
          <w:b/>
          <w:bCs/>
        </w:rPr>
      </w:pPr>
    </w:p>
    <w:p w14:paraId="69C00635" w14:textId="77777777" w:rsidR="00CD4C5E" w:rsidRPr="00B76128" w:rsidRDefault="00CD4C5E" w:rsidP="00D83F92">
      <w:pPr>
        <w:rPr>
          <w:rFonts w:ascii="Times New Roman" w:hAnsi="Times New Roman" w:cs="Times New Roman"/>
          <w:b/>
          <w:bCs/>
        </w:rPr>
      </w:pPr>
    </w:p>
    <w:p w14:paraId="53176429" w14:textId="77777777" w:rsidR="00CD4C5E" w:rsidRPr="00B76128" w:rsidRDefault="00CD4C5E" w:rsidP="00D83F92">
      <w:pPr>
        <w:rPr>
          <w:rFonts w:ascii="Times New Roman" w:hAnsi="Times New Roman" w:cs="Times New Roman"/>
          <w:b/>
          <w:bCs/>
        </w:rPr>
      </w:pPr>
    </w:p>
    <w:p w14:paraId="5FBE55EF" w14:textId="77777777" w:rsidR="00CD4C5E" w:rsidRPr="00B76128" w:rsidRDefault="00CD4C5E" w:rsidP="00D83F92">
      <w:pPr>
        <w:rPr>
          <w:rFonts w:ascii="Times New Roman" w:hAnsi="Times New Roman" w:cs="Times New Roman"/>
          <w:b/>
          <w:bCs/>
        </w:rPr>
      </w:pPr>
    </w:p>
    <w:p w14:paraId="54A5E35F" w14:textId="77777777" w:rsidR="00CD4C5E" w:rsidRPr="00B76128" w:rsidRDefault="00CD4C5E" w:rsidP="00D83F92">
      <w:pPr>
        <w:rPr>
          <w:rFonts w:ascii="Times New Roman" w:hAnsi="Times New Roman" w:cs="Times New Roman"/>
          <w:b/>
          <w:bCs/>
        </w:rPr>
      </w:pPr>
    </w:p>
    <w:p w14:paraId="48306328" w14:textId="77777777" w:rsidR="00CD4C5E" w:rsidRPr="00B76128" w:rsidRDefault="00CD4C5E" w:rsidP="00D83F92">
      <w:pPr>
        <w:rPr>
          <w:rFonts w:ascii="Times New Roman" w:hAnsi="Times New Roman" w:cs="Times New Roman"/>
          <w:b/>
          <w:bCs/>
        </w:rPr>
      </w:pPr>
    </w:p>
    <w:p w14:paraId="31CEE2F2" w14:textId="3502450B" w:rsidR="00FC07BC" w:rsidRPr="00B76128" w:rsidRDefault="00CD4C5E" w:rsidP="006E11D6">
      <w:pPr>
        <w:rPr>
          <w:rFonts w:ascii="Times New Roman" w:hAnsi="Times New Roman" w:cs="Times New Roman"/>
        </w:rPr>
      </w:pPr>
      <w:r w:rsidRPr="00B76128">
        <w:rPr>
          <w:rFonts w:ascii="Times New Roman" w:hAnsi="Times New Roman" w:cs="Times New Roman"/>
          <w:b/>
          <w:bCs/>
        </w:rPr>
        <w:lastRenderedPageBreak/>
        <w:t>Supplementary Figure S4:</w:t>
      </w:r>
      <w:r w:rsidRPr="00B76128">
        <w:rPr>
          <w:rFonts w:ascii="Times New Roman" w:hAnsi="Times New Roman" w:cs="Times New Roman"/>
        </w:rPr>
        <w:t xml:space="preserve"> </w:t>
      </w:r>
      <w:r w:rsidR="00B76128" w:rsidRPr="00B76128">
        <w:rPr>
          <w:rFonts w:ascii="Times New Roman" w:hAnsi="Times New Roman" w:cs="Times New Roman"/>
        </w:rPr>
        <w:t>Comparison of unadjusted and cell-type-adjusted EWAS models across the three metastasis contrasts</w:t>
      </w:r>
      <w:r w:rsidRPr="00B76128">
        <w:rPr>
          <w:rFonts w:ascii="Times New Roman" w:hAnsi="Times New Roman" w:cs="Times New Roman"/>
          <w:noProof/>
        </w:rPr>
        <w:drawing>
          <wp:inline distT="0" distB="0" distL="0" distR="0" wp14:anchorId="133F40FC" wp14:editId="32DCEC55">
            <wp:extent cx="5943600" cy="6571615"/>
            <wp:effectExtent l="0" t="0" r="0" b="0"/>
            <wp:docPr id="1736339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39469" name="Picture 1736339469"/>
                    <pic:cNvPicPr/>
                  </pic:nvPicPr>
                  <pic:blipFill>
                    <a:blip r:embed="rId7"/>
                    <a:stretch>
                      <a:fillRect/>
                    </a:stretch>
                  </pic:blipFill>
                  <pic:spPr>
                    <a:xfrm>
                      <a:off x="0" y="0"/>
                      <a:ext cx="5943600" cy="6571615"/>
                    </a:xfrm>
                    <a:prstGeom prst="rect">
                      <a:avLst/>
                    </a:prstGeom>
                  </pic:spPr>
                </pic:pic>
              </a:graphicData>
            </a:graphic>
          </wp:inline>
        </w:drawing>
      </w:r>
    </w:p>
    <w:p w14:paraId="708244AC" w14:textId="40C2B524" w:rsidR="0055704A" w:rsidRPr="00B76128" w:rsidRDefault="00B76128" w:rsidP="006E11D6">
      <w:pPr>
        <w:rPr>
          <w:rFonts w:ascii="Times New Roman" w:hAnsi="Times New Roman" w:cs="Times New Roman"/>
        </w:rPr>
      </w:pPr>
      <w:r w:rsidRPr="00B76128">
        <w:rPr>
          <w:rFonts w:ascii="Times New Roman" w:hAnsi="Times New Roman" w:cs="Times New Roman"/>
        </w:rPr>
        <w:t xml:space="preserve">Differential methylation results from an unadjusted model (age, sex, and MLH1 status) are compared against the cell-type-adjusted model used in the main analysis (additionally including tumor proportion, fibroblast, stromal, CD8⁺ T-cell, and other lymphocyte proportions) for each of the three metastasis contrasts. (A) Volcano plots of differential methylation from the unadjusted model for each metastasis contrast (any metastasis, lymph node–only metastasis, and distant metastasis). Significant CpGs (p &lt; 0.001, |log₂ FC| &gt; 0.2) are colored by direction of effect (red, hypermethylated; blue, hypomethylated). The top 15 hits per contrast are labeled by primary </w:t>
      </w:r>
      <w:r w:rsidRPr="00B76128">
        <w:rPr>
          <w:rFonts w:ascii="Times New Roman" w:hAnsi="Times New Roman" w:cs="Times New Roman"/>
        </w:rPr>
        <w:lastRenderedPageBreak/>
        <w:t>gene annotation. (B) Venn diagrams showing the overlap of CpGs significant at p &lt; 0.001 between the unadjusted and cell-type-adjusted models for each contrast. Counts and percentages are displayed within each region. (C) Per-CpG comparison of effect size estimates (log₂ fold change) between the unadjusted (x-axis) and cell-type-adjusted (y-axis) models across all 68,331 tested CpGs. Each point represents one CpG, colored by significance status: blue, significant in both models with concordant effect direction; green, significant only in the cell-type-adjusted model (gained on adjustment); orange, significant only in the unadjusted model (lost on adjustment); grey, not significant in either model. The dashed line indicates y = x. Pearson correlations of effect-size estimates between the two models were r = 0.876, 0.781, and 0.893 for the any, lymph node–only, and distant metastasis contrasts, respectively.</w:t>
      </w:r>
    </w:p>
    <w:p w14:paraId="7439F06E" w14:textId="77777777" w:rsidR="0055704A" w:rsidRPr="00B76128" w:rsidRDefault="0055704A" w:rsidP="006E11D6">
      <w:pPr>
        <w:rPr>
          <w:rFonts w:ascii="Times New Roman" w:hAnsi="Times New Roman" w:cs="Times New Roman"/>
        </w:rPr>
      </w:pPr>
    </w:p>
    <w:p w14:paraId="345F5B5B" w14:textId="1E41F23B" w:rsidR="0055704A" w:rsidRPr="00B76128" w:rsidRDefault="0055704A" w:rsidP="0055704A">
      <w:pPr>
        <w:rPr>
          <w:rFonts w:ascii="Times New Roman" w:hAnsi="Times New Roman" w:cs="Times New Roman"/>
        </w:rPr>
      </w:pPr>
      <w:r w:rsidRPr="00B76128">
        <w:rPr>
          <w:rFonts w:ascii="Times New Roman" w:hAnsi="Times New Roman" w:cs="Times New Roman"/>
          <w:b/>
          <w:bCs/>
        </w:rPr>
        <w:t>Supplementary Figure S5:</w:t>
      </w:r>
      <w:r w:rsidRPr="00B76128">
        <w:rPr>
          <w:rFonts w:ascii="Times New Roman" w:hAnsi="Times New Roman" w:cs="Times New Roman"/>
        </w:rPr>
        <w:t xml:space="preserve"> Methylation-Expression Correlations for Top Metastasis-Associated CpGs in TCGA-COAD</w:t>
      </w:r>
    </w:p>
    <w:p w14:paraId="25B8EBC1" w14:textId="24C45C65" w:rsidR="0055704A" w:rsidRPr="00B76128" w:rsidRDefault="0055704A" w:rsidP="0055704A">
      <w:pPr>
        <w:rPr>
          <w:rFonts w:ascii="Times New Roman" w:hAnsi="Times New Roman" w:cs="Times New Roman"/>
        </w:rPr>
      </w:pPr>
      <w:r w:rsidRPr="00B76128">
        <w:rPr>
          <w:rFonts w:ascii="Times New Roman" w:hAnsi="Times New Roman" w:cs="Times New Roman"/>
          <w:noProof/>
        </w:rPr>
        <w:drawing>
          <wp:inline distT="0" distB="0" distL="0" distR="0" wp14:anchorId="1C194398" wp14:editId="1B629CE4">
            <wp:extent cx="5943600" cy="4160520"/>
            <wp:effectExtent l="0" t="0" r="0" b="5080"/>
            <wp:docPr id="156338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86988" name="Picture 1563386988"/>
                    <pic:cNvPicPr/>
                  </pic:nvPicPr>
                  <pic:blipFill>
                    <a:blip r:embed="rId8"/>
                    <a:stretch>
                      <a:fillRect/>
                    </a:stretch>
                  </pic:blipFill>
                  <pic:spPr>
                    <a:xfrm>
                      <a:off x="0" y="0"/>
                      <a:ext cx="5943600" cy="4160520"/>
                    </a:xfrm>
                    <a:prstGeom prst="rect">
                      <a:avLst/>
                    </a:prstGeom>
                  </pic:spPr>
                </pic:pic>
              </a:graphicData>
            </a:graphic>
          </wp:inline>
        </w:drawing>
      </w:r>
    </w:p>
    <w:p w14:paraId="628C9B9C" w14:textId="214C93C3" w:rsidR="0055704A" w:rsidRPr="00B76128" w:rsidRDefault="0055704A" w:rsidP="0055704A">
      <w:pPr>
        <w:rPr>
          <w:rFonts w:ascii="Times New Roman" w:hAnsi="Times New Roman" w:cs="Times New Roman"/>
        </w:rPr>
      </w:pPr>
      <w:r w:rsidRPr="00B76128">
        <w:rPr>
          <w:rFonts w:ascii="Times New Roman" w:hAnsi="Times New Roman" w:cs="Times New Roman"/>
        </w:rPr>
        <w:t xml:space="preserve">Scatter plots showing the relationship between DNA methylation (β-value) and gene expression (log2 TPM+1) for the six CpG-gene pairs with the strongest negative Spearman correlations among metastasis-associated loci (N = 347 TCGA-COAD samples with matched methylation and RNA-seq data). </w:t>
      </w:r>
      <w:r w:rsidR="00BD4C96" w:rsidRPr="00BD4C96">
        <w:rPr>
          <w:rFonts w:ascii="Times New Roman" w:hAnsi="Times New Roman" w:cs="Times New Roman"/>
        </w:rPr>
        <w:t>Red curves indicate LOESS-smoothed trend</w:t>
      </w:r>
      <w:r w:rsidRPr="00B76128">
        <w:rPr>
          <w:rFonts w:ascii="Times New Roman" w:hAnsi="Times New Roman" w:cs="Times New Roman"/>
        </w:rPr>
        <w:t xml:space="preserve"> with 95% confidence intervals. Spearman correlation coefficients (ρ) and FDR-adjusted p-values are shown for each panel.</w:t>
      </w:r>
    </w:p>
    <w:p w14:paraId="753A8EFE" w14:textId="77777777" w:rsidR="0055704A" w:rsidRPr="00B76128" w:rsidRDefault="0055704A" w:rsidP="0055704A">
      <w:pPr>
        <w:rPr>
          <w:rFonts w:ascii="Times New Roman" w:hAnsi="Times New Roman" w:cs="Times New Roman"/>
        </w:rPr>
      </w:pPr>
    </w:p>
    <w:p w14:paraId="6DECE6CE" w14:textId="77777777" w:rsidR="0055704A" w:rsidRPr="00B76128" w:rsidRDefault="0055704A" w:rsidP="006E11D6">
      <w:pPr>
        <w:rPr>
          <w:rFonts w:ascii="Times New Roman" w:hAnsi="Times New Roman" w:cs="Times New Roman"/>
        </w:rPr>
      </w:pPr>
    </w:p>
    <w:p w14:paraId="21494226" w14:textId="4BD9FC96" w:rsidR="006E11D6" w:rsidRPr="00B76128" w:rsidRDefault="007F6828" w:rsidP="006E11D6">
      <w:pPr>
        <w:rPr>
          <w:rFonts w:ascii="Times New Roman" w:hAnsi="Times New Roman" w:cs="Times New Roman"/>
        </w:rPr>
      </w:pPr>
      <w:r w:rsidRPr="00B76128">
        <w:rPr>
          <w:rFonts w:ascii="Times New Roman" w:hAnsi="Times New Roman" w:cs="Times New Roman"/>
          <w:noProof/>
        </w:rPr>
        <w:lastRenderedPageBreak/>
        <w:drawing>
          <wp:inline distT="0" distB="0" distL="0" distR="0" wp14:anchorId="04BBE6EE" wp14:editId="4C77409C">
            <wp:extent cx="5943600" cy="7691755"/>
            <wp:effectExtent l="0" t="0" r="0" b="0"/>
            <wp:docPr id="1241460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60582" name="Picture 1241460582"/>
                    <pic:cNvPicPr/>
                  </pic:nvPicPr>
                  <pic:blipFill>
                    <a:blip r:embed="rId9"/>
                    <a:stretch>
                      <a:fillRect/>
                    </a:stretch>
                  </pic:blipFill>
                  <pic:spPr>
                    <a:xfrm>
                      <a:off x="0" y="0"/>
                      <a:ext cx="5943600" cy="7691755"/>
                    </a:xfrm>
                    <a:prstGeom prst="rect">
                      <a:avLst/>
                    </a:prstGeom>
                  </pic:spPr>
                </pic:pic>
              </a:graphicData>
            </a:graphic>
          </wp:inline>
        </w:drawing>
      </w:r>
    </w:p>
    <w:p w14:paraId="22E6349D" w14:textId="77777777" w:rsidR="006E11D6" w:rsidRPr="00B76128" w:rsidRDefault="006E11D6" w:rsidP="006E11D6">
      <w:pPr>
        <w:rPr>
          <w:rFonts w:ascii="Times New Roman" w:hAnsi="Times New Roman" w:cs="Times New Roman"/>
        </w:rPr>
      </w:pPr>
    </w:p>
    <w:p w14:paraId="01EB1807" w14:textId="77777777" w:rsidR="006E11D6" w:rsidRPr="00B76128" w:rsidRDefault="006E11D6" w:rsidP="006E11D6">
      <w:pPr>
        <w:rPr>
          <w:rFonts w:ascii="Times New Roman" w:hAnsi="Times New Roman" w:cs="Times New Roman"/>
        </w:rPr>
      </w:pPr>
    </w:p>
    <w:p w14:paraId="760D9024" w14:textId="50465836" w:rsidR="006E11D6" w:rsidRPr="00B76128" w:rsidRDefault="00372EBB" w:rsidP="006E11D6">
      <w:pPr>
        <w:rPr>
          <w:rFonts w:ascii="Times New Roman" w:hAnsi="Times New Roman" w:cs="Times New Roman"/>
        </w:rPr>
      </w:pPr>
      <w:r w:rsidRPr="00B76128">
        <w:rPr>
          <w:rFonts w:ascii="Times New Roman" w:hAnsi="Times New Roman" w:cs="Times New Roman"/>
          <w:noProof/>
        </w:rPr>
        <w:lastRenderedPageBreak/>
        <w:drawing>
          <wp:inline distT="0" distB="0" distL="0" distR="0" wp14:anchorId="35B2F4FF" wp14:editId="634FEDE6">
            <wp:extent cx="3314700" cy="2311400"/>
            <wp:effectExtent l="0" t="0" r="0" b="0"/>
            <wp:docPr id="19460482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48289" name="Picture 1946048289"/>
                    <pic:cNvPicPr/>
                  </pic:nvPicPr>
                  <pic:blipFill>
                    <a:blip r:embed="rId10"/>
                    <a:stretch>
                      <a:fillRect/>
                    </a:stretch>
                  </pic:blipFill>
                  <pic:spPr>
                    <a:xfrm>
                      <a:off x="0" y="0"/>
                      <a:ext cx="3314700" cy="2311400"/>
                    </a:xfrm>
                    <a:prstGeom prst="rect">
                      <a:avLst/>
                    </a:prstGeom>
                  </pic:spPr>
                </pic:pic>
              </a:graphicData>
            </a:graphic>
          </wp:inline>
        </w:drawing>
      </w:r>
    </w:p>
    <w:p w14:paraId="4D0B5BBD" w14:textId="602EF673" w:rsidR="006E11D6" w:rsidRPr="00B76128" w:rsidRDefault="00372EBB" w:rsidP="006E11D6">
      <w:pPr>
        <w:rPr>
          <w:rFonts w:ascii="Times New Roman" w:hAnsi="Times New Roman" w:cs="Times New Roman"/>
        </w:rPr>
      </w:pPr>
      <w:r w:rsidRPr="00B76128">
        <w:rPr>
          <w:rFonts w:ascii="Times New Roman" w:hAnsi="Times New Roman" w:cs="Times New Roman"/>
          <w:noProof/>
        </w:rPr>
        <w:lastRenderedPageBreak/>
        <w:drawing>
          <wp:inline distT="0" distB="0" distL="0" distR="0" wp14:anchorId="04B18A79" wp14:editId="424A2295">
            <wp:extent cx="5016500" cy="6502400"/>
            <wp:effectExtent l="0" t="0" r="0" b="0"/>
            <wp:docPr id="9333271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27111" name="Picture 933327111"/>
                    <pic:cNvPicPr/>
                  </pic:nvPicPr>
                  <pic:blipFill>
                    <a:blip r:embed="rId11"/>
                    <a:stretch>
                      <a:fillRect/>
                    </a:stretch>
                  </pic:blipFill>
                  <pic:spPr>
                    <a:xfrm>
                      <a:off x="0" y="0"/>
                      <a:ext cx="5016500" cy="6502400"/>
                    </a:xfrm>
                    <a:prstGeom prst="rect">
                      <a:avLst/>
                    </a:prstGeom>
                  </pic:spPr>
                </pic:pic>
              </a:graphicData>
            </a:graphic>
          </wp:inline>
        </w:drawing>
      </w:r>
    </w:p>
    <w:p w14:paraId="5318DC3C" w14:textId="77777777" w:rsidR="00372EBB" w:rsidRPr="00B76128" w:rsidRDefault="00372EBB" w:rsidP="006E11D6">
      <w:pPr>
        <w:rPr>
          <w:rFonts w:ascii="Times New Roman" w:hAnsi="Times New Roman" w:cs="Times New Roman"/>
        </w:rPr>
      </w:pPr>
    </w:p>
    <w:p w14:paraId="02073939" w14:textId="77777777" w:rsidR="00372EBB" w:rsidRPr="00B76128" w:rsidRDefault="00372EBB" w:rsidP="006E11D6">
      <w:pPr>
        <w:rPr>
          <w:rFonts w:ascii="Times New Roman" w:hAnsi="Times New Roman" w:cs="Times New Roman"/>
        </w:rPr>
      </w:pPr>
    </w:p>
    <w:p w14:paraId="58C53102" w14:textId="77777777" w:rsidR="006E11D6" w:rsidRPr="00B76128" w:rsidRDefault="006E11D6" w:rsidP="006E11D6">
      <w:pPr>
        <w:rPr>
          <w:rFonts w:ascii="Times New Roman" w:hAnsi="Times New Roman" w:cs="Times New Roman"/>
        </w:rPr>
      </w:pPr>
    </w:p>
    <w:p w14:paraId="3BA47B4B" w14:textId="77777777" w:rsidR="006E11D6" w:rsidRPr="00B76128" w:rsidRDefault="006E11D6" w:rsidP="006E11D6">
      <w:pPr>
        <w:rPr>
          <w:rFonts w:ascii="Times New Roman" w:hAnsi="Times New Roman" w:cs="Times New Roman"/>
        </w:rPr>
      </w:pPr>
    </w:p>
    <w:p w14:paraId="0E398B26" w14:textId="77777777" w:rsidR="006E11D6" w:rsidRPr="00B76128" w:rsidRDefault="006E11D6" w:rsidP="006E11D6">
      <w:pPr>
        <w:rPr>
          <w:rFonts w:ascii="Times New Roman" w:hAnsi="Times New Roman" w:cs="Times New Roman"/>
        </w:rPr>
      </w:pPr>
    </w:p>
    <w:p w14:paraId="0AC78AD8" w14:textId="77777777" w:rsidR="006E11D6" w:rsidRPr="00B76128" w:rsidRDefault="006E11D6" w:rsidP="006E11D6">
      <w:pPr>
        <w:rPr>
          <w:rFonts w:ascii="Times New Roman" w:hAnsi="Times New Roman" w:cs="Times New Roman"/>
        </w:rPr>
      </w:pPr>
    </w:p>
    <w:p w14:paraId="6A2A8AFF" w14:textId="77777777" w:rsidR="006E11D6" w:rsidRPr="00B76128" w:rsidRDefault="006E11D6" w:rsidP="006E11D6">
      <w:pPr>
        <w:rPr>
          <w:rFonts w:ascii="Times New Roman" w:hAnsi="Times New Roman" w:cs="Times New Roman"/>
        </w:rPr>
      </w:pPr>
    </w:p>
    <w:p w14:paraId="4C81EAE7" w14:textId="77777777" w:rsidR="006E11D6" w:rsidRPr="00B76128" w:rsidRDefault="006E11D6" w:rsidP="006E11D6">
      <w:pPr>
        <w:rPr>
          <w:rFonts w:ascii="Times New Roman" w:hAnsi="Times New Roman" w:cs="Times New Roman"/>
        </w:rPr>
      </w:pPr>
    </w:p>
    <w:p w14:paraId="19AF4F53" w14:textId="77777777" w:rsidR="006E11D6" w:rsidRPr="00B76128" w:rsidRDefault="006E11D6" w:rsidP="006E11D6">
      <w:pPr>
        <w:rPr>
          <w:rFonts w:ascii="Times New Roman" w:hAnsi="Times New Roman" w:cs="Times New Roman"/>
        </w:rPr>
      </w:pPr>
    </w:p>
    <w:p w14:paraId="366DFBCD" w14:textId="77777777" w:rsidR="006E11D6" w:rsidRPr="00B76128" w:rsidRDefault="006E11D6" w:rsidP="006E11D6">
      <w:pPr>
        <w:rPr>
          <w:rFonts w:ascii="Times New Roman" w:hAnsi="Times New Roman" w:cs="Times New Roman"/>
        </w:rPr>
      </w:pPr>
    </w:p>
    <w:p w14:paraId="2348027F" w14:textId="77777777" w:rsidR="006E11D6" w:rsidRPr="00B76128" w:rsidRDefault="006E11D6" w:rsidP="006E11D6">
      <w:pPr>
        <w:rPr>
          <w:rFonts w:ascii="Times New Roman" w:hAnsi="Times New Roman" w:cs="Times New Roman"/>
        </w:rPr>
      </w:pPr>
    </w:p>
    <w:p w14:paraId="0B955E7B" w14:textId="77777777" w:rsidR="006E11D6" w:rsidRPr="00B76128" w:rsidRDefault="006E11D6" w:rsidP="006E11D6">
      <w:pPr>
        <w:rPr>
          <w:rFonts w:ascii="Times New Roman" w:hAnsi="Times New Roman" w:cs="Times New Roman"/>
        </w:rPr>
      </w:pPr>
    </w:p>
    <w:p w14:paraId="13E4AC89" w14:textId="77777777" w:rsidR="006E11D6" w:rsidRPr="00B76128" w:rsidRDefault="006E11D6" w:rsidP="006E11D6">
      <w:pPr>
        <w:rPr>
          <w:rFonts w:ascii="Times New Roman" w:hAnsi="Times New Roman" w:cs="Times New Roman"/>
        </w:rPr>
      </w:pPr>
    </w:p>
    <w:p w14:paraId="2DD5D681" w14:textId="77777777" w:rsidR="006E11D6" w:rsidRPr="00B76128" w:rsidRDefault="006E11D6" w:rsidP="006E11D6">
      <w:pPr>
        <w:rPr>
          <w:rFonts w:ascii="Times New Roman" w:hAnsi="Times New Roman" w:cs="Times New Roman"/>
        </w:rPr>
      </w:pPr>
    </w:p>
    <w:p w14:paraId="3FF4A511" w14:textId="77777777" w:rsidR="006E11D6" w:rsidRPr="00B76128" w:rsidRDefault="006E11D6" w:rsidP="006E11D6">
      <w:pPr>
        <w:rPr>
          <w:rFonts w:ascii="Times New Roman" w:hAnsi="Times New Roman" w:cs="Times New Roman"/>
        </w:rPr>
      </w:pPr>
    </w:p>
    <w:p w14:paraId="282BCC13" w14:textId="77777777" w:rsidR="006E11D6" w:rsidRPr="00B76128" w:rsidRDefault="006E11D6" w:rsidP="006E11D6">
      <w:pPr>
        <w:rPr>
          <w:rFonts w:ascii="Times New Roman" w:hAnsi="Times New Roman" w:cs="Times New Roman"/>
        </w:rPr>
      </w:pPr>
    </w:p>
    <w:p w14:paraId="57E0A55A" w14:textId="77777777" w:rsidR="006E11D6" w:rsidRPr="00B76128" w:rsidRDefault="006E11D6" w:rsidP="006E11D6">
      <w:pPr>
        <w:rPr>
          <w:rFonts w:ascii="Times New Roman" w:hAnsi="Times New Roman" w:cs="Times New Roman"/>
        </w:rPr>
      </w:pPr>
    </w:p>
    <w:p w14:paraId="4FD46E03" w14:textId="77777777" w:rsidR="006E11D6" w:rsidRPr="00B76128" w:rsidRDefault="006E11D6" w:rsidP="006E11D6">
      <w:pPr>
        <w:rPr>
          <w:rFonts w:ascii="Times New Roman" w:hAnsi="Times New Roman" w:cs="Times New Roman"/>
        </w:rPr>
      </w:pPr>
    </w:p>
    <w:p w14:paraId="7CF17A45" w14:textId="77777777" w:rsidR="006E11D6" w:rsidRPr="00B76128" w:rsidRDefault="006E11D6" w:rsidP="006E11D6">
      <w:pPr>
        <w:rPr>
          <w:rFonts w:ascii="Times New Roman" w:hAnsi="Times New Roman" w:cs="Times New Roman"/>
        </w:rPr>
      </w:pPr>
    </w:p>
    <w:p w14:paraId="4CD973D6" w14:textId="77777777" w:rsidR="006E11D6" w:rsidRPr="00B76128" w:rsidRDefault="006E11D6" w:rsidP="006E11D6">
      <w:pPr>
        <w:rPr>
          <w:rFonts w:ascii="Times New Roman" w:hAnsi="Times New Roman" w:cs="Times New Roman"/>
        </w:rPr>
      </w:pPr>
    </w:p>
    <w:p w14:paraId="518BC039" w14:textId="77777777" w:rsidR="006E11D6" w:rsidRPr="00B76128" w:rsidRDefault="006E11D6" w:rsidP="006E11D6">
      <w:pPr>
        <w:rPr>
          <w:rFonts w:ascii="Times New Roman" w:hAnsi="Times New Roman" w:cs="Times New Roman"/>
        </w:rPr>
      </w:pPr>
    </w:p>
    <w:p w14:paraId="15D956C3" w14:textId="77777777" w:rsidR="006E11D6" w:rsidRPr="00B76128" w:rsidRDefault="006E11D6" w:rsidP="006E11D6">
      <w:pPr>
        <w:rPr>
          <w:rFonts w:ascii="Times New Roman" w:hAnsi="Times New Roman" w:cs="Times New Roman"/>
        </w:rPr>
      </w:pPr>
    </w:p>
    <w:p w14:paraId="7AEEC50C" w14:textId="77777777" w:rsidR="006E11D6" w:rsidRPr="00B76128" w:rsidRDefault="006E11D6" w:rsidP="006E11D6">
      <w:pPr>
        <w:rPr>
          <w:rFonts w:ascii="Times New Roman" w:hAnsi="Times New Roman" w:cs="Times New Roman"/>
        </w:rPr>
      </w:pPr>
    </w:p>
    <w:p w14:paraId="350A5F36" w14:textId="77777777" w:rsidR="006E11D6" w:rsidRPr="00B76128" w:rsidRDefault="006E11D6" w:rsidP="006E11D6">
      <w:pPr>
        <w:rPr>
          <w:rFonts w:ascii="Times New Roman" w:hAnsi="Times New Roman" w:cs="Times New Roman"/>
          <w:noProof/>
        </w:rPr>
      </w:pPr>
    </w:p>
    <w:p w14:paraId="4194D805" w14:textId="77777777" w:rsidR="006E11D6" w:rsidRPr="00B76128" w:rsidRDefault="006E11D6">
      <w:pPr>
        <w:rPr>
          <w:rFonts w:ascii="Times New Roman" w:hAnsi="Times New Roman" w:cs="Times New Roman"/>
        </w:rPr>
      </w:pPr>
    </w:p>
    <w:sectPr w:rsidR="006E11D6" w:rsidRPr="00B76128" w:rsidSect="00484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0000500000000020000"/>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1D6"/>
    <w:rsid w:val="00001773"/>
    <w:rsid w:val="00016019"/>
    <w:rsid w:val="00021FA2"/>
    <w:rsid w:val="000224DF"/>
    <w:rsid w:val="000266B7"/>
    <w:rsid w:val="00026A34"/>
    <w:rsid w:val="000360B7"/>
    <w:rsid w:val="00043536"/>
    <w:rsid w:val="00044B69"/>
    <w:rsid w:val="00045596"/>
    <w:rsid w:val="000515FE"/>
    <w:rsid w:val="00052334"/>
    <w:rsid w:val="00052A3E"/>
    <w:rsid w:val="000546CE"/>
    <w:rsid w:val="00054908"/>
    <w:rsid w:val="00062399"/>
    <w:rsid w:val="00071089"/>
    <w:rsid w:val="00071BC8"/>
    <w:rsid w:val="000720A6"/>
    <w:rsid w:val="0008213B"/>
    <w:rsid w:val="00082B7D"/>
    <w:rsid w:val="0008644B"/>
    <w:rsid w:val="0009178F"/>
    <w:rsid w:val="00094FB5"/>
    <w:rsid w:val="000A262E"/>
    <w:rsid w:val="000B1D67"/>
    <w:rsid w:val="000C6759"/>
    <w:rsid w:val="000C7495"/>
    <w:rsid w:val="000D01CD"/>
    <w:rsid w:val="000D3070"/>
    <w:rsid w:val="000D6BA2"/>
    <w:rsid w:val="000E2FBB"/>
    <w:rsid w:val="000E7B2C"/>
    <w:rsid w:val="000F56AA"/>
    <w:rsid w:val="001037F3"/>
    <w:rsid w:val="00104060"/>
    <w:rsid w:val="001115EC"/>
    <w:rsid w:val="00111A1B"/>
    <w:rsid w:val="00114F1B"/>
    <w:rsid w:val="00120E45"/>
    <w:rsid w:val="001241F0"/>
    <w:rsid w:val="001275C4"/>
    <w:rsid w:val="0014079E"/>
    <w:rsid w:val="00143A28"/>
    <w:rsid w:val="00150723"/>
    <w:rsid w:val="00152BBA"/>
    <w:rsid w:val="001572A3"/>
    <w:rsid w:val="00164B34"/>
    <w:rsid w:val="00166B2E"/>
    <w:rsid w:val="00170BFA"/>
    <w:rsid w:val="00172D39"/>
    <w:rsid w:val="00173875"/>
    <w:rsid w:val="00173BC8"/>
    <w:rsid w:val="00183451"/>
    <w:rsid w:val="001859B8"/>
    <w:rsid w:val="00196D8C"/>
    <w:rsid w:val="001A0836"/>
    <w:rsid w:val="001A1BFC"/>
    <w:rsid w:val="001A359A"/>
    <w:rsid w:val="001A612D"/>
    <w:rsid w:val="001B3779"/>
    <w:rsid w:val="001B3F86"/>
    <w:rsid w:val="001C01C6"/>
    <w:rsid w:val="001C0D63"/>
    <w:rsid w:val="001C309D"/>
    <w:rsid w:val="001C3CFC"/>
    <w:rsid w:val="001C4E03"/>
    <w:rsid w:val="001D557E"/>
    <w:rsid w:val="001E06B4"/>
    <w:rsid w:val="001E608A"/>
    <w:rsid w:val="001F0582"/>
    <w:rsid w:val="001F0ACE"/>
    <w:rsid w:val="001F3FD3"/>
    <w:rsid w:val="001F5146"/>
    <w:rsid w:val="001F6692"/>
    <w:rsid w:val="002036E0"/>
    <w:rsid w:val="00210249"/>
    <w:rsid w:val="002115D3"/>
    <w:rsid w:val="00215584"/>
    <w:rsid w:val="00217C20"/>
    <w:rsid w:val="002248B8"/>
    <w:rsid w:val="0023362F"/>
    <w:rsid w:val="002367AF"/>
    <w:rsid w:val="002442FB"/>
    <w:rsid w:val="0024552A"/>
    <w:rsid w:val="00250019"/>
    <w:rsid w:val="002724FF"/>
    <w:rsid w:val="0027395F"/>
    <w:rsid w:val="0027568F"/>
    <w:rsid w:val="00275F66"/>
    <w:rsid w:val="00276E02"/>
    <w:rsid w:val="00277EDB"/>
    <w:rsid w:val="00284103"/>
    <w:rsid w:val="00285B32"/>
    <w:rsid w:val="002864D4"/>
    <w:rsid w:val="00286594"/>
    <w:rsid w:val="00294021"/>
    <w:rsid w:val="0029497C"/>
    <w:rsid w:val="002A19BE"/>
    <w:rsid w:val="002A3628"/>
    <w:rsid w:val="002A76AD"/>
    <w:rsid w:val="002E0597"/>
    <w:rsid w:val="002E7271"/>
    <w:rsid w:val="002F631A"/>
    <w:rsid w:val="003061B0"/>
    <w:rsid w:val="0031026E"/>
    <w:rsid w:val="0031055F"/>
    <w:rsid w:val="00340EEF"/>
    <w:rsid w:val="00341FBB"/>
    <w:rsid w:val="00352608"/>
    <w:rsid w:val="00353770"/>
    <w:rsid w:val="00354496"/>
    <w:rsid w:val="00355292"/>
    <w:rsid w:val="00361C69"/>
    <w:rsid w:val="00364C62"/>
    <w:rsid w:val="00365A7F"/>
    <w:rsid w:val="00371A97"/>
    <w:rsid w:val="00372EBB"/>
    <w:rsid w:val="00377EBD"/>
    <w:rsid w:val="00380546"/>
    <w:rsid w:val="00383250"/>
    <w:rsid w:val="003844E3"/>
    <w:rsid w:val="003925BF"/>
    <w:rsid w:val="003A2BEC"/>
    <w:rsid w:val="003A4C02"/>
    <w:rsid w:val="003A6DE4"/>
    <w:rsid w:val="003B0494"/>
    <w:rsid w:val="003B24CC"/>
    <w:rsid w:val="003B6451"/>
    <w:rsid w:val="003C3EB0"/>
    <w:rsid w:val="003C587C"/>
    <w:rsid w:val="003C7305"/>
    <w:rsid w:val="003D47DA"/>
    <w:rsid w:val="003D75CE"/>
    <w:rsid w:val="003E0722"/>
    <w:rsid w:val="003E3E62"/>
    <w:rsid w:val="003E4C4D"/>
    <w:rsid w:val="003F580F"/>
    <w:rsid w:val="0040549F"/>
    <w:rsid w:val="00407A40"/>
    <w:rsid w:val="00432375"/>
    <w:rsid w:val="004409D7"/>
    <w:rsid w:val="00440F49"/>
    <w:rsid w:val="004476D9"/>
    <w:rsid w:val="00455922"/>
    <w:rsid w:val="00457F96"/>
    <w:rsid w:val="00464C1B"/>
    <w:rsid w:val="004656C1"/>
    <w:rsid w:val="00470455"/>
    <w:rsid w:val="00480EBB"/>
    <w:rsid w:val="00484A96"/>
    <w:rsid w:val="00484F5F"/>
    <w:rsid w:val="0048654C"/>
    <w:rsid w:val="00492783"/>
    <w:rsid w:val="004B0368"/>
    <w:rsid w:val="004B37D3"/>
    <w:rsid w:val="004C1E1D"/>
    <w:rsid w:val="004C6DC8"/>
    <w:rsid w:val="004D1268"/>
    <w:rsid w:val="004E0978"/>
    <w:rsid w:val="004E3899"/>
    <w:rsid w:val="004E689F"/>
    <w:rsid w:val="00502A9C"/>
    <w:rsid w:val="00512144"/>
    <w:rsid w:val="005168FE"/>
    <w:rsid w:val="00516C02"/>
    <w:rsid w:val="00516F30"/>
    <w:rsid w:val="00520F0E"/>
    <w:rsid w:val="005218D4"/>
    <w:rsid w:val="0055704A"/>
    <w:rsid w:val="0056247F"/>
    <w:rsid w:val="00564A30"/>
    <w:rsid w:val="005717AE"/>
    <w:rsid w:val="005747C2"/>
    <w:rsid w:val="00584E3B"/>
    <w:rsid w:val="0059647B"/>
    <w:rsid w:val="005A146D"/>
    <w:rsid w:val="005A2EA2"/>
    <w:rsid w:val="005A35AE"/>
    <w:rsid w:val="005A6BD9"/>
    <w:rsid w:val="005A6CA6"/>
    <w:rsid w:val="005B0079"/>
    <w:rsid w:val="005B396E"/>
    <w:rsid w:val="005B61E1"/>
    <w:rsid w:val="005B6DDC"/>
    <w:rsid w:val="005E2ABC"/>
    <w:rsid w:val="005E4776"/>
    <w:rsid w:val="005F1114"/>
    <w:rsid w:val="005F1479"/>
    <w:rsid w:val="005F5C52"/>
    <w:rsid w:val="005F6376"/>
    <w:rsid w:val="0060362C"/>
    <w:rsid w:val="00603E88"/>
    <w:rsid w:val="0062568A"/>
    <w:rsid w:val="00631CD7"/>
    <w:rsid w:val="006336EB"/>
    <w:rsid w:val="00640217"/>
    <w:rsid w:val="00644542"/>
    <w:rsid w:val="00645A17"/>
    <w:rsid w:val="006507C7"/>
    <w:rsid w:val="006625D0"/>
    <w:rsid w:val="00674A80"/>
    <w:rsid w:val="006750F1"/>
    <w:rsid w:val="0067647D"/>
    <w:rsid w:val="00685229"/>
    <w:rsid w:val="0069026F"/>
    <w:rsid w:val="00690FFB"/>
    <w:rsid w:val="00692438"/>
    <w:rsid w:val="00692CB4"/>
    <w:rsid w:val="00693745"/>
    <w:rsid w:val="006A32EC"/>
    <w:rsid w:val="006A3EB4"/>
    <w:rsid w:val="006B5176"/>
    <w:rsid w:val="006B73D2"/>
    <w:rsid w:val="006C6908"/>
    <w:rsid w:val="006C6ACE"/>
    <w:rsid w:val="006C6D4B"/>
    <w:rsid w:val="006D26C2"/>
    <w:rsid w:val="006D2EA8"/>
    <w:rsid w:val="006D769E"/>
    <w:rsid w:val="006E05E5"/>
    <w:rsid w:val="006E11D6"/>
    <w:rsid w:val="006F6821"/>
    <w:rsid w:val="00704457"/>
    <w:rsid w:val="00706548"/>
    <w:rsid w:val="00714579"/>
    <w:rsid w:val="00724959"/>
    <w:rsid w:val="00724AD6"/>
    <w:rsid w:val="00725C42"/>
    <w:rsid w:val="00744DC6"/>
    <w:rsid w:val="007508E1"/>
    <w:rsid w:val="00765E6A"/>
    <w:rsid w:val="007715C5"/>
    <w:rsid w:val="007724C8"/>
    <w:rsid w:val="00776366"/>
    <w:rsid w:val="00791194"/>
    <w:rsid w:val="007924A8"/>
    <w:rsid w:val="0079386B"/>
    <w:rsid w:val="007A5F10"/>
    <w:rsid w:val="007A6F16"/>
    <w:rsid w:val="007C2DFA"/>
    <w:rsid w:val="007D742C"/>
    <w:rsid w:val="007E0BB9"/>
    <w:rsid w:val="007E30B2"/>
    <w:rsid w:val="007F236B"/>
    <w:rsid w:val="007F6828"/>
    <w:rsid w:val="007F73BD"/>
    <w:rsid w:val="00803793"/>
    <w:rsid w:val="008156B7"/>
    <w:rsid w:val="00824AB6"/>
    <w:rsid w:val="008336A3"/>
    <w:rsid w:val="00835A71"/>
    <w:rsid w:val="008413FA"/>
    <w:rsid w:val="00841866"/>
    <w:rsid w:val="00842B2F"/>
    <w:rsid w:val="00844901"/>
    <w:rsid w:val="008478E6"/>
    <w:rsid w:val="00853790"/>
    <w:rsid w:val="008633E2"/>
    <w:rsid w:val="00864893"/>
    <w:rsid w:val="00864E7F"/>
    <w:rsid w:val="00870025"/>
    <w:rsid w:val="008765C5"/>
    <w:rsid w:val="00884DD1"/>
    <w:rsid w:val="0089676B"/>
    <w:rsid w:val="008A15EE"/>
    <w:rsid w:val="008A1803"/>
    <w:rsid w:val="008A3005"/>
    <w:rsid w:val="008A607D"/>
    <w:rsid w:val="008B3C27"/>
    <w:rsid w:val="008B7875"/>
    <w:rsid w:val="008C528B"/>
    <w:rsid w:val="008D3275"/>
    <w:rsid w:val="008D616A"/>
    <w:rsid w:val="008F0718"/>
    <w:rsid w:val="00902B09"/>
    <w:rsid w:val="0091721C"/>
    <w:rsid w:val="00921046"/>
    <w:rsid w:val="009265FD"/>
    <w:rsid w:val="00932B24"/>
    <w:rsid w:val="00941AFF"/>
    <w:rsid w:val="00945275"/>
    <w:rsid w:val="00946AA0"/>
    <w:rsid w:val="009549CF"/>
    <w:rsid w:val="00954D12"/>
    <w:rsid w:val="009563CC"/>
    <w:rsid w:val="009660CC"/>
    <w:rsid w:val="009700E3"/>
    <w:rsid w:val="009857A7"/>
    <w:rsid w:val="00987023"/>
    <w:rsid w:val="00993384"/>
    <w:rsid w:val="00994FF7"/>
    <w:rsid w:val="009A3EFC"/>
    <w:rsid w:val="009A49B3"/>
    <w:rsid w:val="009B0E77"/>
    <w:rsid w:val="009B774C"/>
    <w:rsid w:val="009D227B"/>
    <w:rsid w:val="009D59B8"/>
    <w:rsid w:val="009D6682"/>
    <w:rsid w:val="009D69E0"/>
    <w:rsid w:val="009E7B50"/>
    <w:rsid w:val="009F0880"/>
    <w:rsid w:val="009F420C"/>
    <w:rsid w:val="00A05C50"/>
    <w:rsid w:val="00A079F5"/>
    <w:rsid w:val="00A127C2"/>
    <w:rsid w:val="00A1686F"/>
    <w:rsid w:val="00A2469D"/>
    <w:rsid w:val="00A24A23"/>
    <w:rsid w:val="00A3205B"/>
    <w:rsid w:val="00A37CAB"/>
    <w:rsid w:val="00A40255"/>
    <w:rsid w:val="00A4596A"/>
    <w:rsid w:val="00A55200"/>
    <w:rsid w:val="00A63104"/>
    <w:rsid w:val="00A6668E"/>
    <w:rsid w:val="00A67CCD"/>
    <w:rsid w:val="00A67FDB"/>
    <w:rsid w:val="00A778A7"/>
    <w:rsid w:val="00A8148D"/>
    <w:rsid w:val="00A86DBB"/>
    <w:rsid w:val="00A90400"/>
    <w:rsid w:val="00A90978"/>
    <w:rsid w:val="00A94C05"/>
    <w:rsid w:val="00AA57D4"/>
    <w:rsid w:val="00AA7E95"/>
    <w:rsid w:val="00AB109B"/>
    <w:rsid w:val="00AC0424"/>
    <w:rsid w:val="00AC77FB"/>
    <w:rsid w:val="00AD2C2F"/>
    <w:rsid w:val="00AF16C7"/>
    <w:rsid w:val="00AF49DE"/>
    <w:rsid w:val="00B03CDB"/>
    <w:rsid w:val="00B05FA9"/>
    <w:rsid w:val="00B2315F"/>
    <w:rsid w:val="00B343D7"/>
    <w:rsid w:val="00B360B9"/>
    <w:rsid w:val="00B47CE0"/>
    <w:rsid w:val="00B62810"/>
    <w:rsid w:val="00B65DF6"/>
    <w:rsid w:val="00B66E69"/>
    <w:rsid w:val="00B76128"/>
    <w:rsid w:val="00B848BE"/>
    <w:rsid w:val="00B868F7"/>
    <w:rsid w:val="00B931BB"/>
    <w:rsid w:val="00B9345C"/>
    <w:rsid w:val="00B9662D"/>
    <w:rsid w:val="00BB32E4"/>
    <w:rsid w:val="00BB4D71"/>
    <w:rsid w:val="00BB79CC"/>
    <w:rsid w:val="00BC5C96"/>
    <w:rsid w:val="00BD38E6"/>
    <w:rsid w:val="00BD4C96"/>
    <w:rsid w:val="00BE33F0"/>
    <w:rsid w:val="00BE4E68"/>
    <w:rsid w:val="00BE55F6"/>
    <w:rsid w:val="00C052B5"/>
    <w:rsid w:val="00C0565E"/>
    <w:rsid w:val="00C102CC"/>
    <w:rsid w:val="00C1479C"/>
    <w:rsid w:val="00C1556B"/>
    <w:rsid w:val="00C15890"/>
    <w:rsid w:val="00C23938"/>
    <w:rsid w:val="00C26589"/>
    <w:rsid w:val="00C310CE"/>
    <w:rsid w:val="00C339E5"/>
    <w:rsid w:val="00C444A4"/>
    <w:rsid w:val="00C45C9E"/>
    <w:rsid w:val="00C56169"/>
    <w:rsid w:val="00C62D95"/>
    <w:rsid w:val="00C71225"/>
    <w:rsid w:val="00C74FAF"/>
    <w:rsid w:val="00C77BA8"/>
    <w:rsid w:val="00C8074C"/>
    <w:rsid w:val="00C83AA2"/>
    <w:rsid w:val="00C902DF"/>
    <w:rsid w:val="00CA0F8F"/>
    <w:rsid w:val="00CA4644"/>
    <w:rsid w:val="00CA6971"/>
    <w:rsid w:val="00CB33AC"/>
    <w:rsid w:val="00CB5EA2"/>
    <w:rsid w:val="00CC3DC9"/>
    <w:rsid w:val="00CD069A"/>
    <w:rsid w:val="00CD0F35"/>
    <w:rsid w:val="00CD0FDE"/>
    <w:rsid w:val="00CD4C5E"/>
    <w:rsid w:val="00CE6BFF"/>
    <w:rsid w:val="00CF0558"/>
    <w:rsid w:val="00CF66D3"/>
    <w:rsid w:val="00CF6BC7"/>
    <w:rsid w:val="00D03B5F"/>
    <w:rsid w:val="00D065EB"/>
    <w:rsid w:val="00D14666"/>
    <w:rsid w:val="00D22BB9"/>
    <w:rsid w:val="00D22EFE"/>
    <w:rsid w:val="00D3518C"/>
    <w:rsid w:val="00D3634B"/>
    <w:rsid w:val="00D40116"/>
    <w:rsid w:val="00D4358C"/>
    <w:rsid w:val="00D43EDA"/>
    <w:rsid w:val="00D43F6E"/>
    <w:rsid w:val="00D460E2"/>
    <w:rsid w:val="00D46129"/>
    <w:rsid w:val="00D73437"/>
    <w:rsid w:val="00D83F92"/>
    <w:rsid w:val="00D85642"/>
    <w:rsid w:val="00D92886"/>
    <w:rsid w:val="00DB2DEE"/>
    <w:rsid w:val="00DB56D5"/>
    <w:rsid w:val="00DB7EE1"/>
    <w:rsid w:val="00DC3180"/>
    <w:rsid w:val="00DC5F5D"/>
    <w:rsid w:val="00DC737B"/>
    <w:rsid w:val="00DD48D8"/>
    <w:rsid w:val="00DE49C7"/>
    <w:rsid w:val="00DE6B03"/>
    <w:rsid w:val="00DF3C68"/>
    <w:rsid w:val="00E10079"/>
    <w:rsid w:val="00E1582D"/>
    <w:rsid w:val="00E27F01"/>
    <w:rsid w:val="00E558EA"/>
    <w:rsid w:val="00E73482"/>
    <w:rsid w:val="00E75AAE"/>
    <w:rsid w:val="00E76A83"/>
    <w:rsid w:val="00E908B6"/>
    <w:rsid w:val="00E9099D"/>
    <w:rsid w:val="00E91222"/>
    <w:rsid w:val="00E91D4D"/>
    <w:rsid w:val="00E97D11"/>
    <w:rsid w:val="00EA4DAC"/>
    <w:rsid w:val="00EA5FAA"/>
    <w:rsid w:val="00EB0415"/>
    <w:rsid w:val="00EB17DC"/>
    <w:rsid w:val="00EC6C6F"/>
    <w:rsid w:val="00EF1240"/>
    <w:rsid w:val="00EF70E3"/>
    <w:rsid w:val="00F022DF"/>
    <w:rsid w:val="00F32B50"/>
    <w:rsid w:val="00F44C37"/>
    <w:rsid w:val="00F44FC7"/>
    <w:rsid w:val="00F45BF0"/>
    <w:rsid w:val="00F46BCC"/>
    <w:rsid w:val="00F500C5"/>
    <w:rsid w:val="00F52A02"/>
    <w:rsid w:val="00F52E26"/>
    <w:rsid w:val="00F534A2"/>
    <w:rsid w:val="00F544E9"/>
    <w:rsid w:val="00F55173"/>
    <w:rsid w:val="00F5732D"/>
    <w:rsid w:val="00F63046"/>
    <w:rsid w:val="00F7083E"/>
    <w:rsid w:val="00F76947"/>
    <w:rsid w:val="00F80E44"/>
    <w:rsid w:val="00F91BE3"/>
    <w:rsid w:val="00F92627"/>
    <w:rsid w:val="00F93C55"/>
    <w:rsid w:val="00F95EAD"/>
    <w:rsid w:val="00F96489"/>
    <w:rsid w:val="00FA1984"/>
    <w:rsid w:val="00FA57B6"/>
    <w:rsid w:val="00FA693F"/>
    <w:rsid w:val="00FB1C8D"/>
    <w:rsid w:val="00FC07BC"/>
    <w:rsid w:val="00FC0E35"/>
    <w:rsid w:val="00FD612B"/>
    <w:rsid w:val="00FD751F"/>
    <w:rsid w:val="00FE1EE4"/>
    <w:rsid w:val="00FF3678"/>
    <w:rsid w:val="00FF4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3A77AF"/>
  <w15:chartTrackingRefBased/>
  <w15:docId w15:val="{4FFBB34A-75AD-954C-958C-A9B7FD82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1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1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1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1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1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2A9C"/>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E11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1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1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1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1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1D6"/>
    <w:rPr>
      <w:rFonts w:eastAsiaTheme="majorEastAsia" w:cstheme="majorBidi"/>
      <w:color w:val="272727" w:themeColor="text1" w:themeTint="D8"/>
    </w:rPr>
  </w:style>
  <w:style w:type="paragraph" w:styleId="Title">
    <w:name w:val="Title"/>
    <w:basedOn w:val="Normal"/>
    <w:next w:val="Normal"/>
    <w:link w:val="TitleChar"/>
    <w:uiPriority w:val="10"/>
    <w:qFormat/>
    <w:rsid w:val="006E11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1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1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11D6"/>
    <w:rPr>
      <w:i/>
      <w:iCs/>
      <w:color w:val="404040" w:themeColor="text1" w:themeTint="BF"/>
    </w:rPr>
  </w:style>
  <w:style w:type="paragraph" w:styleId="ListParagraph">
    <w:name w:val="List Paragraph"/>
    <w:basedOn w:val="Normal"/>
    <w:uiPriority w:val="34"/>
    <w:qFormat/>
    <w:rsid w:val="006E11D6"/>
    <w:pPr>
      <w:ind w:left="720"/>
      <w:contextualSpacing/>
    </w:pPr>
  </w:style>
  <w:style w:type="character" w:styleId="IntenseEmphasis">
    <w:name w:val="Intense Emphasis"/>
    <w:basedOn w:val="DefaultParagraphFont"/>
    <w:uiPriority w:val="21"/>
    <w:qFormat/>
    <w:rsid w:val="006E11D6"/>
    <w:rPr>
      <w:i/>
      <w:iCs/>
      <w:color w:val="0F4761" w:themeColor="accent1" w:themeShade="BF"/>
    </w:rPr>
  </w:style>
  <w:style w:type="paragraph" w:styleId="IntenseQuote">
    <w:name w:val="Intense Quote"/>
    <w:basedOn w:val="Normal"/>
    <w:next w:val="Normal"/>
    <w:link w:val="IntenseQuoteChar"/>
    <w:uiPriority w:val="30"/>
    <w:qFormat/>
    <w:rsid w:val="006E1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1D6"/>
    <w:rPr>
      <w:i/>
      <w:iCs/>
      <w:color w:val="0F4761" w:themeColor="accent1" w:themeShade="BF"/>
    </w:rPr>
  </w:style>
  <w:style w:type="character" w:styleId="IntenseReference">
    <w:name w:val="Intense Reference"/>
    <w:basedOn w:val="DefaultParagraphFont"/>
    <w:uiPriority w:val="32"/>
    <w:qFormat/>
    <w:rsid w:val="006E11D6"/>
    <w:rPr>
      <w:b/>
      <w:bCs/>
      <w:smallCaps/>
      <w:color w:val="0F4761" w:themeColor="accent1" w:themeShade="BF"/>
      <w:spacing w:val="5"/>
    </w:rPr>
  </w:style>
  <w:style w:type="character" w:styleId="CommentReference">
    <w:name w:val="annotation reference"/>
    <w:basedOn w:val="DefaultParagraphFont"/>
    <w:uiPriority w:val="99"/>
    <w:semiHidden/>
    <w:unhideWhenUsed/>
    <w:rsid w:val="006E11D6"/>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7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9</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Alos B. Diallo</dc:creator>
  <cp:keywords/>
  <dc:description/>
  <cp:lastModifiedBy>Alos B. Diallo</cp:lastModifiedBy>
  <cp:revision>11</cp:revision>
  <dcterms:created xsi:type="dcterms:W3CDTF">2026-02-20T19:22:00Z</dcterms:created>
  <dcterms:modified xsi:type="dcterms:W3CDTF">2026-04-29T16:58:00Z</dcterms:modified>
</cp:coreProperties>
</file>