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D1F" w:rsidRDefault="00405A75" w:rsidP="004F4D1F">
      <w:pPr>
        <w:pStyle w:val="NormalWeb"/>
        <w:spacing w:before="0" w:beforeAutospacing="0" w:after="0" w:afterAutospacing="0"/>
        <w:jc w:val="both"/>
        <w:rPr>
          <w:color w:val="0E101A"/>
        </w:rPr>
      </w:pPr>
      <w:r w:rsidRPr="0051085D">
        <w:rPr>
          <w:color w:val="0E101A"/>
        </w:rPr>
        <w:t>Figure 1: Unacceptable number of bacteriological and mycological contaminants of fruits and vegetable samples (IC</w:t>
      </w:r>
      <w:r w:rsidR="004F4D1F">
        <w:rPr>
          <w:color w:val="0E101A"/>
        </w:rPr>
        <w:t>MSF reference protocol was used</w:t>
      </w:r>
      <w:r>
        <w:rPr>
          <w:color w:val="0E101A"/>
        </w:rPr>
        <w:t>)</w:t>
      </w:r>
      <w:r w:rsidR="004F4D1F" w:rsidRPr="004F4D1F">
        <w:rPr>
          <w:color w:val="0E101A"/>
        </w:rPr>
        <w:t xml:space="preserve"> </w:t>
      </w:r>
      <w:r w:rsidR="004F4D1F">
        <w:rPr>
          <w:color w:val="0E101A"/>
        </w:rPr>
        <w:t>(color print)</w:t>
      </w:r>
    </w:p>
    <w:p w:rsidR="00405A75" w:rsidRDefault="00405A75" w:rsidP="00405A75">
      <w:pPr>
        <w:pStyle w:val="NormalWeb"/>
        <w:spacing w:before="0" w:beforeAutospacing="0" w:after="0" w:afterAutospacing="0"/>
        <w:jc w:val="both"/>
        <w:rPr>
          <w:color w:val="0E101A"/>
        </w:rPr>
      </w:pPr>
    </w:p>
    <w:p w:rsidR="00405A75" w:rsidRDefault="00405A75" w:rsidP="00405A75">
      <w:pPr>
        <w:pStyle w:val="NormalWeb"/>
        <w:spacing w:before="0" w:beforeAutospacing="0" w:after="0" w:afterAutospacing="0"/>
        <w:jc w:val="both"/>
        <w:rPr>
          <w:color w:val="0E101A"/>
        </w:rPr>
      </w:pPr>
    </w:p>
    <w:p w:rsidR="007C4653" w:rsidRDefault="00405A75">
      <w:r>
        <w:rPr>
          <w:noProof/>
        </w:rPr>
        <w:drawing>
          <wp:inline distT="0" distB="0" distL="0" distR="0" wp14:anchorId="2E0CD5BD" wp14:editId="3D708A81">
            <wp:extent cx="5943600" cy="3420110"/>
            <wp:effectExtent l="0" t="0" r="19050" b="2794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</w:p>
    <w:p w:rsidR="007C4653" w:rsidRPr="007C4653" w:rsidRDefault="007C4653" w:rsidP="007C4653"/>
    <w:p w:rsidR="007C4653" w:rsidRDefault="007C4653" w:rsidP="007C4653"/>
    <w:p w:rsidR="003B723C" w:rsidRDefault="007C4653" w:rsidP="007C4653">
      <w:pPr>
        <w:tabs>
          <w:tab w:val="left" w:pos="2658"/>
        </w:tabs>
      </w:pPr>
      <w:r>
        <w:tab/>
      </w: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tabs>
          <w:tab w:val="left" w:pos="2658"/>
        </w:tabs>
      </w:pPr>
    </w:p>
    <w:p w:rsidR="007C4653" w:rsidRDefault="007C4653" w:rsidP="007C4653">
      <w:pPr>
        <w:pStyle w:val="NormalWeb"/>
        <w:spacing w:before="0" w:beforeAutospacing="0" w:after="0" w:afterAutospacing="0"/>
        <w:jc w:val="both"/>
        <w:rPr>
          <w:color w:val="0E101A"/>
        </w:rPr>
      </w:pPr>
      <w:r w:rsidRPr="0051085D">
        <w:rPr>
          <w:color w:val="0E101A"/>
        </w:rPr>
        <w:t xml:space="preserve">Figure 2: Trends of Veg &amp; Fruit samples submitted in comparison with other food samples per ten </w:t>
      </w:r>
      <w:proofErr w:type="gramStart"/>
      <w:r w:rsidRPr="0051085D">
        <w:rPr>
          <w:color w:val="0E101A"/>
        </w:rPr>
        <w:t>years</w:t>
      </w:r>
      <w:r w:rsidR="004F4D1F">
        <w:rPr>
          <w:color w:val="0E101A"/>
        </w:rPr>
        <w:t xml:space="preserve">  (</w:t>
      </w:r>
      <w:proofErr w:type="gramEnd"/>
      <w:r w:rsidR="004F4D1F">
        <w:rPr>
          <w:color w:val="0E101A"/>
        </w:rPr>
        <w:t>color print)</w:t>
      </w:r>
    </w:p>
    <w:p w:rsidR="007C4653" w:rsidRDefault="007C4653" w:rsidP="007C4653">
      <w:pPr>
        <w:tabs>
          <w:tab w:val="left" w:pos="2658"/>
        </w:tabs>
      </w:pPr>
    </w:p>
    <w:p w:rsidR="007C4653" w:rsidRPr="007C4653" w:rsidRDefault="007C4653" w:rsidP="007C4653">
      <w:pPr>
        <w:tabs>
          <w:tab w:val="left" w:pos="2658"/>
        </w:tabs>
      </w:pPr>
      <w:r w:rsidRPr="009370C7">
        <w:rPr>
          <w:noProof/>
        </w:rPr>
        <w:drawing>
          <wp:inline distT="0" distB="0" distL="0" distR="0" wp14:anchorId="5E60E339" wp14:editId="45F9E0CA">
            <wp:extent cx="5943600" cy="3787140"/>
            <wp:effectExtent l="0" t="0" r="19050" b="22860"/>
            <wp:docPr id="2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 w:rsidR="007C4653" w:rsidRPr="007C46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A75"/>
    <w:rsid w:val="00307966"/>
    <w:rsid w:val="003C74F3"/>
    <w:rsid w:val="00405A75"/>
    <w:rsid w:val="004F4D1F"/>
    <w:rsid w:val="007C4653"/>
    <w:rsid w:val="00AD5E17"/>
    <w:rsid w:val="00E0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05A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5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A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05A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5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A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1.bin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sz="1200"/>
              <a:t>Microbial counts of vegetables and fruits samples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&lt;1x101</c:v>
                </c:pt>
              </c:strCache>
            </c:strRef>
          </c:tx>
          <c:invertIfNegative val="0"/>
          <c:cat>
            <c:strRef>
              <c:f>Sheet1!$A$2:$A$20</c:f>
              <c:strCache>
                <c:ptCount val="19"/>
                <c:pt idx="0">
                  <c:v>Mold</c:v>
                </c:pt>
                <c:pt idx="2">
                  <c:v>yeast</c:v>
                </c:pt>
                <c:pt idx="4">
                  <c:v>APC</c:v>
                </c:pt>
                <c:pt idx="7">
                  <c:v>Total colif</c:v>
                </c:pt>
                <c:pt idx="10">
                  <c:v>Fecal </c:v>
                </c:pt>
                <c:pt idx="11">
                  <c:v>Colif</c:v>
                </c:pt>
                <c:pt idx="13">
                  <c:v>E.coli</c:v>
                </c:pt>
                <c:pt idx="16">
                  <c:v>Staphyl</c:v>
                </c:pt>
                <c:pt idx="17">
                  <c:v>Spp.</c:v>
                </c:pt>
                <c:pt idx="18">
                  <c:v>S.aureus</c:v>
                </c:pt>
              </c:strCache>
            </c:strRef>
          </c:cat>
          <c:val>
            <c:numRef>
              <c:f>Sheet1!$B$2:$B$20</c:f>
              <c:numCache>
                <c:formatCode>General</c:formatCode>
                <c:ptCount val="19"/>
                <c:pt idx="0">
                  <c:v>143</c:v>
                </c:pt>
                <c:pt idx="2">
                  <c:v>160</c:v>
                </c:pt>
                <c:pt idx="4">
                  <c:v>52</c:v>
                </c:pt>
                <c:pt idx="7">
                  <c:v>126</c:v>
                </c:pt>
                <c:pt idx="10">
                  <c:v>165</c:v>
                </c:pt>
                <c:pt idx="13">
                  <c:v>186</c:v>
                </c:pt>
                <c:pt idx="16">
                  <c:v>191</c:v>
                </c:pt>
                <c:pt idx="18">
                  <c:v>193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&lt;102</c:v>
                </c:pt>
              </c:strCache>
            </c:strRef>
          </c:tx>
          <c:invertIfNegative val="0"/>
          <c:cat>
            <c:strRef>
              <c:f>Sheet1!$A$2:$A$20</c:f>
              <c:strCache>
                <c:ptCount val="19"/>
                <c:pt idx="0">
                  <c:v>Mold</c:v>
                </c:pt>
                <c:pt idx="2">
                  <c:v>yeast</c:v>
                </c:pt>
                <c:pt idx="4">
                  <c:v>APC</c:v>
                </c:pt>
                <c:pt idx="7">
                  <c:v>Total colif</c:v>
                </c:pt>
                <c:pt idx="10">
                  <c:v>Fecal </c:v>
                </c:pt>
                <c:pt idx="11">
                  <c:v>Colif</c:v>
                </c:pt>
                <c:pt idx="13">
                  <c:v>E.coli</c:v>
                </c:pt>
                <c:pt idx="16">
                  <c:v>Staphyl</c:v>
                </c:pt>
                <c:pt idx="17">
                  <c:v>Spp.</c:v>
                </c:pt>
                <c:pt idx="18">
                  <c:v>S.aureus</c:v>
                </c:pt>
              </c:strCache>
            </c:strRef>
          </c:cat>
          <c:val>
            <c:numRef>
              <c:f>Sheet1!$C$2:$C$20</c:f>
              <c:numCache>
                <c:formatCode>General</c:formatCode>
                <c:ptCount val="19"/>
                <c:pt idx="0">
                  <c:v>20</c:v>
                </c:pt>
                <c:pt idx="2">
                  <c:v>10</c:v>
                </c:pt>
                <c:pt idx="4">
                  <c:v>7</c:v>
                </c:pt>
                <c:pt idx="7">
                  <c:v>15</c:v>
                </c:pt>
                <c:pt idx="10">
                  <c:v>9</c:v>
                </c:pt>
                <c:pt idx="13">
                  <c:v>3</c:v>
                </c:pt>
                <c:pt idx="16">
                  <c:v>0</c:v>
                </c:pt>
                <c:pt idx="18">
                  <c:v>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102-104</c:v>
                </c:pt>
              </c:strCache>
            </c:strRef>
          </c:tx>
          <c:invertIfNegative val="0"/>
          <c:cat>
            <c:strRef>
              <c:f>Sheet1!$A$2:$A$20</c:f>
              <c:strCache>
                <c:ptCount val="19"/>
                <c:pt idx="0">
                  <c:v>Mold</c:v>
                </c:pt>
                <c:pt idx="2">
                  <c:v>yeast</c:v>
                </c:pt>
                <c:pt idx="4">
                  <c:v>APC</c:v>
                </c:pt>
                <c:pt idx="7">
                  <c:v>Total colif</c:v>
                </c:pt>
                <c:pt idx="10">
                  <c:v>Fecal </c:v>
                </c:pt>
                <c:pt idx="11">
                  <c:v>Colif</c:v>
                </c:pt>
                <c:pt idx="13">
                  <c:v>E.coli</c:v>
                </c:pt>
                <c:pt idx="16">
                  <c:v>Staphyl</c:v>
                </c:pt>
                <c:pt idx="17">
                  <c:v>Spp.</c:v>
                </c:pt>
                <c:pt idx="18">
                  <c:v>S.aureus</c:v>
                </c:pt>
              </c:strCache>
            </c:strRef>
          </c:cat>
          <c:val>
            <c:numRef>
              <c:f>Sheet1!$D$2:$D$20</c:f>
              <c:numCache>
                <c:formatCode>General</c:formatCode>
                <c:ptCount val="19"/>
                <c:pt idx="0">
                  <c:v>29</c:v>
                </c:pt>
                <c:pt idx="2">
                  <c:v>22</c:v>
                </c:pt>
                <c:pt idx="4">
                  <c:v>71</c:v>
                </c:pt>
                <c:pt idx="7">
                  <c:v>39</c:v>
                </c:pt>
                <c:pt idx="10">
                  <c:v>16</c:v>
                </c:pt>
                <c:pt idx="13">
                  <c:v>5</c:v>
                </c:pt>
                <c:pt idx="16">
                  <c:v>4</c:v>
                </c:pt>
                <c:pt idx="18">
                  <c:v>1</c:v>
                </c:pt>
              </c:numCache>
            </c:numRef>
          </c:val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104-105</c:v>
                </c:pt>
              </c:strCache>
            </c:strRef>
          </c:tx>
          <c:invertIfNegative val="0"/>
          <c:cat>
            <c:strRef>
              <c:f>Sheet1!$A$2:$A$20</c:f>
              <c:strCache>
                <c:ptCount val="19"/>
                <c:pt idx="0">
                  <c:v>Mold</c:v>
                </c:pt>
                <c:pt idx="2">
                  <c:v>yeast</c:v>
                </c:pt>
                <c:pt idx="4">
                  <c:v>APC</c:v>
                </c:pt>
                <c:pt idx="7">
                  <c:v>Total colif</c:v>
                </c:pt>
                <c:pt idx="10">
                  <c:v>Fecal </c:v>
                </c:pt>
                <c:pt idx="11">
                  <c:v>Colif</c:v>
                </c:pt>
                <c:pt idx="13">
                  <c:v>E.coli</c:v>
                </c:pt>
                <c:pt idx="16">
                  <c:v>Staphyl</c:v>
                </c:pt>
                <c:pt idx="17">
                  <c:v>Spp.</c:v>
                </c:pt>
                <c:pt idx="18">
                  <c:v>S.aureus</c:v>
                </c:pt>
              </c:strCache>
            </c:strRef>
          </c:cat>
          <c:val>
            <c:numRef>
              <c:f>Sheet1!$E$2:$E$20</c:f>
              <c:numCache>
                <c:formatCode>General</c:formatCode>
                <c:ptCount val="19"/>
                <c:pt idx="0">
                  <c:v>2</c:v>
                </c:pt>
                <c:pt idx="2">
                  <c:v>0</c:v>
                </c:pt>
                <c:pt idx="4">
                  <c:v>36</c:v>
                </c:pt>
                <c:pt idx="7">
                  <c:v>12</c:v>
                </c:pt>
                <c:pt idx="10">
                  <c:v>3</c:v>
                </c:pt>
                <c:pt idx="13">
                  <c:v>0</c:v>
                </c:pt>
                <c:pt idx="16">
                  <c:v>0</c:v>
                </c:pt>
                <c:pt idx="18">
                  <c:v>0</c:v>
                </c:pt>
              </c:numCache>
            </c:numRef>
          </c:val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105-107</c:v>
                </c:pt>
              </c:strCache>
            </c:strRef>
          </c:tx>
          <c:invertIfNegative val="0"/>
          <c:cat>
            <c:strRef>
              <c:f>Sheet1!$A$2:$A$20</c:f>
              <c:strCache>
                <c:ptCount val="19"/>
                <c:pt idx="0">
                  <c:v>Mold</c:v>
                </c:pt>
                <c:pt idx="2">
                  <c:v>yeast</c:v>
                </c:pt>
                <c:pt idx="4">
                  <c:v>APC</c:v>
                </c:pt>
                <c:pt idx="7">
                  <c:v>Total colif</c:v>
                </c:pt>
                <c:pt idx="10">
                  <c:v>Fecal </c:v>
                </c:pt>
                <c:pt idx="11">
                  <c:v>Colif</c:v>
                </c:pt>
                <c:pt idx="13">
                  <c:v>E.coli</c:v>
                </c:pt>
                <c:pt idx="16">
                  <c:v>Staphyl</c:v>
                </c:pt>
                <c:pt idx="17">
                  <c:v>Spp.</c:v>
                </c:pt>
                <c:pt idx="18">
                  <c:v>S.aureus</c:v>
                </c:pt>
              </c:strCache>
            </c:strRef>
          </c:cat>
          <c:val>
            <c:numRef>
              <c:f>Sheet1!$F$2:$F$20</c:f>
              <c:numCache>
                <c:formatCode>General</c:formatCode>
                <c:ptCount val="19"/>
                <c:pt idx="0">
                  <c:v>0</c:v>
                </c:pt>
                <c:pt idx="2">
                  <c:v>0</c:v>
                </c:pt>
                <c:pt idx="4">
                  <c:v>18</c:v>
                </c:pt>
                <c:pt idx="7">
                  <c:v>1</c:v>
                </c:pt>
                <c:pt idx="10">
                  <c:v>0</c:v>
                </c:pt>
                <c:pt idx="13">
                  <c:v>0</c:v>
                </c:pt>
                <c:pt idx="16">
                  <c:v>0</c:v>
                </c:pt>
                <c:pt idx="18">
                  <c:v>0</c:v>
                </c:pt>
              </c:numCache>
            </c:numRef>
          </c:val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TMC 107</c:v>
                </c:pt>
              </c:strCache>
            </c:strRef>
          </c:tx>
          <c:invertIfNegative val="0"/>
          <c:cat>
            <c:strRef>
              <c:f>Sheet1!$A$2:$A$20</c:f>
              <c:strCache>
                <c:ptCount val="19"/>
                <c:pt idx="0">
                  <c:v>Mold</c:v>
                </c:pt>
                <c:pt idx="2">
                  <c:v>yeast</c:v>
                </c:pt>
                <c:pt idx="4">
                  <c:v>APC</c:v>
                </c:pt>
                <c:pt idx="7">
                  <c:v>Total colif</c:v>
                </c:pt>
                <c:pt idx="10">
                  <c:v>Fecal </c:v>
                </c:pt>
                <c:pt idx="11">
                  <c:v>Colif</c:v>
                </c:pt>
                <c:pt idx="13">
                  <c:v>E.coli</c:v>
                </c:pt>
                <c:pt idx="16">
                  <c:v>Staphyl</c:v>
                </c:pt>
                <c:pt idx="17">
                  <c:v>Spp.</c:v>
                </c:pt>
                <c:pt idx="18">
                  <c:v>S.aureus</c:v>
                </c:pt>
              </c:strCache>
            </c:strRef>
          </c:cat>
          <c:val>
            <c:numRef>
              <c:f>Sheet1!$G$2:$G$20</c:f>
              <c:numCache>
                <c:formatCode>General</c:formatCode>
                <c:ptCount val="19"/>
                <c:pt idx="0">
                  <c:v>1</c:v>
                </c:pt>
                <c:pt idx="2">
                  <c:v>3</c:v>
                </c:pt>
                <c:pt idx="4">
                  <c:v>11</c:v>
                </c:pt>
                <c:pt idx="7">
                  <c:v>2</c:v>
                </c:pt>
                <c:pt idx="10">
                  <c:v>2</c:v>
                </c:pt>
                <c:pt idx="13">
                  <c:v>1</c:v>
                </c:pt>
                <c:pt idx="16">
                  <c:v>0</c:v>
                </c:pt>
                <c:pt idx="18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5"/>
        <c:gapDepth val="55"/>
        <c:shape val="cylinder"/>
        <c:axId val="261967872"/>
        <c:axId val="261969792"/>
        <c:axId val="0"/>
      </c:bar3DChart>
      <c:catAx>
        <c:axId val="26196787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sz="1000">
                    <a:latin typeface="Times New Roman" pitchFamily="18" charset="0"/>
                    <a:cs typeface="Times New Roman" pitchFamily="18" charset="0"/>
                  </a:rPr>
                  <a:t>Types</a:t>
                </a:r>
                <a:r>
                  <a:rPr lang="en-US" sz="1200" baseline="0">
                    <a:latin typeface="Times New Roman" pitchFamily="18" charset="0"/>
                    <a:cs typeface="Times New Roman" pitchFamily="18" charset="0"/>
                  </a:rPr>
                  <a:t> </a:t>
                </a:r>
                <a:r>
                  <a:rPr lang="en-US" sz="1000" baseline="0">
                    <a:latin typeface="Times New Roman" pitchFamily="18" charset="0"/>
                    <a:cs typeface="Times New Roman" pitchFamily="18" charset="0"/>
                  </a:rPr>
                  <a:t>of organisms isolated</a:t>
                </a:r>
                <a:endParaRPr lang="en-US" sz="100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3.4212997468095578E-2"/>
              <c:y val="0.17184301089731033"/>
            </c:manualLayout>
          </c:layout>
          <c:overlay val="0"/>
        </c:title>
        <c:majorTickMark val="none"/>
        <c:minorTickMark val="none"/>
        <c:tickLblPos val="nextTo"/>
        <c:txPr>
          <a:bodyPr/>
          <a:lstStyle/>
          <a:p>
            <a:pPr>
              <a:defRPr sz="800" b="1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261969792"/>
        <c:crosses val="autoZero"/>
        <c:auto val="1"/>
        <c:lblAlgn val="ctr"/>
        <c:lblOffset val="100"/>
        <c:noMultiLvlLbl val="0"/>
      </c:catAx>
      <c:valAx>
        <c:axId val="261969792"/>
        <c:scaling>
          <c:orientation val="minMax"/>
        </c:scaling>
        <c:delete val="0"/>
        <c:axPos val="b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>
                    <a:latin typeface="Times New Roman" pitchFamily="18" charset="0"/>
                    <a:cs typeface="Times New Roman" pitchFamily="18" charset="0"/>
                  </a:rPr>
                  <a:t>Microbial counts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261967872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sz="1200" b="1" i="0" u="none" strike="noStrike" baseline="0"/>
              <a:t>Trends of Veg &amp; Fruit samples submitted from all food samples</a:t>
            </a:r>
          </a:p>
          <a:p>
            <a:pPr>
              <a:defRPr/>
            </a:pPr>
            <a:r>
              <a:rPr lang="en-US" sz="1200" b="1" i="0" u="none" strike="noStrike" baseline="0"/>
              <a:t> per ten years</a:t>
            </a:r>
            <a:endParaRPr lang="en-US" sz="1200"/>
          </a:p>
        </c:rich>
      </c:tx>
      <c:overlay val="0"/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Sheet7!$B$1</c:f>
              <c:strCache>
                <c:ptCount val="1"/>
                <c:pt idx="0">
                  <c:v>veg&amp; fruit samples</c:v>
                </c:pt>
              </c:strCache>
            </c:strRef>
          </c:tx>
          <c:trendline>
            <c:trendlineType val="linear"/>
            <c:dispRSqr val="0"/>
            <c:dispEq val="0"/>
          </c:trendline>
          <c:xVal>
            <c:numRef>
              <c:f>Sheet7!$A$2:$A$11</c:f>
              <c:numCache>
                <c:formatCode>General</c:formatCode>
                <c:ptCount val="10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</c:numCache>
            </c:numRef>
          </c:xVal>
          <c:yVal>
            <c:numRef>
              <c:f>Sheet7!$B$2:$B$11</c:f>
              <c:numCache>
                <c:formatCode>General</c:formatCode>
                <c:ptCount val="10"/>
                <c:pt idx="0">
                  <c:v>10</c:v>
                </c:pt>
                <c:pt idx="1">
                  <c:v>7</c:v>
                </c:pt>
                <c:pt idx="2">
                  <c:v>14</c:v>
                </c:pt>
                <c:pt idx="3">
                  <c:v>5</c:v>
                </c:pt>
                <c:pt idx="4">
                  <c:v>28</c:v>
                </c:pt>
                <c:pt idx="5">
                  <c:v>50</c:v>
                </c:pt>
                <c:pt idx="6">
                  <c:v>22</c:v>
                </c:pt>
                <c:pt idx="7">
                  <c:v>23</c:v>
                </c:pt>
                <c:pt idx="8">
                  <c:v>18</c:v>
                </c:pt>
                <c:pt idx="9">
                  <c:v>17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Sheet7!$C$1</c:f>
              <c:strCache>
                <c:ptCount val="1"/>
                <c:pt idx="0">
                  <c:v>total  food samples</c:v>
                </c:pt>
              </c:strCache>
            </c:strRef>
          </c:tx>
          <c:trendline>
            <c:trendlineType val="linear"/>
            <c:dispRSqr val="0"/>
            <c:dispEq val="0"/>
          </c:trendline>
          <c:xVal>
            <c:numRef>
              <c:f>Sheet7!$A$2:$A$11</c:f>
              <c:numCache>
                <c:formatCode>General</c:formatCode>
                <c:ptCount val="10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</c:numCache>
            </c:numRef>
          </c:xVal>
          <c:yVal>
            <c:numRef>
              <c:f>Sheet7!$C$2:$C$11</c:f>
              <c:numCache>
                <c:formatCode>General</c:formatCode>
                <c:ptCount val="10"/>
                <c:pt idx="0">
                  <c:v>277</c:v>
                </c:pt>
                <c:pt idx="1">
                  <c:v>321</c:v>
                </c:pt>
                <c:pt idx="2">
                  <c:v>356</c:v>
                </c:pt>
                <c:pt idx="3">
                  <c:v>265</c:v>
                </c:pt>
                <c:pt idx="4">
                  <c:v>367</c:v>
                </c:pt>
                <c:pt idx="5">
                  <c:v>440</c:v>
                </c:pt>
                <c:pt idx="6">
                  <c:v>382</c:v>
                </c:pt>
                <c:pt idx="7">
                  <c:v>386</c:v>
                </c:pt>
                <c:pt idx="8">
                  <c:v>352</c:v>
                </c:pt>
                <c:pt idx="9">
                  <c:v>133</c:v>
                </c:pt>
              </c:numCache>
            </c:numRef>
          </c:yVal>
          <c:smooth val="1"/>
        </c:ser>
        <c:ser>
          <c:idx val="2"/>
          <c:order val="2"/>
          <c:tx>
            <c:strRef>
              <c:f>Sheet7!$D$1</c:f>
              <c:strCache>
                <c:ptCount val="1"/>
                <c:pt idx="0">
                  <c:v>percent variation in decimal number</c:v>
                </c:pt>
              </c:strCache>
            </c:strRef>
          </c:tx>
          <c:trendline>
            <c:trendlineType val="linear"/>
            <c:dispRSqr val="0"/>
            <c:dispEq val="0"/>
          </c:trendline>
          <c:xVal>
            <c:numRef>
              <c:f>Sheet7!$A$2:$A$11</c:f>
              <c:numCache>
                <c:formatCode>General</c:formatCode>
                <c:ptCount val="10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</c:numCache>
            </c:numRef>
          </c:xVal>
          <c:yVal>
            <c:numRef>
              <c:f>Sheet7!$D$2:$D$11</c:f>
              <c:numCache>
                <c:formatCode>General</c:formatCode>
                <c:ptCount val="10"/>
                <c:pt idx="0">
                  <c:v>3.5999999999999997E-2</c:v>
                </c:pt>
                <c:pt idx="1">
                  <c:v>2.1999999999999999E-2</c:v>
                </c:pt>
                <c:pt idx="2">
                  <c:v>3.9000000000000014E-2</c:v>
                </c:pt>
                <c:pt idx="3">
                  <c:v>1.900000000000002E-2</c:v>
                </c:pt>
                <c:pt idx="4">
                  <c:v>7.5999999999999998E-2</c:v>
                </c:pt>
                <c:pt idx="5">
                  <c:v>1.0999999999999998E-2</c:v>
                </c:pt>
                <c:pt idx="6">
                  <c:v>5.8000000000000003E-2</c:v>
                </c:pt>
                <c:pt idx="7">
                  <c:v>5.9000000000000045E-2</c:v>
                </c:pt>
                <c:pt idx="8">
                  <c:v>5.1000000000000004E-2</c:v>
                </c:pt>
                <c:pt idx="9">
                  <c:v>0.128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68257536"/>
        <c:axId val="268259712"/>
      </c:scatterChart>
      <c:valAx>
        <c:axId val="268257536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1" i="0" baseline="0"/>
                  <a:t>Years of sample submission</a:t>
                </a:r>
                <a:endParaRPr lang="en-US" sz="10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68259712"/>
        <c:crosses val="autoZero"/>
        <c:crossBetween val="midCat"/>
      </c:valAx>
      <c:valAx>
        <c:axId val="268259712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1" i="0" baseline="0"/>
                  <a:t>Numbeer of samples received</a:t>
                </a:r>
                <a:endParaRPr lang="en-US" sz="10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68257536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69724188790560471"/>
          <c:y val="0.22162474482356367"/>
          <c:w val="0.29390855457227172"/>
          <c:h val="0.54582458442694659"/>
        </c:manualLayout>
      </c:layout>
      <c:overlay val="0"/>
      <c:txPr>
        <a:bodyPr/>
        <a:lstStyle/>
        <a:p>
          <a:pPr>
            <a:defRPr sz="1000" b="1"/>
          </a:pPr>
          <a:endParaRPr lang="en-US"/>
        </a:p>
      </c:txPr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Firehiwot Abera</dc:creator>
  <cp:lastModifiedBy>Firehiwot Abera</cp:lastModifiedBy>
  <cp:revision>4</cp:revision>
  <dcterms:created xsi:type="dcterms:W3CDTF">2020-07-21T11:03:00Z</dcterms:created>
  <dcterms:modified xsi:type="dcterms:W3CDTF">2020-07-21T11:26:00Z</dcterms:modified>
</cp:coreProperties>
</file>