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32AA9" w14:textId="1A041948" w:rsidR="00EF4B94" w:rsidRDefault="00914C56" w:rsidP="00914C56">
      <w:pPr>
        <w:rPr>
          <w:rFonts w:eastAsia="Times New Roman"/>
          <w:b/>
          <w:sz w:val="20"/>
          <w:szCs w:val="20"/>
          <w:lang w:eastAsia="en-GB"/>
        </w:rPr>
      </w:pPr>
      <w:r w:rsidRPr="00F3611A">
        <w:rPr>
          <w:rFonts w:eastAsia="Times New Roman"/>
          <w:b/>
          <w:sz w:val="20"/>
          <w:szCs w:val="20"/>
          <w:lang w:eastAsia="en-GB"/>
        </w:rPr>
        <w:t xml:space="preserve">STROBE-MR checklist of recommended items to address </w:t>
      </w:r>
      <w:r>
        <w:rPr>
          <w:rFonts w:eastAsia="Times New Roman"/>
          <w:b/>
          <w:sz w:val="20"/>
          <w:szCs w:val="20"/>
          <w:lang w:eastAsia="en-GB"/>
        </w:rPr>
        <w:t>in reports of Mendelian randomiz</w:t>
      </w:r>
      <w:r w:rsidRPr="00F3611A">
        <w:rPr>
          <w:rFonts w:eastAsia="Times New Roman"/>
          <w:b/>
          <w:sz w:val="20"/>
          <w:szCs w:val="20"/>
          <w:lang w:eastAsia="en-GB"/>
        </w:rPr>
        <w:t>ation studies</w:t>
      </w:r>
      <w:r w:rsidR="009854A9">
        <w:rPr>
          <w:rFonts w:eastAsia="Times New Roman"/>
          <w:b/>
          <w:sz w:val="20"/>
          <w:szCs w:val="20"/>
          <w:lang w:eastAsia="en-GB"/>
        </w:rPr>
        <w:fldChar w:fldCharType="begin" w:fldLock="1"/>
      </w:r>
      <w:r w:rsidR="009854A9">
        <w:rPr>
          <w:rFonts w:eastAsia="Times New Roman"/>
          <w:b/>
          <w:sz w:val="20"/>
          <w:szCs w:val="20"/>
          <w:lang w:eastAsia="en-GB"/>
        </w:rPr>
        <w:instrText>ADDIN CSL_CITATION {"citationItems":[{"id":"ITEM-1","itemData":{"author":[{"dropping-particle":"","family":"Skrivankova","given":"V W","non-dropping-particle":"","parse-names":false,"suffix":""},{"dropping-particle":"","family":"Richmond","given":"R C","non-dropping-particle":"","parse-names":false,"suffix":""},{"dropping-particle":"","family":"Woolf","given":"B A R","non-dropping-particle":"","parse-names":false,"suffix":""},{"dropping-particle":"","family":"Yarmolinsky","given":"J","non-dropping-particle":"","parse-names":false,"suffix":""},{"dropping-particle":"","family":"Davies","given":"N M","non-dropping-particle":"","parse-names":false,"suffix":""},{"dropping-particle":"","family":"Swanson","given":"S A","non-dropping-particle":"","parse-names":false,"suffix":""},{"dropping-particle":"","family":"VanderWeele","given":"T J","non-dropping-particle":"","parse-names":false,"suffix":""},{"dropping-particle":"","family":"Higgins","given":"J P H","non-dropping-particle":"","parse-names":false,"suffix":""},{"dropping-particle":"","family":"Timpson","given":"N J","non-dropping-particle":"","parse-names":false,"suffix":""},{"dropping-particle":"","family":"Dimou","given":"N","non-dropping-particle":"","parse-names":false,"suffix":""},{"dropping-particle":"","family":"Langenberg","given":"C","non-dropping-particle":"","parse-names":false,"suffix":""},{"dropping-particle":"","family":"Loder","given":"E W","non-dropping-particle":"","parse-names":false,"suffix":""},{"dropping-particle":"","family":"Golub","given":"R","non-dropping-particle":"","parse-names":false,"suffix":""},{"dropping-particle":"","family":"Gallo","given":"V","non-dropping-particle":"","parse-names":false,"suffix":""},{"dropping-particle":"","family":"Tybjaerg-Hansen","given":"A","non-dropping-particle":"","parse-names":false,"suffix":""},{"dropping-particle":"","family":"Davey Smith","given":"G","non-dropping-particle":"","parse-names":false,"suffix":""},{"dropping-particle":"","family":"Egger","given":"M","non-dropping-particle":"","parse-names":false,"suffix":""},{"dropping-particle":"","family":"Richards","given":"J B","non-dropping-particle":"","parse-names":false,"suffix":""}],"container-title":"JAMA","id":"ITEM-1","issued":{"date-parts":[["2021"]]},"page":"under review","title":"Strengthening the Reporting of Observational Studies in Epidemiology using Mendelian Randomization (STROBE-MR) Statement","type":"article-journal"},"uris":["http://www.mendeley.com/documents/?uuid=29dd9aa2-14fd-450b-83fb-4c6b74b75061"]}],"mendeley":{"formattedCitation":"&lt;sup&gt;1&lt;/sup&gt;","plainTextFormattedCitation":"1"},"properties":{"noteIndex":0},"schema":"https://github.com/citation-style-language/schema/raw/master/csl-citation.json"}</w:instrText>
      </w:r>
      <w:r w:rsidR="009854A9">
        <w:rPr>
          <w:rFonts w:eastAsia="Times New Roman"/>
          <w:b/>
          <w:sz w:val="20"/>
          <w:szCs w:val="20"/>
          <w:lang w:eastAsia="en-GB"/>
        </w:rPr>
        <w:fldChar w:fldCharType="separate"/>
      </w:r>
      <w:r w:rsidR="009854A9" w:rsidRPr="009854A9">
        <w:rPr>
          <w:rFonts w:eastAsia="Times New Roman"/>
          <w:noProof/>
          <w:sz w:val="20"/>
          <w:szCs w:val="20"/>
          <w:vertAlign w:val="superscript"/>
          <w:lang w:eastAsia="en-GB"/>
        </w:rPr>
        <w:t>1</w:t>
      </w:r>
      <w:r w:rsidR="009854A9">
        <w:rPr>
          <w:rFonts w:eastAsia="Times New Roman"/>
          <w:b/>
          <w:sz w:val="20"/>
          <w:szCs w:val="20"/>
          <w:lang w:eastAsia="en-GB"/>
        </w:rPr>
        <w:fldChar w:fldCharType="end"/>
      </w:r>
      <w:r w:rsidR="009854A9">
        <w:rPr>
          <w:rFonts w:eastAsia="Times New Roman"/>
          <w:b/>
          <w:sz w:val="20"/>
          <w:szCs w:val="20"/>
          <w:lang w:eastAsia="en-GB"/>
        </w:rPr>
        <w:t xml:space="preserve"> </w:t>
      </w:r>
      <w:r w:rsidR="00804498">
        <w:rPr>
          <w:rFonts w:eastAsia="Times New Roman"/>
          <w:b/>
          <w:sz w:val="20"/>
          <w:szCs w:val="20"/>
          <w:lang w:eastAsia="en-GB"/>
        </w:rPr>
        <w:fldChar w:fldCharType="begin" w:fldLock="1"/>
      </w:r>
      <w:r w:rsidR="009854A9">
        <w:rPr>
          <w:rFonts w:eastAsia="Times New Roman"/>
          <w:b/>
          <w:sz w:val="20"/>
          <w:szCs w:val="20"/>
          <w:lang w:eastAsia="en-GB"/>
        </w:rPr>
        <w:instrText>ADDIN CSL_CITATION {"citationItems":[{"id":"ITEM-1","itemData":{"author":[{"dropping-particle":"","family":"Skrivankova","given":"Veronika W","non-dropping-particle":"","parse-names":false,"suffix":""},{"dropping-particle":"","family":"Richmond","given":"Rebecca C","non-dropping-particle":"","parse-names":false,"suffix":""},{"dropping-particle":"","family":"Woolf","given":"Benjamin A R","non-dropping-particle":"","parse-names":false,"suffix":""},{"dropping-particle":"","family":"Davies","given":"Neil M","non-dropping-particle":"","parse-names":false,"suffix":""},{"dropping-particle":"","family":"Swanson","given":"Sonja A","non-dropping-particle":"","parse-names":false,"suffix":""},{"dropping-particle":"","family":"VanderWeele","given":"Tyler J","non-dropping-particle":"","parse-names":false,"suffix":""},{"dropping-particle":"","family":"Timpson","given":"Nicholas J","non-dropping-particle":"","parse-names":false,"suffix":""},{"dropping-particle":"","family":"Higgins","given":"Julian P T","non-dropping-particle":"","parse-names":false,"suffix":""},{"dropping-particle":"","family":"Dimou","given":"Niki","non-dropping-particle":"","parse-names":false,"suffix":""},{"dropping-particle":"","family":"Langenberg","given":"Claudia","non-dropping-particle":"","parse-names":false,"suffix":""},{"dropping-particle":"","family":"Loder","given":"Elizabeth W","non-dropping-particle":"","parse-names":false,"suffix":""},{"dropping-particle":"","family":"Golub","given":"Robert M","non-dropping-particle":"","parse-names":false,"suffix":""},{"dropping-particle":"","family":"Egger","given":"Mathias","non-dropping-particle":"","parse-names":false,"suffix":""},{"dropping-particle":"","family":"Davey Smith","given":"George","non-dropping-particle":"","parse-names":false,"suffix":""},{"dropping-particle":"","family":"Richards","given":"J Brent","non-dropping-particle":"","parse-names":false,"suffix":""}],"container-title":"BMJ","id":"ITEM-1","issued":{"date-parts":[["2021"]]},"title":"Strengthening the Reporting of Observational Studies in Epidemiology using Mendelian Randomisation (STROBE-MR): Explanation and Elaboration","type":"article-journal","volume":"375:n2233"},"uris":["http://www.mendeley.com/documents/?uuid=af64eb33-5308-4d72-bd7e-6fe0d8fe3570"]}],"mendeley":{"formattedCitation":"&lt;sup&gt;2&lt;/sup&gt;","plainTextFormattedCitation":"2","previouslyFormattedCitation":"&lt;sup&gt;1&lt;/sup&gt;"},"properties":{"noteIndex":0},"schema":"https://github.com/citation-style-language/schema/raw/master/csl-citation.json"}</w:instrText>
      </w:r>
      <w:r w:rsidR="00804498">
        <w:rPr>
          <w:rFonts w:eastAsia="Times New Roman"/>
          <w:b/>
          <w:sz w:val="20"/>
          <w:szCs w:val="20"/>
          <w:lang w:eastAsia="en-GB"/>
        </w:rPr>
        <w:fldChar w:fldCharType="separate"/>
      </w:r>
      <w:r w:rsidR="009854A9" w:rsidRPr="009854A9">
        <w:rPr>
          <w:rFonts w:eastAsia="Times New Roman"/>
          <w:noProof/>
          <w:sz w:val="20"/>
          <w:szCs w:val="20"/>
          <w:vertAlign w:val="superscript"/>
          <w:lang w:eastAsia="en-GB"/>
        </w:rPr>
        <w:t>2</w:t>
      </w:r>
      <w:r w:rsidR="00804498">
        <w:rPr>
          <w:rFonts w:eastAsia="Times New Roman"/>
          <w:b/>
          <w:sz w:val="20"/>
          <w:szCs w:val="20"/>
          <w:lang w:eastAsia="en-GB"/>
        </w:rPr>
        <w:fldChar w:fldCharType="end"/>
      </w:r>
      <w:r w:rsidRPr="00F3611A">
        <w:rPr>
          <w:rFonts w:eastAsia="Times New Roman"/>
          <w:b/>
          <w:sz w:val="20"/>
          <w:szCs w:val="20"/>
          <w:lang w:eastAsia="en-GB"/>
        </w:rPr>
        <w:t> </w:t>
      </w:r>
    </w:p>
    <w:p w14:paraId="3EE539AD" w14:textId="77777777" w:rsidR="005520ED" w:rsidRPr="005520ED" w:rsidRDefault="005520ED" w:rsidP="00914C56">
      <w:pPr>
        <w:rPr>
          <w:rFonts w:eastAsia="Times New Roman"/>
          <w:b/>
          <w:sz w:val="20"/>
          <w:szCs w:val="20"/>
          <w:lang w:eastAsia="en-GB"/>
        </w:rPr>
      </w:pPr>
    </w:p>
    <w:tbl>
      <w:tblPr>
        <w:tblW w:w="14490" w:type="dxa"/>
        <w:tblLook w:val="04A0" w:firstRow="1" w:lastRow="0" w:firstColumn="1" w:lastColumn="0" w:noHBand="0" w:noVBand="1"/>
      </w:tblPr>
      <w:tblGrid>
        <w:gridCol w:w="587"/>
        <w:gridCol w:w="1822"/>
        <w:gridCol w:w="7041"/>
        <w:gridCol w:w="720"/>
        <w:gridCol w:w="4320"/>
      </w:tblGrid>
      <w:tr w:rsidR="00D8098C" w:rsidRPr="00B853C6" w14:paraId="68BC94E2" w14:textId="1CEFEAFD" w:rsidTr="003D447D">
        <w:tc>
          <w:tcPr>
            <w:tcW w:w="587" w:type="dxa"/>
            <w:tcBorders>
              <w:top w:val="single" w:sz="4" w:space="0" w:color="auto"/>
              <w:bottom w:val="single" w:sz="6" w:space="0" w:color="7F7F7F"/>
            </w:tcBorders>
          </w:tcPr>
          <w:p w14:paraId="00DEF8A5"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Item No.</w:t>
            </w:r>
          </w:p>
        </w:tc>
        <w:tc>
          <w:tcPr>
            <w:tcW w:w="1822" w:type="dxa"/>
            <w:tcBorders>
              <w:top w:val="single" w:sz="4" w:space="0" w:color="auto"/>
              <w:bottom w:val="single" w:sz="6" w:space="0" w:color="7F7F7F"/>
            </w:tcBorders>
          </w:tcPr>
          <w:p w14:paraId="04F587D2"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Section</w:t>
            </w:r>
          </w:p>
        </w:tc>
        <w:tc>
          <w:tcPr>
            <w:tcW w:w="7041" w:type="dxa"/>
            <w:tcBorders>
              <w:top w:val="single" w:sz="4" w:space="0" w:color="auto"/>
              <w:bottom w:val="single" w:sz="6" w:space="0" w:color="7F7F7F"/>
            </w:tcBorders>
          </w:tcPr>
          <w:p w14:paraId="5A682768"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 xml:space="preserve">Checklist item </w:t>
            </w:r>
          </w:p>
        </w:tc>
        <w:tc>
          <w:tcPr>
            <w:tcW w:w="720" w:type="dxa"/>
            <w:tcBorders>
              <w:top w:val="single" w:sz="4" w:space="0" w:color="auto"/>
              <w:bottom w:val="single" w:sz="6" w:space="0" w:color="7F7F7F"/>
            </w:tcBorders>
          </w:tcPr>
          <w:p w14:paraId="26D050FB" w14:textId="497E77E4" w:rsidR="00D8098C" w:rsidRPr="00F0337F" w:rsidRDefault="00EF4B94" w:rsidP="00426603">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Page No.</w:t>
            </w:r>
          </w:p>
        </w:tc>
        <w:tc>
          <w:tcPr>
            <w:tcW w:w="4320" w:type="dxa"/>
            <w:tcBorders>
              <w:top w:val="single" w:sz="4" w:space="0" w:color="auto"/>
              <w:bottom w:val="single" w:sz="6" w:space="0" w:color="7F7F7F"/>
            </w:tcBorders>
          </w:tcPr>
          <w:p w14:paraId="3B169EDD" w14:textId="040F4512" w:rsidR="00D8098C" w:rsidRDefault="00EF4B94" w:rsidP="00426603">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Relevant text from manuscript</w:t>
            </w:r>
          </w:p>
        </w:tc>
      </w:tr>
      <w:tr w:rsidR="00D8098C" w:rsidRPr="00B853C6" w14:paraId="6D71F361" w14:textId="15A67F44" w:rsidTr="003D447D">
        <w:tc>
          <w:tcPr>
            <w:tcW w:w="587" w:type="dxa"/>
            <w:tcBorders>
              <w:top w:val="single" w:sz="6" w:space="0" w:color="7F7F7F"/>
              <w:bottom w:val="single" w:sz="6" w:space="0" w:color="7F7F7F"/>
            </w:tcBorders>
            <w:shd w:val="clear" w:color="auto" w:fill="EEEEEE"/>
          </w:tcPr>
          <w:p w14:paraId="25A8835C"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w:t>
            </w:r>
          </w:p>
        </w:tc>
        <w:tc>
          <w:tcPr>
            <w:tcW w:w="1822" w:type="dxa"/>
            <w:tcBorders>
              <w:top w:val="single" w:sz="6" w:space="0" w:color="7F7F7F"/>
              <w:bottom w:val="single" w:sz="6" w:space="0" w:color="7F7F7F"/>
            </w:tcBorders>
            <w:shd w:val="clear" w:color="auto" w:fill="EEEEEE"/>
          </w:tcPr>
          <w:p w14:paraId="4CC4316B"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TITLE and ABSTRACT</w:t>
            </w:r>
          </w:p>
        </w:tc>
        <w:tc>
          <w:tcPr>
            <w:tcW w:w="7041" w:type="dxa"/>
            <w:tcBorders>
              <w:top w:val="single" w:sz="6" w:space="0" w:color="7F7F7F"/>
              <w:bottom w:val="single" w:sz="6" w:space="0" w:color="7F7F7F"/>
            </w:tcBorders>
            <w:shd w:val="clear" w:color="auto" w:fill="EEEEEE"/>
          </w:tcPr>
          <w:p w14:paraId="1DA8BD46" w14:textId="22BBD1AD" w:rsidR="00D8098C" w:rsidRPr="00F0337F" w:rsidRDefault="00D8098C" w:rsidP="006912BF">
            <w:pPr>
              <w:spacing w:beforeLines="40" w:before="96" w:afterLines="40" w:after="96" w:line="24" w:lineRule="atLeast"/>
              <w:rPr>
                <w:rFonts w:eastAsia="Cambria"/>
                <w:sz w:val="18"/>
                <w:szCs w:val="18"/>
                <w:lang w:val="en-GB" w:eastAsia="en-US"/>
              </w:rPr>
            </w:pPr>
            <w:r w:rsidRPr="00F0337F">
              <w:rPr>
                <w:rFonts w:eastAsia="Times New Roman"/>
                <w:sz w:val="18"/>
                <w:szCs w:val="18"/>
                <w:lang w:val="en-GB" w:eastAsia="en-GB"/>
              </w:rPr>
              <w:t>Indicate Mendelian randomization</w:t>
            </w:r>
            <w:r w:rsidR="000A4CE8">
              <w:rPr>
                <w:rFonts w:eastAsia="Times New Roman"/>
                <w:sz w:val="18"/>
                <w:szCs w:val="18"/>
                <w:lang w:val="en-GB" w:eastAsia="en-GB"/>
              </w:rPr>
              <w:t xml:space="preserve"> (MR)</w:t>
            </w:r>
            <w:r w:rsidRPr="00F0337F">
              <w:rPr>
                <w:rFonts w:eastAsia="Times New Roman"/>
                <w:sz w:val="18"/>
                <w:szCs w:val="18"/>
                <w:lang w:val="en-GB" w:eastAsia="en-GB"/>
              </w:rPr>
              <w:t xml:space="preserve"> as the study</w:t>
            </w:r>
            <w:r w:rsidR="006912BF">
              <w:rPr>
                <w:rFonts w:eastAsia="Times New Roman"/>
                <w:sz w:val="18"/>
                <w:szCs w:val="18"/>
                <w:lang w:val="en-GB" w:eastAsia="en-GB"/>
              </w:rPr>
              <w:t>’</w:t>
            </w:r>
            <w:r w:rsidRPr="00F0337F">
              <w:rPr>
                <w:rFonts w:eastAsia="Times New Roman"/>
                <w:sz w:val="18"/>
                <w:szCs w:val="18"/>
                <w:lang w:val="en-GB" w:eastAsia="en-GB"/>
              </w:rPr>
              <w:t>s design in the title and/or the abstract if that is a main purpose of the study</w:t>
            </w:r>
          </w:p>
        </w:tc>
        <w:tc>
          <w:tcPr>
            <w:tcW w:w="720" w:type="dxa"/>
            <w:tcBorders>
              <w:top w:val="single" w:sz="6" w:space="0" w:color="7F7F7F"/>
              <w:bottom w:val="single" w:sz="6" w:space="0" w:color="7F7F7F"/>
            </w:tcBorders>
            <w:shd w:val="clear" w:color="auto" w:fill="EEEEEE"/>
          </w:tcPr>
          <w:p w14:paraId="428F187D" w14:textId="243939DF" w:rsidR="00D8098C" w:rsidRPr="00F0337F" w:rsidRDefault="00710D05" w:rsidP="00426603">
            <w:pPr>
              <w:spacing w:beforeLines="40" w:before="96" w:afterLines="40" w:after="96" w:line="24" w:lineRule="atLeast"/>
              <w:rPr>
                <w:rFonts w:eastAsia="Times New Roman"/>
                <w:sz w:val="18"/>
                <w:szCs w:val="18"/>
                <w:lang w:val="en-GB" w:eastAsia="zh-CN"/>
              </w:rPr>
            </w:pPr>
            <w:r>
              <w:rPr>
                <w:rFonts w:eastAsia="Times New Roman" w:hint="eastAsia"/>
                <w:sz w:val="18"/>
                <w:szCs w:val="18"/>
                <w:lang w:val="en-GB" w:eastAsia="zh-CN"/>
              </w:rPr>
              <w:t>1</w:t>
            </w:r>
            <w:r w:rsidR="000E5345">
              <w:rPr>
                <w:rFonts w:eastAsia="Times New Roman" w:hint="eastAsia"/>
                <w:sz w:val="18"/>
                <w:szCs w:val="18"/>
                <w:lang w:val="en-GB" w:eastAsia="zh-CN"/>
              </w:rPr>
              <w:t>-3</w:t>
            </w:r>
          </w:p>
        </w:tc>
        <w:tc>
          <w:tcPr>
            <w:tcW w:w="4320" w:type="dxa"/>
            <w:tcBorders>
              <w:top w:val="single" w:sz="6" w:space="0" w:color="7F7F7F"/>
              <w:bottom w:val="single" w:sz="6" w:space="0" w:color="7F7F7F"/>
            </w:tcBorders>
            <w:shd w:val="clear" w:color="auto" w:fill="EEEEEE"/>
          </w:tcPr>
          <w:p w14:paraId="03BF2E22" w14:textId="77777777" w:rsidR="00710D05" w:rsidRDefault="00710D05" w:rsidP="00710D05">
            <w:pPr>
              <w:spacing w:beforeLines="40" w:before="96" w:afterLines="40" w:after="96" w:line="24" w:lineRule="atLeast"/>
              <w:jc w:val="both"/>
              <w:rPr>
                <w:rFonts w:eastAsia="Times New Roman"/>
                <w:sz w:val="18"/>
                <w:szCs w:val="18"/>
                <w:lang w:val="en-GB" w:eastAsia="zh-CN"/>
              </w:rPr>
            </w:pPr>
            <w:r w:rsidRPr="00710D05">
              <w:rPr>
                <w:rFonts w:eastAsia="Times New Roman"/>
                <w:b/>
                <w:bCs/>
                <w:sz w:val="18"/>
                <w:szCs w:val="18"/>
                <w:lang w:val="en-GB" w:eastAsia="en-GB"/>
              </w:rPr>
              <w:t>Title</w:t>
            </w:r>
            <w:r w:rsidRPr="00710D05">
              <w:rPr>
                <w:rFonts w:eastAsia="Times New Roman"/>
                <w:sz w:val="18"/>
                <w:szCs w:val="18"/>
                <w:lang w:val="en-GB" w:eastAsia="en-GB"/>
              </w:rPr>
              <w:t>: “Genetically predicted 3-hydroxybutyrate and the risk of non-alcoholic fatty liver disease: a Mendelian randomization study.”</w:t>
            </w:r>
          </w:p>
          <w:p w14:paraId="2F6D1FAF" w14:textId="1BFE3EE2" w:rsidR="00D8098C" w:rsidRPr="00710D05" w:rsidRDefault="00710D05" w:rsidP="00710D05">
            <w:pPr>
              <w:spacing w:beforeLines="40" w:before="96" w:afterLines="40" w:after="96" w:line="24" w:lineRule="atLeast"/>
              <w:jc w:val="both"/>
              <w:rPr>
                <w:rFonts w:eastAsia="宋体"/>
                <w:color w:val="000000"/>
                <w:sz w:val="24"/>
                <w:szCs w:val="24"/>
                <w:lang w:val="en-US" w:eastAsia="zh-CN"/>
              </w:rPr>
            </w:pPr>
            <w:r w:rsidRPr="00710D05">
              <w:rPr>
                <w:rFonts w:eastAsia="Times New Roman"/>
                <w:b/>
                <w:bCs/>
                <w:sz w:val="18"/>
                <w:szCs w:val="18"/>
                <w:lang w:val="en-GB" w:eastAsia="en-GB"/>
              </w:rPr>
              <w:t>Abstract</w:t>
            </w:r>
            <w:r w:rsidRPr="00710D05">
              <w:rPr>
                <w:rFonts w:eastAsia="Times New Roman"/>
                <w:sz w:val="18"/>
                <w:szCs w:val="18"/>
                <w:lang w:val="en-GB" w:eastAsia="en-GB"/>
              </w:rPr>
              <w:t>: “We performed two-sample Mendelian randomization (MR) analyses…”</w:t>
            </w:r>
          </w:p>
        </w:tc>
      </w:tr>
      <w:tr w:rsidR="00D8098C" w:rsidRPr="00B853C6" w14:paraId="641E6A58" w14:textId="3A4EC1CE" w:rsidTr="003D447D">
        <w:tc>
          <w:tcPr>
            <w:tcW w:w="587" w:type="dxa"/>
            <w:tcBorders>
              <w:top w:val="single" w:sz="6" w:space="0" w:color="7F7F7F"/>
            </w:tcBorders>
          </w:tcPr>
          <w:p w14:paraId="4792BEF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tcPr>
          <w:p w14:paraId="63B58F01"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INTRODUCTION</w:t>
            </w:r>
          </w:p>
        </w:tc>
        <w:tc>
          <w:tcPr>
            <w:tcW w:w="7041" w:type="dxa"/>
            <w:tcBorders>
              <w:top w:val="single" w:sz="6" w:space="0" w:color="7F7F7F"/>
            </w:tcBorders>
          </w:tcPr>
          <w:p w14:paraId="473C01D0" w14:textId="77777777" w:rsidR="00D8098C" w:rsidRPr="00F0337F"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6681F500" w14:textId="77777777" w:rsidR="00D8098C" w:rsidRPr="00F0337F" w:rsidRDefault="00D8098C" w:rsidP="0042660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7A6DC6E9"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7DB622D8" w14:textId="3921B7E8" w:rsidTr="003D447D">
        <w:tc>
          <w:tcPr>
            <w:tcW w:w="587" w:type="dxa"/>
            <w:shd w:val="clear" w:color="auto" w:fill="EEEEEE"/>
          </w:tcPr>
          <w:p w14:paraId="7DE28D61"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2</w:t>
            </w:r>
          </w:p>
        </w:tc>
        <w:tc>
          <w:tcPr>
            <w:tcW w:w="1822" w:type="dxa"/>
            <w:shd w:val="clear" w:color="auto" w:fill="EEEEEE"/>
          </w:tcPr>
          <w:p w14:paraId="7756B327"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Background</w:t>
            </w:r>
          </w:p>
        </w:tc>
        <w:tc>
          <w:tcPr>
            <w:tcW w:w="7041" w:type="dxa"/>
            <w:shd w:val="clear" w:color="auto" w:fill="EEEEEE"/>
          </w:tcPr>
          <w:p w14:paraId="5423D52E" w14:textId="5998ED56"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 xml:space="preserve">Explain the scientific background and rationale for the reported study. What is the exposure? Is </w:t>
            </w:r>
            <w:r w:rsidR="00514462">
              <w:rPr>
                <w:rFonts w:eastAsia="Times New Roman"/>
                <w:sz w:val="18"/>
                <w:szCs w:val="18"/>
                <w:lang w:val="en-GB" w:eastAsia="en-GB"/>
              </w:rPr>
              <w:t xml:space="preserve">a </w:t>
            </w:r>
            <w:r>
              <w:rPr>
                <w:rFonts w:eastAsia="Times New Roman"/>
                <w:sz w:val="18"/>
                <w:szCs w:val="18"/>
                <w:lang w:val="en-GB" w:eastAsia="en-GB"/>
              </w:rPr>
              <w:t>potential causal relationship</w:t>
            </w:r>
            <w:r w:rsidRPr="00F0337F">
              <w:rPr>
                <w:rFonts w:eastAsia="Times New Roman"/>
                <w:sz w:val="18"/>
                <w:szCs w:val="18"/>
                <w:lang w:val="en-GB" w:eastAsia="en-GB"/>
              </w:rPr>
              <w:t xml:space="preserve"> between exposure and outcome plausible? Justify why MR is a helpful method to address the study question</w:t>
            </w:r>
          </w:p>
        </w:tc>
        <w:tc>
          <w:tcPr>
            <w:tcW w:w="720" w:type="dxa"/>
            <w:shd w:val="clear" w:color="auto" w:fill="EEEEEE"/>
          </w:tcPr>
          <w:p w14:paraId="460FB29C" w14:textId="0C84DAFF" w:rsidR="00D8098C" w:rsidRPr="00F0337F" w:rsidRDefault="00710D05" w:rsidP="00426603">
            <w:pPr>
              <w:spacing w:beforeLines="40" w:before="96" w:afterLines="40" w:after="96" w:line="24" w:lineRule="atLeast"/>
              <w:rPr>
                <w:rFonts w:eastAsia="Times New Roman"/>
                <w:sz w:val="18"/>
                <w:szCs w:val="18"/>
                <w:lang w:val="en-GB" w:eastAsia="zh-CN"/>
              </w:rPr>
            </w:pPr>
            <w:r>
              <w:rPr>
                <w:rFonts w:eastAsia="Times New Roman" w:hint="eastAsia"/>
                <w:sz w:val="18"/>
                <w:szCs w:val="18"/>
                <w:lang w:val="en-GB" w:eastAsia="zh-CN"/>
              </w:rPr>
              <w:t>1</w:t>
            </w:r>
            <w:r w:rsidR="000E5345">
              <w:rPr>
                <w:rFonts w:eastAsia="Times New Roman" w:hint="eastAsia"/>
                <w:sz w:val="18"/>
                <w:szCs w:val="18"/>
                <w:lang w:val="en-GB" w:eastAsia="zh-CN"/>
              </w:rPr>
              <w:t>-2</w:t>
            </w:r>
          </w:p>
        </w:tc>
        <w:tc>
          <w:tcPr>
            <w:tcW w:w="4320" w:type="dxa"/>
            <w:shd w:val="clear" w:color="auto" w:fill="EEEEEE"/>
          </w:tcPr>
          <w:p w14:paraId="62F5ED31" w14:textId="77777777" w:rsidR="00710D05" w:rsidRPr="00710D05" w:rsidRDefault="00710D05" w:rsidP="00710D05">
            <w:pPr>
              <w:spacing w:beforeLines="40" w:before="96" w:afterLines="40" w:after="96" w:line="24" w:lineRule="atLeast"/>
              <w:jc w:val="both"/>
              <w:rPr>
                <w:rFonts w:eastAsia="Times New Roman"/>
                <w:sz w:val="18"/>
                <w:szCs w:val="18"/>
                <w:lang w:val="en-GB" w:eastAsia="en-GB"/>
              </w:rPr>
            </w:pPr>
            <w:r w:rsidRPr="00710D05">
              <w:rPr>
                <w:rFonts w:eastAsia="Times New Roman"/>
                <w:sz w:val="18"/>
                <w:szCs w:val="18"/>
                <w:lang w:val="en-GB" w:eastAsia="en-GB"/>
              </w:rPr>
              <w:t>The Introduction describes NAFLD, ketone bodies, and 3-hydroxybutyrate, and explains that MR helps reduce confounding and reverse causality when investigating potential causal relationships.</w:t>
            </w:r>
          </w:p>
          <w:p w14:paraId="5D990A22" w14:textId="77777777" w:rsidR="00D8098C" w:rsidRPr="00710D05" w:rsidRDefault="00D8098C" w:rsidP="00710D05">
            <w:pPr>
              <w:spacing w:beforeLines="40" w:before="96" w:afterLines="40" w:after="96" w:line="24" w:lineRule="atLeast"/>
              <w:jc w:val="both"/>
              <w:rPr>
                <w:rFonts w:eastAsia="Times New Roman"/>
                <w:sz w:val="18"/>
                <w:szCs w:val="18"/>
                <w:lang w:val="en-US" w:eastAsia="en-GB"/>
              </w:rPr>
            </w:pPr>
          </w:p>
        </w:tc>
      </w:tr>
      <w:tr w:rsidR="00D8098C" w:rsidRPr="00B853C6" w14:paraId="7907A3D3" w14:textId="5AB948A7" w:rsidTr="003D447D">
        <w:tc>
          <w:tcPr>
            <w:tcW w:w="587" w:type="dxa"/>
            <w:tcBorders>
              <w:bottom w:val="single" w:sz="6" w:space="0" w:color="7F7F7F"/>
            </w:tcBorders>
          </w:tcPr>
          <w:p w14:paraId="4F63B034"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3</w:t>
            </w:r>
          </w:p>
        </w:tc>
        <w:tc>
          <w:tcPr>
            <w:tcW w:w="1822" w:type="dxa"/>
            <w:tcBorders>
              <w:bottom w:val="single" w:sz="6" w:space="0" w:color="7F7F7F"/>
            </w:tcBorders>
          </w:tcPr>
          <w:p w14:paraId="3E6B9EEC"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Objectives</w:t>
            </w:r>
          </w:p>
        </w:tc>
        <w:tc>
          <w:tcPr>
            <w:tcW w:w="7041" w:type="dxa"/>
            <w:tcBorders>
              <w:bottom w:val="single" w:sz="6" w:space="0" w:color="7F7F7F"/>
            </w:tcBorders>
          </w:tcPr>
          <w:p w14:paraId="41BC8A04"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State specific objectives clearly, including pre-specified causal hypotheses (if any). State that MR is a method that, under specific assumptions, intends to estimate causal effects</w:t>
            </w:r>
          </w:p>
        </w:tc>
        <w:tc>
          <w:tcPr>
            <w:tcW w:w="720" w:type="dxa"/>
            <w:tcBorders>
              <w:bottom w:val="single" w:sz="6" w:space="0" w:color="7F7F7F"/>
            </w:tcBorders>
          </w:tcPr>
          <w:p w14:paraId="2294F6C5" w14:textId="17AABE91" w:rsidR="00D8098C" w:rsidRPr="00A1236D" w:rsidRDefault="00710D05" w:rsidP="00426603">
            <w:pPr>
              <w:spacing w:beforeLines="40" w:before="96" w:afterLines="40" w:after="96" w:line="24" w:lineRule="atLeast"/>
              <w:rPr>
                <w:rFonts w:eastAsia="Times New Roman"/>
                <w:sz w:val="18"/>
                <w:szCs w:val="18"/>
                <w:lang w:val="en-GB" w:eastAsia="zh-CN"/>
              </w:rPr>
            </w:pPr>
            <w:r>
              <w:rPr>
                <w:rFonts w:eastAsia="Times New Roman" w:hint="eastAsia"/>
                <w:sz w:val="18"/>
                <w:szCs w:val="18"/>
                <w:lang w:val="en-GB" w:eastAsia="zh-CN"/>
              </w:rPr>
              <w:t>5</w:t>
            </w:r>
          </w:p>
        </w:tc>
        <w:tc>
          <w:tcPr>
            <w:tcW w:w="4320" w:type="dxa"/>
            <w:tcBorders>
              <w:bottom w:val="single" w:sz="6" w:space="0" w:color="7F7F7F"/>
            </w:tcBorders>
          </w:tcPr>
          <w:p w14:paraId="2A96EA7C" w14:textId="77777777" w:rsidR="00710D05" w:rsidRPr="00710D05" w:rsidRDefault="00710D05" w:rsidP="00710D05">
            <w:pPr>
              <w:spacing w:beforeLines="40" w:before="96" w:afterLines="40" w:after="96" w:line="24" w:lineRule="atLeast"/>
              <w:jc w:val="both"/>
              <w:rPr>
                <w:rFonts w:eastAsia="Times New Roman"/>
                <w:sz w:val="18"/>
                <w:szCs w:val="18"/>
                <w:lang w:val="en-GB" w:eastAsia="en-GB"/>
              </w:rPr>
            </w:pPr>
            <w:r w:rsidRPr="00710D05">
              <w:rPr>
                <w:rFonts w:eastAsia="Times New Roman"/>
                <w:sz w:val="18"/>
                <w:szCs w:val="18"/>
                <w:lang w:val="en-GB" w:eastAsia="en-GB"/>
              </w:rPr>
              <w:t>“In this study, we performed two-sample MR, reverse MR, and multivariable MR analyses to investigate whether genetically predicted ketone bodies, particularly 3-hydroxybutyrate, are causally associated with NAFLD risk.”</w:t>
            </w:r>
          </w:p>
          <w:p w14:paraId="11250836" w14:textId="77777777" w:rsidR="00D8098C" w:rsidRPr="00710D05" w:rsidRDefault="00D8098C" w:rsidP="00426603">
            <w:pPr>
              <w:spacing w:beforeLines="40" w:before="96" w:afterLines="40" w:after="96" w:line="24" w:lineRule="atLeast"/>
              <w:rPr>
                <w:rFonts w:eastAsia="Times New Roman"/>
                <w:sz w:val="18"/>
                <w:szCs w:val="18"/>
                <w:lang w:val="en-US" w:eastAsia="en-GB"/>
              </w:rPr>
            </w:pPr>
          </w:p>
        </w:tc>
      </w:tr>
      <w:tr w:rsidR="00D8098C" w:rsidRPr="00B853C6" w14:paraId="59599383" w14:textId="2880B554" w:rsidTr="003D447D">
        <w:tc>
          <w:tcPr>
            <w:tcW w:w="587" w:type="dxa"/>
            <w:tcBorders>
              <w:top w:val="single" w:sz="6" w:space="0" w:color="7F7F7F"/>
            </w:tcBorders>
            <w:shd w:val="clear" w:color="auto" w:fill="EEEEEE"/>
          </w:tcPr>
          <w:p w14:paraId="3524D6D4"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EEEEEE"/>
          </w:tcPr>
          <w:p w14:paraId="6152628C"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METHODS</w:t>
            </w:r>
          </w:p>
        </w:tc>
        <w:tc>
          <w:tcPr>
            <w:tcW w:w="7041" w:type="dxa"/>
            <w:tcBorders>
              <w:top w:val="single" w:sz="6" w:space="0" w:color="7F7F7F"/>
            </w:tcBorders>
            <w:shd w:val="clear" w:color="auto" w:fill="EEEEEE"/>
          </w:tcPr>
          <w:p w14:paraId="309B856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shd w:val="clear" w:color="auto" w:fill="EEEEEE"/>
          </w:tcPr>
          <w:p w14:paraId="2FFEF450"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shd w:val="clear" w:color="auto" w:fill="EEEEEE"/>
          </w:tcPr>
          <w:p w14:paraId="6CB9315A" w14:textId="1B6CEE6F" w:rsidR="00D8098C" w:rsidRDefault="00D8098C" w:rsidP="0075634C">
            <w:pPr>
              <w:tabs>
                <w:tab w:val="left" w:pos="1053"/>
              </w:tabs>
              <w:spacing w:beforeLines="40" w:before="96" w:afterLines="40" w:after="96" w:line="24" w:lineRule="atLeast"/>
              <w:rPr>
                <w:rFonts w:eastAsia="Cambria"/>
                <w:sz w:val="18"/>
                <w:szCs w:val="18"/>
                <w:lang w:val="en-GB" w:eastAsia="zh-CN"/>
              </w:rPr>
            </w:pPr>
          </w:p>
        </w:tc>
      </w:tr>
      <w:tr w:rsidR="00D8098C" w:rsidRPr="00B853C6" w14:paraId="6440155E" w14:textId="16610A1F" w:rsidTr="003D447D">
        <w:tc>
          <w:tcPr>
            <w:tcW w:w="587" w:type="dxa"/>
          </w:tcPr>
          <w:p w14:paraId="5C7CF349"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4</w:t>
            </w:r>
          </w:p>
        </w:tc>
        <w:tc>
          <w:tcPr>
            <w:tcW w:w="1822" w:type="dxa"/>
          </w:tcPr>
          <w:p w14:paraId="408E2A89"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Study design and data sources</w:t>
            </w:r>
          </w:p>
        </w:tc>
        <w:tc>
          <w:tcPr>
            <w:tcW w:w="7041" w:type="dxa"/>
          </w:tcPr>
          <w:p w14:paraId="29029CA4"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Present key elements of the study design early in the article. Consider including a table listing sources of data for all phases of the study. For each data source contributing to the analysis, describe the following: </w:t>
            </w:r>
          </w:p>
        </w:tc>
        <w:tc>
          <w:tcPr>
            <w:tcW w:w="720" w:type="dxa"/>
          </w:tcPr>
          <w:p w14:paraId="0E181C75"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Pr>
          <w:p w14:paraId="23CE0AC6"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47D5AE21" w14:textId="3CA8D4AF" w:rsidTr="003D447D">
        <w:tc>
          <w:tcPr>
            <w:tcW w:w="587" w:type="dxa"/>
            <w:shd w:val="clear" w:color="auto" w:fill="EEEEEE"/>
          </w:tcPr>
          <w:p w14:paraId="0980B68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9E72ACB"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EEEEEE"/>
          </w:tcPr>
          <w:p w14:paraId="246167BE" w14:textId="77777777" w:rsidR="00D8098C" w:rsidRPr="0065487F" w:rsidRDefault="00D8098C" w:rsidP="00426603">
            <w:pPr>
              <w:spacing w:beforeLines="40" w:before="96" w:afterLines="40" w:after="96" w:line="24" w:lineRule="atLeast"/>
              <w:rPr>
                <w:rFonts w:eastAsia="Cambria"/>
                <w:sz w:val="18"/>
                <w:szCs w:val="18"/>
                <w:lang w:val="en-GB" w:eastAsia="en-US"/>
              </w:rPr>
            </w:pPr>
            <w:r w:rsidRPr="0065487F">
              <w:rPr>
                <w:rFonts w:eastAsia="Times New Roman"/>
                <w:sz w:val="18"/>
                <w:szCs w:val="18"/>
                <w:lang w:val="en-GB" w:eastAsia="en-GB"/>
              </w:rPr>
              <w:t xml:space="preserve">Setting: Describe the study design and the underlying population, if possible. Describe the setting, locations, and relevant dates, including periods </w:t>
            </w:r>
            <w:r w:rsidRPr="0065487F">
              <w:rPr>
                <w:rFonts w:eastAsia="Times New Roman"/>
                <w:color w:val="000000"/>
                <w:sz w:val="18"/>
                <w:szCs w:val="18"/>
                <w:lang w:val="en-GB" w:eastAsia="en-GB"/>
              </w:rPr>
              <w:t>of recruitment, exposure, follow-up, and data collection, when available.</w:t>
            </w:r>
          </w:p>
        </w:tc>
        <w:tc>
          <w:tcPr>
            <w:tcW w:w="720" w:type="dxa"/>
            <w:shd w:val="clear" w:color="auto" w:fill="EEEEEE"/>
          </w:tcPr>
          <w:p w14:paraId="048ED5CF" w14:textId="08A56D92" w:rsidR="00D8098C" w:rsidRPr="00A1236D" w:rsidRDefault="0075634C" w:rsidP="00426603">
            <w:pPr>
              <w:spacing w:beforeLines="40" w:before="96" w:afterLines="40" w:after="96" w:line="24" w:lineRule="atLeast"/>
              <w:rPr>
                <w:rFonts w:eastAsia="Times New Roman"/>
                <w:sz w:val="18"/>
                <w:szCs w:val="18"/>
                <w:shd w:val="clear" w:color="auto" w:fill="FFFFFF"/>
                <w:lang w:val="en-GB" w:eastAsia="zh-CN"/>
              </w:rPr>
            </w:pPr>
            <w:r w:rsidRPr="0075634C">
              <w:rPr>
                <w:rFonts w:eastAsia="Times New Roman" w:hint="eastAsia"/>
                <w:sz w:val="18"/>
                <w:szCs w:val="18"/>
                <w:lang w:val="en-GB" w:eastAsia="zh-CN"/>
              </w:rPr>
              <w:t>6</w:t>
            </w:r>
            <w:r w:rsidR="000E5345">
              <w:rPr>
                <w:rFonts w:eastAsia="Times New Roman" w:hint="eastAsia"/>
                <w:sz w:val="18"/>
                <w:szCs w:val="18"/>
                <w:lang w:val="en-GB" w:eastAsia="zh-CN"/>
              </w:rPr>
              <w:t>-7</w:t>
            </w:r>
          </w:p>
        </w:tc>
        <w:tc>
          <w:tcPr>
            <w:tcW w:w="4320" w:type="dxa"/>
            <w:shd w:val="clear" w:color="auto" w:fill="EEEEEE"/>
          </w:tcPr>
          <w:p w14:paraId="33F4171D" w14:textId="29F6C633" w:rsidR="00D8098C" w:rsidRPr="000E5345" w:rsidRDefault="000E5345" w:rsidP="000E5345">
            <w:pPr>
              <w:spacing w:beforeLines="40" w:before="96" w:afterLines="40" w:after="96" w:line="24" w:lineRule="atLeast"/>
              <w:jc w:val="both"/>
              <w:rPr>
                <w:rFonts w:eastAsia="Times New Roman"/>
                <w:sz w:val="18"/>
                <w:szCs w:val="18"/>
                <w:lang w:val="en-GB" w:eastAsia="en-GB"/>
              </w:rPr>
            </w:pPr>
            <w:r w:rsidRPr="000E5345">
              <w:rPr>
                <w:rFonts w:eastAsia="Times New Roman"/>
                <w:sz w:val="18"/>
                <w:szCs w:val="18"/>
                <w:lang w:val="en-GB" w:eastAsia="en-GB"/>
              </w:rPr>
              <w:t>“Summary-level GWAS data for ketone bodies, including 3-hydroxybutyrate, acetoacetate, and acetone, were derived from blood samples collected from UK Biobank participants and measured by Nightingale Health in 2020 using the Nightingale biomarker quantification platform.” / “This resource integrates genomic and health-related data from European-ancestry participants to elucidate genotype–phenotype associations.”</w:t>
            </w:r>
          </w:p>
        </w:tc>
      </w:tr>
      <w:tr w:rsidR="00D8098C" w:rsidRPr="00B853C6" w14:paraId="376A6F82" w14:textId="43693FDC" w:rsidTr="003D447D">
        <w:tc>
          <w:tcPr>
            <w:tcW w:w="587" w:type="dxa"/>
          </w:tcPr>
          <w:p w14:paraId="6B85F41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tcPr>
          <w:p w14:paraId="0CF2EB5C"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tcPr>
          <w:p w14:paraId="5E3BCE69" w14:textId="77777777" w:rsidR="00D8098C" w:rsidRPr="00A1236D" w:rsidRDefault="00D8098C" w:rsidP="00426603">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 xml:space="preserve">Participants: Give the eligibility criteria, and the sources and methods of selection of participants. </w:t>
            </w:r>
            <w:r w:rsidRPr="00A1236D">
              <w:rPr>
                <w:rFonts w:eastAsia="Times New Roman"/>
                <w:color w:val="000000"/>
                <w:sz w:val="18"/>
                <w:szCs w:val="18"/>
              </w:rPr>
              <w:t>Report the sample size, and whether any power or sample size calculations were carried out prior to the main analysis</w:t>
            </w:r>
            <w:r w:rsidRPr="00A1236D">
              <w:rPr>
                <w:rFonts w:eastAsia="Times New Roman"/>
                <w:sz w:val="18"/>
                <w:szCs w:val="18"/>
                <w:lang w:val="en-GB" w:eastAsia="en-GB"/>
              </w:rPr>
              <w:t> </w:t>
            </w:r>
          </w:p>
        </w:tc>
        <w:tc>
          <w:tcPr>
            <w:tcW w:w="720" w:type="dxa"/>
          </w:tcPr>
          <w:p w14:paraId="29ACC32C" w14:textId="13CAA726" w:rsidR="00D8098C" w:rsidRPr="00A1236D" w:rsidRDefault="0075634C" w:rsidP="00426603">
            <w:pPr>
              <w:spacing w:beforeLines="40" w:before="96" w:afterLines="40" w:after="96" w:line="24" w:lineRule="atLeast"/>
              <w:textAlignment w:val="baseline"/>
              <w:rPr>
                <w:rFonts w:eastAsia="Times New Roman"/>
                <w:sz w:val="18"/>
                <w:szCs w:val="18"/>
                <w:shd w:val="clear" w:color="auto" w:fill="FFFFFF"/>
                <w:lang w:val="en-GB" w:eastAsia="zh-CN"/>
              </w:rPr>
            </w:pPr>
            <w:r>
              <w:rPr>
                <w:rFonts w:eastAsia="Times New Roman" w:hint="eastAsia"/>
                <w:sz w:val="18"/>
                <w:szCs w:val="18"/>
                <w:shd w:val="clear" w:color="auto" w:fill="FFFFFF"/>
                <w:lang w:val="en-GB" w:eastAsia="zh-CN"/>
              </w:rPr>
              <w:t>7</w:t>
            </w:r>
          </w:p>
        </w:tc>
        <w:tc>
          <w:tcPr>
            <w:tcW w:w="4320" w:type="dxa"/>
          </w:tcPr>
          <w:p w14:paraId="37C3B4C3" w14:textId="41262BE0" w:rsidR="00D8098C" w:rsidRPr="000E5345" w:rsidRDefault="000E5345" w:rsidP="000E5345">
            <w:pPr>
              <w:spacing w:beforeLines="40" w:before="96" w:afterLines="40" w:after="96" w:line="24" w:lineRule="atLeast"/>
              <w:jc w:val="both"/>
              <w:rPr>
                <w:rFonts w:eastAsia="Times New Roman"/>
                <w:sz w:val="18"/>
                <w:szCs w:val="18"/>
                <w:lang w:val="en-GB" w:eastAsia="en-GB"/>
              </w:rPr>
            </w:pPr>
            <w:r w:rsidRPr="000E5345">
              <w:rPr>
                <w:rFonts w:eastAsia="Times New Roman"/>
                <w:sz w:val="18"/>
                <w:szCs w:val="18"/>
                <w:lang w:val="en-GB" w:eastAsia="en-GB"/>
              </w:rPr>
              <w:t xml:space="preserve">“3-Hydroxybutyrate European 113,595…” / “Acetoacetate European 115,075…” / “Acetone </w:t>
            </w:r>
            <w:r w:rsidRPr="000E5345">
              <w:rPr>
                <w:rFonts w:eastAsia="Times New Roman"/>
                <w:sz w:val="18"/>
                <w:szCs w:val="18"/>
                <w:lang w:val="en-GB" w:eastAsia="en-GB"/>
              </w:rPr>
              <w:lastRenderedPageBreak/>
              <w:t>European 115,075…” / “NAFLD European 377,998…”</w:t>
            </w:r>
          </w:p>
        </w:tc>
      </w:tr>
      <w:tr w:rsidR="00D8098C" w:rsidRPr="00B853C6" w14:paraId="04B065C7" w14:textId="72F11B68" w:rsidTr="003D447D">
        <w:tc>
          <w:tcPr>
            <w:tcW w:w="587" w:type="dxa"/>
            <w:shd w:val="clear" w:color="auto" w:fill="EEEEEE"/>
          </w:tcPr>
          <w:p w14:paraId="09448E2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60DD299"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EEEEEE"/>
          </w:tcPr>
          <w:p w14:paraId="7B54F10C"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measurement, quality control and selection of genetic variants</w:t>
            </w:r>
          </w:p>
        </w:tc>
        <w:tc>
          <w:tcPr>
            <w:tcW w:w="720" w:type="dxa"/>
            <w:shd w:val="clear" w:color="auto" w:fill="EEEEEE"/>
          </w:tcPr>
          <w:p w14:paraId="2CDB28F5" w14:textId="33DEEB89" w:rsidR="00D8098C" w:rsidRPr="00A1236D" w:rsidRDefault="000E5345" w:rsidP="00426603">
            <w:pPr>
              <w:spacing w:beforeLines="40" w:before="96" w:afterLines="40" w:after="96" w:line="24" w:lineRule="atLeast"/>
              <w:rPr>
                <w:rFonts w:eastAsia="Times New Roman"/>
                <w:sz w:val="18"/>
                <w:szCs w:val="18"/>
                <w:lang w:val="en-GB" w:eastAsia="zh-CN"/>
              </w:rPr>
            </w:pPr>
            <w:r>
              <w:rPr>
                <w:rFonts w:eastAsia="Times New Roman" w:hint="eastAsia"/>
                <w:sz w:val="18"/>
                <w:szCs w:val="18"/>
                <w:lang w:val="en-GB" w:eastAsia="zh-CN"/>
              </w:rPr>
              <w:t>7-</w:t>
            </w:r>
            <w:r w:rsidR="00543D46">
              <w:rPr>
                <w:rFonts w:eastAsia="Times New Roman" w:hint="eastAsia"/>
                <w:sz w:val="18"/>
                <w:szCs w:val="18"/>
                <w:lang w:val="en-GB" w:eastAsia="zh-CN"/>
              </w:rPr>
              <w:t>8</w:t>
            </w:r>
          </w:p>
        </w:tc>
        <w:tc>
          <w:tcPr>
            <w:tcW w:w="4320" w:type="dxa"/>
            <w:shd w:val="clear" w:color="auto" w:fill="EEEEEE"/>
          </w:tcPr>
          <w:p w14:paraId="26B556E6" w14:textId="4F76B128" w:rsidR="00D8098C" w:rsidRDefault="000E5345" w:rsidP="0065487F">
            <w:pPr>
              <w:spacing w:beforeLines="40" w:before="96" w:afterLines="40" w:after="96" w:line="24" w:lineRule="atLeast"/>
              <w:jc w:val="both"/>
              <w:rPr>
                <w:rFonts w:eastAsia="Times New Roman"/>
                <w:sz w:val="18"/>
                <w:szCs w:val="18"/>
                <w:lang w:val="en-GB" w:eastAsia="en-GB"/>
              </w:rPr>
            </w:pPr>
            <w:r w:rsidRPr="000E5345">
              <w:rPr>
                <w:rFonts w:eastAsia="Times New Roman"/>
                <w:sz w:val="18"/>
                <w:szCs w:val="18"/>
                <w:lang w:val="en-GB" w:eastAsia="en-GB"/>
              </w:rPr>
              <w:t>“Single nucleotide polymorphisms associated with each ketone body at the genome-wide significance threshold of P &lt; 5 × 10</w:t>
            </w:r>
            <w:r w:rsidRPr="000E5345">
              <w:rPr>
                <w:rFonts w:ascii="Cambria Math" w:eastAsia="Times New Roman" w:hAnsi="Cambria Math" w:cs="Cambria Math"/>
                <w:sz w:val="18"/>
                <w:szCs w:val="18"/>
                <w:lang w:val="en-GB" w:eastAsia="en-GB"/>
              </w:rPr>
              <w:t>⁻</w:t>
            </w:r>
            <w:r w:rsidRPr="000E5345">
              <w:rPr>
                <w:rFonts w:eastAsia="Times New Roman"/>
                <w:sz w:val="18"/>
                <w:szCs w:val="18"/>
                <w:lang w:val="en-GB" w:eastAsia="en-GB"/>
              </w:rPr>
              <w:t>⁸ were selected as candidate instrumental variables.” / “To ensure independence among instruments, linkage disequilibrium clumping was performed using a threshold of r² &lt; 0.001 within a 10 Mb window.” / “The strength of each instrument was evaluated using the F-statistic, and SNPs with F-statistics greater than 10 were retained to reduce potential weak instrument bias.”</w:t>
            </w:r>
          </w:p>
        </w:tc>
      </w:tr>
      <w:tr w:rsidR="00D8098C" w:rsidRPr="00B853C6" w14:paraId="215DDE8E" w14:textId="5C8C984B" w:rsidTr="003D447D">
        <w:tc>
          <w:tcPr>
            <w:tcW w:w="587" w:type="dxa"/>
          </w:tcPr>
          <w:p w14:paraId="7E3D460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tcPr>
          <w:p w14:paraId="0FB55ADC"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tcPr>
          <w:p w14:paraId="3B6B6065" w14:textId="77777777" w:rsidR="00D8098C" w:rsidRPr="00A1236D" w:rsidRDefault="00D8098C" w:rsidP="00426603">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For each exposure, outcome, and other relevant variables, describe methods of assessment and diagnostic criteria for diseases</w:t>
            </w:r>
          </w:p>
        </w:tc>
        <w:tc>
          <w:tcPr>
            <w:tcW w:w="720" w:type="dxa"/>
          </w:tcPr>
          <w:p w14:paraId="37FB656C" w14:textId="172E3E91" w:rsidR="00D8098C" w:rsidRPr="00A1236D" w:rsidRDefault="000E5345" w:rsidP="00426603">
            <w:pPr>
              <w:spacing w:beforeLines="40" w:before="96" w:afterLines="40" w:after="96" w:line="24" w:lineRule="atLeast"/>
              <w:textAlignment w:val="baseline"/>
              <w:rPr>
                <w:rFonts w:eastAsia="Times New Roman"/>
                <w:sz w:val="18"/>
                <w:szCs w:val="18"/>
                <w:shd w:val="clear" w:color="auto" w:fill="FFFFFF"/>
                <w:lang w:val="en-GB" w:eastAsia="zh-CN"/>
              </w:rPr>
            </w:pPr>
            <w:r>
              <w:rPr>
                <w:rFonts w:eastAsia="Times New Roman" w:hint="eastAsia"/>
                <w:sz w:val="18"/>
                <w:szCs w:val="18"/>
                <w:shd w:val="clear" w:color="auto" w:fill="FFFFFF"/>
                <w:lang w:val="en-GB" w:eastAsia="zh-CN"/>
              </w:rPr>
              <w:t>6-</w:t>
            </w:r>
            <w:r w:rsidR="00DE64BE">
              <w:rPr>
                <w:rFonts w:eastAsia="Times New Roman" w:hint="eastAsia"/>
                <w:sz w:val="18"/>
                <w:szCs w:val="18"/>
                <w:shd w:val="clear" w:color="auto" w:fill="FFFFFF"/>
                <w:lang w:val="en-GB" w:eastAsia="zh-CN"/>
              </w:rPr>
              <w:t>7</w:t>
            </w:r>
          </w:p>
        </w:tc>
        <w:tc>
          <w:tcPr>
            <w:tcW w:w="4320" w:type="dxa"/>
          </w:tcPr>
          <w:p w14:paraId="18BB4B57" w14:textId="21118586" w:rsidR="00D8098C" w:rsidRPr="000E5345" w:rsidRDefault="000E5345" w:rsidP="000E5345">
            <w:pPr>
              <w:spacing w:beforeLines="40" w:before="96" w:afterLines="40" w:after="96" w:line="24" w:lineRule="atLeast"/>
              <w:jc w:val="both"/>
              <w:rPr>
                <w:rFonts w:eastAsia="Times New Roman"/>
                <w:sz w:val="18"/>
                <w:szCs w:val="18"/>
                <w:lang w:val="en-GB" w:eastAsia="en-GB"/>
              </w:rPr>
            </w:pPr>
            <w:r w:rsidRPr="000E5345">
              <w:rPr>
                <w:rFonts w:eastAsia="Times New Roman"/>
                <w:sz w:val="18"/>
                <w:szCs w:val="18"/>
                <w:lang w:val="en-GB" w:eastAsia="en-GB"/>
              </w:rPr>
              <w:t xml:space="preserve">“Three ketone bodies, including 3-hydroxybutyrate, acetoacetate, and acetone, were considered as exposures, and NAFLD was considered as the outcome.” / “GWAS summary statistics for non-alcoholic fatty liver disease (NAFLD) were also obtained from the IEU </w:t>
            </w:r>
            <w:proofErr w:type="spellStart"/>
            <w:r w:rsidRPr="000E5345">
              <w:rPr>
                <w:rFonts w:eastAsia="Times New Roman"/>
                <w:sz w:val="18"/>
                <w:szCs w:val="18"/>
                <w:lang w:val="en-GB" w:eastAsia="en-GB"/>
              </w:rPr>
              <w:t>OpenGWAS</w:t>
            </w:r>
            <w:proofErr w:type="spellEnd"/>
            <w:r w:rsidRPr="000E5345">
              <w:rPr>
                <w:rFonts w:eastAsia="Times New Roman"/>
                <w:sz w:val="18"/>
                <w:szCs w:val="18"/>
                <w:lang w:val="en-GB" w:eastAsia="en-GB"/>
              </w:rPr>
              <w:t xml:space="preserve"> database…”</w:t>
            </w:r>
          </w:p>
        </w:tc>
      </w:tr>
      <w:tr w:rsidR="00D8098C" w:rsidRPr="00B853C6" w14:paraId="69A6C8B1" w14:textId="39D94CE4" w:rsidTr="003D447D">
        <w:tc>
          <w:tcPr>
            <w:tcW w:w="587" w:type="dxa"/>
            <w:shd w:val="clear" w:color="auto" w:fill="EEEEEE"/>
          </w:tcPr>
          <w:p w14:paraId="292FBB97"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73C46B4"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7041" w:type="dxa"/>
            <w:shd w:val="clear" w:color="auto" w:fill="EEEEEE"/>
          </w:tcPr>
          <w:p w14:paraId="4E713FBB" w14:textId="77777777" w:rsidR="00D8098C" w:rsidRPr="00A1236D" w:rsidRDefault="00D8098C" w:rsidP="00426603">
            <w:pPr>
              <w:spacing w:beforeLines="40" w:before="96" w:afterLines="40" w:after="96" w:line="24" w:lineRule="atLeast"/>
              <w:textAlignment w:val="baseline"/>
              <w:rPr>
                <w:rFonts w:eastAsia="Cambria"/>
                <w:sz w:val="18"/>
                <w:szCs w:val="18"/>
                <w:lang w:val="en-GB" w:eastAsia="en-US"/>
              </w:rPr>
            </w:pPr>
            <w:r w:rsidRPr="0065487F">
              <w:rPr>
                <w:rFonts w:eastAsia="Times New Roman"/>
                <w:sz w:val="18"/>
                <w:szCs w:val="18"/>
                <w:lang w:val="en-GB" w:eastAsia="en-GB"/>
              </w:rPr>
              <w:t>Provide details of ethics committee approval and participant informed consent, if relevant</w:t>
            </w:r>
          </w:p>
        </w:tc>
        <w:tc>
          <w:tcPr>
            <w:tcW w:w="720" w:type="dxa"/>
            <w:shd w:val="clear" w:color="auto" w:fill="EEEEEE"/>
          </w:tcPr>
          <w:p w14:paraId="2754FA07" w14:textId="79F51E65" w:rsidR="00D8098C" w:rsidRPr="000E5345" w:rsidRDefault="00DE64BE" w:rsidP="00426603">
            <w:pPr>
              <w:spacing w:beforeLines="40" w:before="96" w:afterLines="40" w:after="96" w:line="24" w:lineRule="atLeast"/>
              <w:textAlignment w:val="baseline"/>
              <w:rPr>
                <w:rFonts w:ascii="宋体" w:eastAsia="宋体" w:hAnsi="宋体" w:cs="宋体"/>
                <w:sz w:val="18"/>
                <w:szCs w:val="18"/>
                <w:shd w:val="clear" w:color="auto" w:fill="FFFFFF"/>
                <w:lang w:val="en-GB" w:eastAsia="zh-CN"/>
              </w:rPr>
            </w:pPr>
            <w:r w:rsidRPr="00DE64BE">
              <w:rPr>
                <w:rFonts w:eastAsia="Times New Roman" w:hint="eastAsia"/>
                <w:sz w:val="18"/>
                <w:szCs w:val="18"/>
                <w:lang w:val="en-GB" w:eastAsia="zh-CN"/>
              </w:rPr>
              <w:t>7</w:t>
            </w:r>
            <w:r w:rsidR="000E5345">
              <w:rPr>
                <w:rFonts w:ascii="宋体" w:eastAsia="宋体" w:hAnsi="宋体" w:cs="宋体" w:hint="eastAsia"/>
                <w:sz w:val="18"/>
                <w:szCs w:val="18"/>
                <w:lang w:val="en-GB" w:eastAsia="zh-CN"/>
              </w:rPr>
              <w:t>，</w:t>
            </w:r>
            <w:r w:rsidR="000E5345" w:rsidRPr="000E5345">
              <w:rPr>
                <w:rFonts w:eastAsia="Times New Roman" w:hint="eastAsia"/>
                <w:sz w:val="18"/>
                <w:szCs w:val="18"/>
                <w:lang w:val="en-GB" w:eastAsia="zh-CN"/>
              </w:rPr>
              <w:t>20</w:t>
            </w:r>
          </w:p>
        </w:tc>
        <w:tc>
          <w:tcPr>
            <w:tcW w:w="4320" w:type="dxa"/>
            <w:shd w:val="clear" w:color="auto" w:fill="EEEEEE"/>
          </w:tcPr>
          <w:p w14:paraId="6067A95B" w14:textId="089FF69A" w:rsidR="00D8098C" w:rsidRPr="000E5345" w:rsidRDefault="000E5345" w:rsidP="000E5345">
            <w:pPr>
              <w:spacing w:beforeLines="40" w:before="96" w:afterLines="40" w:after="96" w:line="24" w:lineRule="atLeast"/>
              <w:jc w:val="both"/>
              <w:rPr>
                <w:rFonts w:eastAsia="Times New Roman"/>
                <w:sz w:val="18"/>
                <w:szCs w:val="18"/>
                <w:lang w:val="en-GB" w:eastAsia="en-GB"/>
              </w:rPr>
            </w:pPr>
            <w:r w:rsidRPr="000E5345">
              <w:rPr>
                <w:rFonts w:eastAsia="Times New Roman"/>
                <w:sz w:val="18"/>
                <w:szCs w:val="18"/>
                <w:lang w:val="en-GB" w:eastAsia="en-GB"/>
              </w:rPr>
              <w:t>“As all GWAS data used in this study were publicly available and had received prior approval from the relevant ethics review committees in the original studies, no additional ethical approval was required for the present analysis.” / “Ethics approval and consent to participate: Not applicable.”</w:t>
            </w:r>
          </w:p>
        </w:tc>
      </w:tr>
      <w:tr w:rsidR="00D8098C" w:rsidRPr="00B853C6" w14:paraId="23EA53EC" w14:textId="1D3E4E77" w:rsidTr="003D447D">
        <w:tc>
          <w:tcPr>
            <w:tcW w:w="587" w:type="dxa"/>
          </w:tcPr>
          <w:p w14:paraId="3E6E0D63"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5</w:t>
            </w:r>
          </w:p>
        </w:tc>
        <w:tc>
          <w:tcPr>
            <w:tcW w:w="1822" w:type="dxa"/>
          </w:tcPr>
          <w:p w14:paraId="1F0455B3"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Assumptions</w:t>
            </w:r>
          </w:p>
          <w:p w14:paraId="0458797D" w14:textId="77777777" w:rsidR="00D8098C" w:rsidRPr="00F0337F" w:rsidRDefault="00D8098C" w:rsidP="00426603">
            <w:pPr>
              <w:spacing w:beforeLines="40" w:before="96" w:afterLines="40" w:after="96" w:line="24" w:lineRule="atLeast"/>
              <w:jc w:val="center"/>
              <w:rPr>
                <w:rFonts w:eastAsia="Cambria"/>
                <w:sz w:val="18"/>
                <w:szCs w:val="18"/>
                <w:lang w:val="en-GB" w:eastAsia="en-US"/>
              </w:rPr>
            </w:pPr>
          </w:p>
        </w:tc>
        <w:tc>
          <w:tcPr>
            <w:tcW w:w="7041" w:type="dxa"/>
          </w:tcPr>
          <w:p w14:paraId="5139727F"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Explicitly state the three core IV assumptions for the main analysis (relevance, independence and exclusion restriction) as well assumptions for any additional or sensitivity analysis</w:t>
            </w:r>
          </w:p>
        </w:tc>
        <w:tc>
          <w:tcPr>
            <w:tcW w:w="720" w:type="dxa"/>
          </w:tcPr>
          <w:p w14:paraId="6A2AE76D" w14:textId="3AC17BFC" w:rsidR="00D8098C" w:rsidRPr="00A1236D" w:rsidRDefault="004A7821"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6</w:t>
            </w:r>
          </w:p>
        </w:tc>
        <w:tc>
          <w:tcPr>
            <w:tcW w:w="4320" w:type="dxa"/>
          </w:tcPr>
          <w:p w14:paraId="7A54DE1B" w14:textId="2E7AC8A4" w:rsidR="00D8098C" w:rsidRDefault="0089390A" w:rsidP="0089390A">
            <w:pPr>
              <w:spacing w:beforeLines="40" w:before="96" w:afterLines="40" w:after="96" w:line="24" w:lineRule="atLeast"/>
              <w:jc w:val="both"/>
              <w:rPr>
                <w:rFonts w:eastAsia="Times New Roman"/>
                <w:sz w:val="18"/>
                <w:szCs w:val="18"/>
                <w:lang w:val="en-GB" w:eastAsia="en-GB"/>
              </w:rPr>
            </w:pPr>
            <w:r w:rsidRPr="0089390A">
              <w:rPr>
                <w:rFonts w:eastAsia="Times New Roman"/>
                <w:sz w:val="18"/>
                <w:szCs w:val="18"/>
                <w:lang w:val="en-GB" w:eastAsia="en-GB"/>
              </w:rPr>
              <w:t>“The validity of MR relies on three core assumptions. First, the selected genetic instruments must be strongly associated with the exposure. Second, the genetic instruments should not be associated with potential confounders… Third, the genetic instruments should influence the outcome only through the exposure…”</w:t>
            </w:r>
          </w:p>
        </w:tc>
      </w:tr>
      <w:tr w:rsidR="00D8098C" w:rsidRPr="00B853C6" w14:paraId="6209F8C8" w14:textId="78A53B40" w:rsidTr="003D447D">
        <w:tc>
          <w:tcPr>
            <w:tcW w:w="587" w:type="dxa"/>
            <w:shd w:val="clear" w:color="auto" w:fill="EEEEEE"/>
          </w:tcPr>
          <w:p w14:paraId="6FA239C8"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6</w:t>
            </w:r>
          </w:p>
        </w:tc>
        <w:tc>
          <w:tcPr>
            <w:tcW w:w="1822" w:type="dxa"/>
            <w:shd w:val="clear" w:color="auto" w:fill="EEEEEE"/>
          </w:tcPr>
          <w:p w14:paraId="3D8F9E93"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Statistical methods: main analysis</w:t>
            </w:r>
          </w:p>
        </w:tc>
        <w:tc>
          <w:tcPr>
            <w:tcW w:w="7041" w:type="dxa"/>
            <w:shd w:val="clear" w:color="auto" w:fill="EEEEEE"/>
          </w:tcPr>
          <w:p w14:paraId="49C33D0D"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statistical methods and statistics used</w:t>
            </w:r>
          </w:p>
        </w:tc>
        <w:tc>
          <w:tcPr>
            <w:tcW w:w="720" w:type="dxa"/>
            <w:shd w:val="clear" w:color="auto" w:fill="EEEEEE"/>
          </w:tcPr>
          <w:p w14:paraId="0D1191BA"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shd w:val="clear" w:color="auto" w:fill="EEEEEE"/>
          </w:tcPr>
          <w:p w14:paraId="75DF0C4B"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4346E621" w14:textId="11B8B572" w:rsidTr="003D447D">
        <w:tc>
          <w:tcPr>
            <w:tcW w:w="587" w:type="dxa"/>
          </w:tcPr>
          <w:p w14:paraId="339A016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tcPr>
          <w:p w14:paraId="3635743C"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tcPr>
          <w:p w14:paraId="3BB90022"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how quantitative variables were handled in the analyses (i.e., scale, units, model)</w:t>
            </w:r>
          </w:p>
        </w:tc>
        <w:tc>
          <w:tcPr>
            <w:tcW w:w="720" w:type="dxa"/>
          </w:tcPr>
          <w:p w14:paraId="22720A53" w14:textId="3CCFD7F2" w:rsidR="00D8098C" w:rsidRPr="00A1236D" w:rsidRDefault="000E5345" w:rsidP="00426603">
            <w:pPr>
              <w:spacing w:beforeLines="40" w:before="96" w:afterLines="40" w:after="96" w:line="24" w:lineRule="atLeast"/>
              <w:rPr>
                <w:rFonts w:eastAsia="Times New Roman" w:hint="eastAsia"/>
                <w:sz w:val="18"/>
                <w:szCs w:val="18"/>
                <w:lang w:val="en-GB" w:eastAsia="zh-CN"/>
              </w:rPr>
            </w:pPr>
            <w:r>
              <w:rPr>
                <w:rFonts w:eastAsia="Times New Roman" w:hint="eastAsia"/>
                <w:sz w:val="18"/>
                <w:szCs w:val="18"/>
                <w:lang w:val="en-GB" w:eastAsia="zh-CN"/>
              </w:rPr>
              <w:t>10-14</w:t>
            </w:r>
          </w:p>
        </w:tc>
        <w:tc>
          <w:tcPr>
            <w:tcW w:w="4320" w:type="dxa"/>
          </w:tcPr>
          <w:p w14:paraId="76159846" w14:textId="4111C4C3" w:rsidR="00D8098C" w:rsidRPr="000E5345" w:rsidRDefault="000E5345" w:rsidP="0065487F">
            <w:pPr>
              <w:spacing w:beforeLines="40" w:before="96" w:afterLines="40" w:after="96" w:line="24" w:lineRule="atLeast"/>
              <w:jc w:val="both"/>
              <w:rPr>
                <w:rFonts w:eastAsia="Times New Roman"/>
                <w:sz w:val="18"/>
                <w:szCs w:val="18"/>
                <w:lang w:val="en-GB" w:eastAsia="en-GB"/>
              </w:rPr>
            </w:pPr>
            <w:r w:rsidRPr="000E5345">
              <w:rPr>
                <w:rFonts w:eastAsia="Times New Roman"/>
                <w:sz w:val="18"/>
                <w:szCs w:val="18"/>
                <w:lang w:val="en-GB" w:eastAsia="en-GB"/>
              </w:rPr>
              <w:t>“The primary IVW analysis showed an OR of 0.448, with a 95% CI of 0.249–0.805 and a P value of 0.007.” / “For acetoacetate, the IVW estimate was OR = 0.677, 95% CI 0.311–1.475, P = 0.326.” / “For acetone, the IVW estimate was OR = 0.839, 95% CI 0.554–1.271, P = 0.408.”</w:t>
            </w:r>
          </w:p>
        </w:tc>
      </w:tr>
      <w:tr w:rsidR="00D8098C" w:rsidRPr="00B853C6" w14:paraId="642A4D4B" w14:textId="4880F3BA" w:rsidTr="003D447D">
        <w:tc>
          <w:tcPr>
            <w:tcW w:w="587" w:type="dxa"/>
            <w:shd w:val="clear" w:color="auto" w:fill="EEEEEE"/>
          </w:tcPr>
          <w:p w14:paraId="11F7484C"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569D49F3"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6B2ACDE9" w14:textId="77777777" w:rsidR="00D8098C" w:rsidRPr="0065487F" w:rsidRDefault="00D8098C" w:rsidP="00426603">
            <w:pPr>
              <w:spacing w:beforeLines="40" w:before="96" w:afterLines="40" w:after="96" w:line="24" w:lineRule="atLeast"/>
              <w:rPr>
                <w:rFonts w:eastAsia="Cambria"/>
                <w:sz w:val="18"/>
                <w:szCs w:val="18"/>
                <w:lang w:val="en-US" w:eastAsia="zh-CN"/>
              </w:rPr>
            </w:pPr>
            <w:r w:rsidRPr="00A1236D">
              <w:rPr>
                <w:rFonts w:eastAsia="Times New Roman"/>
                <w:sz w:val="18"/>
                <w:szCs w:val="18"/>
                <w:lang w:val="en-GB" w:eastAsia="en-GB"/>
              </w:rPr>
              <w:t>Describe how genetic variants were handled in the analyses and, if applicable, how their weights were selected</w:t>
            </w:r>
          </w:p>
        </w:tc>
        <w:tc>
          <w:tcPr>
            <w:tcW w:w="720" w:type="dxa"/>
            <w:shd w:val="clear" w:color="auto" w:fill="EEEEEE"/>
          </w:tcPr>
          <w:p w14:paraId="0DAE64B0" w14:textId="47EA6163" w:rsidR="00D8098C" w:rsidRPr="00A1236D" w:rsidRDefault="000E5345" w:rsidP="00426603">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zh-CN"/>
              </w:rPr>
              <w:t>7-</w:t>
            </w:r>
            <w:r w:rsidR="00CB3EC5">
              <w:rPr>
                <w:rFonts w:eastAsia="Times New Roman"/>
                <w:sz w:val="18"/>
                <w:szCs w:val="18"/>
                <w:lang w:val="en-GB" w:eastAsia="en-GB"/>
              </w:rPr>
              <w:t>8</w:t>
            </w:r>
          </w:p>
        </w:tc>
        <w:tc>
          <w:tcPr>
            <w:tcW w:w="4320" w:type="dxa"/>
            <w:shd w:val="clear" w:color="auto" w:fill="EEEEEE"/>
          </w:tcPr>
          <w:p w14:paraId="1612F89F" w14:textId="17210B97" w:rsidR="00D8098C" w:rsidRDefault="000E5345" w:rsidP="0065487F">
            <w:pPr>
              <w:spacing w:beforeLines="40" w:before="96" w:afterLines="40" w:after="96" w:line="24" w:lineRule="atLeast"/>
              <w:jc w:val="both"/>
              <w:rPr>
                <w:rFonts w:eastAsia="Times New Roman"/>
                <w:sz w:val="18"/>
                <w:szCs w:val="18"/>
                <w:lang w:val="en-GB" w:eastAsia="en-GB"/>
              </w:rPr>
            </w:pPr>
            <w:r w:rsidRPr="000E5345">
              <w:rPr>
                <w:rFonts w:eastAsia="Times New Roman"/>
                <w:sz w:val="18"/>
                <w:szCs w:val="18"/>
                <w:lang w:val="en-GB" w:eastAsia="en-GB"/>
              </w:rPr>
              <w:t>“Exposure and outcome datasets were harmonized to ensure that the effect alleles were aligned.” / “Palindromic SNPs with ambiguous allele frequencies and SNPs unavailable in the outcome dataset were excluded.” / “MR-PRESSO was used to identify potential outlier variants.”</w:t>
            </w:r>
          </w:p>
        </w:tc>
      </w:tr>
      <w:tr w:rsidR="00D8098C" w:rsidRPr="00B853C6" w14:paraId="70378831" w14:textId="0868B0A4" w:rsidTr="003D447D">
        <w:tc>
          <w:tcPr>
            <w:tcW w:w="587" w:type="dxa"/>
          </w:tcPr>
          <w:p w14:paraId="45E4149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tcPr>
          <w:p w14:paraId="59F665E7"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tcPr>
          <w:p w14:paraId="5CB03D96"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the MR estimator (e.g. two-stage least squares, Wald ratio) and related statistics. Detail the included covariates and, in case of two-sample MR, whether the same covariate set was used for adjustment in the two samples</w:t>
            </w:r>
          </w:p>
        </w:tc>
        <w:tc>
          <w:tcPr>
            <w:tcW w:w="720" w:type="dxa"/>
          </w:tcPr>
          <w:p w14:paraId="7B7E7C35" w14:textId="1F179758" w:rsidR="00D8098C" w:rsidRPr="00A1236D" w:rsidRDefault="00CB3EC5" w:rsidP="00426603">
            <w:pPr>
              <w:spacing w:beforeLines="40" w:before="96" w:afterLines="40" w:after="96" w:line="24" w:lineRule="atLeast"/>
              <w:rPr>
                <w:rFonts w:eastAsia="Times New Roman" w:hint="eastAsia"/>
                <w:sz w:val="18"/>
                <w:szCs w:val="18"/>
                <w:lang w:val="en-GB" w:eastAsia="zh-CN"/>
              </w:rPr>
            </w:pPr>
            <w:r>
              <w:rPr>
                <w:rFonts w:eastAsia="Times New Roman"/>
                <w:sz w:val="18"/>
                <w:szCs w:val="18"/>
                <w:lang w:val="en-GB" w:eastAsia="en-GB"/>
              </w:rPr>
              <w:t>9</w:t>
            </w:r>
            <w:r w:rsidR="000E5345">
              <w:rPr>
                <w:rFonts w:eastAsia="Times New Roman" w:hint="eastAsia"/>
                <w:sz w:val="18"/>
                <w:szCs w:val="18"/>
                <w:lang w:val="en-GB" w:eastAsia="zh-CN"/>
              </w:rPr>
              <w:t>-10</w:t>
            </w:r>
          </w:p>
        </w:tc>
        <w:tc>
          <w:tcPr>
            <w:tcW w:w="4320" w:type="dxa"/>
          </w:tcPr>
          <w:p w14:paraId="334D44EB" w14:textId="53A6426D" w:rsidR="00D8098C" w:rsidRPr="00901B1C" w:rsidRDefault="000E5345" w:rsidP="000E5345">
            <w:pPr>
              <w:spacing w:beforeLines="40" w:before="96" w:afterLines="40" w:after="96" w:line="24" w:lineRule="atLeast"/>
              <w:jc w:val="both"/>
              <w:rPr>
                <w:rFonts w:eastAsia="Times New Roman"/>
                <w:sz w:val="18"/>
                <w:szCs w:val="18"/>
                <w:lang w:val="en-GB" w:eastAsia="en-GB"/>
              </w:rPr>
            </w:pPr>
            <w:r w:rsidRPr="000E5345">
              <w:rPr>
                <w:rFonts w:eastAsia="Times New Roman"/>
                <w:sz w:val="18"/>
                <w:szCs w:val="18"/>
                <w:lang w:val="en-GB" w:eastAsia="en-GB"/>
              </w:rPr>
              <w:t>“Five different MR analysis methods—Mendelian randomization-Egger regression (MR-Egger), inverse variance weighted (IVW), weighted median, simple mode, and weighted mode—were employed…” / “Multivariable Mendelian randomization (MVMR) analysis, including acetoacetate or acetone as potential risks, was performed to examine the causal relationship between 3-hydroxybutyrate and NAFLD.”</w:t>
            </w:r>
          </w:p>
        </w:tc>
      </w:tr>
      <w:tr w:rsidR="00D8098C" w:rsidRPr="00B853C6" w14:paraId="0D8F3A7E" w14:textId="14623463" w:rsidTr="003D447D">
        <w:tc>
          <w:tcPr>
            <w:tcW w:w="587" w:type="dxa"/>
            <w:shd w:val="clear" w:color="auto" w:fill="EEEEEE"/>
          </w:tcPr>
          <w:p w14:paraId="1D70C4C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0A3AAFD6"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EEEEEE"/>
          </w:tcPr>
          <w:p w14:paraId="08786389"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Explain how missing data were addressed</w:t>
            </w:r>
          </w:p>
        </w:tc>
        <w:tc>
          <w:tcPr>
            <w:tcW w:w="720" w:type="dxa"/>
            <w:shd w:val="clear" w:color="auto" w:fill="EEEEEE"/>
          </w:tcPr>
          <w:p w14:paraId="297C3632" w14:textId="1488EA2F" w:rsidR="00D8098C" w:rsidRPr="00A1236D" w:rsidRDefault="00CB3EC5"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8</w:t>
            </w:r>
          </w:p>
        </w:tc>
        <w:tc>
          <w:tcPr>
            <w:tcW w:w="4320" w:type="dxa"/>
            <w:shd w:val="clear" w:color="auto" w:fill="EEEEEE"/>
          </w:tcPr>
          <w:p w14:paraId="16808665" w14:textId="7A71D413" w:rsidR="00D8098C" w:rsidRDefault="000E5345" w:rsidP="005C3994">
            <w:pPr>
              <w:spacing w:beforeLines="40" w:before="96" w:afterLines="40" w:after="96" w:line="24" w:lineRule="atLeast"/>
              <w:jc w:val="both"/>
              <w:rPr>
                <w:rFonts w:eastAsia="Times New Roman"/>
                <w:sz w:val="18"/>
                <w:szCs w:val="18"/>
                <w:lang w:val="en-GB" w:eastAsia="en-GB"/>
              </w:rPr>
            </w:pPr>
            <w:r w:rsidRPr="000E5345">
              <w:rPr>
                <w:rFonts w:eastAsia="Times New Roman"/>
                <w:sz w:val="18"/>
                <w:szCs w:val="18"/>
                <w:lang w:val="en-GB" w:eastAsia="en-GB"/>
              </w:rPr>
              <w:t>“Palindromic SNPs with ambiguous allele frequencies and SNPs unavailable in the outcome dataset were excluded.”</w:t>
            </w:r>
          </w:p>
        </w:tc>
      </w:tr>
      <w:tr w:rsidR="00D8098C" w:rsidRPr="00B853C6" w14:paraId="77F037B8" w14:textId="6696FA54" w:rsidTr="003D447D">
        <w:tc>
          <w:tcPr>
            <w:tcW w:w="587" w:type="dxa"/>
          </w:tcPr>
          <w:p w14:paraId="4AC39E5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tcPr>
          <w:p w14:paraId="4D9E0350"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7041" w:type="dxa"/>
          </w:tcPr>
          <w:p w14:paraId="41F1E523"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applicable, indicate how multiple testing was addressed</w:t>
            </w:r>
          </w:p>
        </w:tc>
        <w:tc>
          <w:tcPr>
            <w:tcW w:w="720" w:type="dxa"/>
          </w:tcPr>
          <w:p w14:paraId="6B5C4982" w14:textId="7E0369A9" w:rsidR="00D8098C" w:rsidRPr="00A1236D" w:rsidRDefault="000E5345" w:rsidP="00426603">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zh-CN"/>
              </w:rPr>
              <w:t>NA</w:t>
            </w:r>
          </w:p>
        </w:tc>
        <w:tc>
          <w:tcPr>
            <w:tcW w:w="4320" w:type="dxa"/>
          </w:tcPr>
          <w:p w14:paraId="490E44D4" w14:textId="68B57682" w:rsidR="00D8098C" w:rsidRDefault="000E5345" w:rsidP="00AA0EF3">
            <w:pPr>
              <w:spacing w:beforeLines="40" w:before="96" w:afterLines="40" w:after="96" w:line="24" w:lineRule="atLeast"/>
              <w:rPr>
                <w:rFonts w:eastAsia="Times New Roman"/>
                <w:sz w:val="18"/>
                <w:szCs w:val="18"/>
                <w:lang w:val="en-GB" w:eastAsia="zh-CN"/>
              </w:rPr>
            </w:pPr>
            <w:r>
              <w:rPr>
                <w:rFonts w:eastAsia="Times New Roman" w:hint="eastAsia"/>
                <w:sz w:val="18"/>
                <w:szCs w:val="18"/>
                <w:lang w:val="en-GB" w:eastAsia="zh-CN"/>
              </w:rPr>
              <w:t>NA</w:t>
            </w:r>
          </w:p>
        </w:tc>
      </w:tr>
      <w:tr w:rsidR="00D8098C" w:rsidRPr="00B853C6" w14:paraId="585043CE" w14:textId="4922F612" w:rsidTr="003D447D">
        <w:tc>
          <w:tcPr>
            <w:tcW w:w="587" w:type="dxa"/>
            <w:shd w:val="clear" w:color="auto" w:fill="EEEEEE"/>
          </w:tcPr>
          <w:p w14:paraId="55967D09"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7</w:t>
            </w:r>
          </w:p>
        </w:tc>
        <w:tc>
          <w:tcPr>
            <w:tcW w:w="1822" w:type="dxa"/>
            <w:shd w:val="clear" w:color="auto" w:fill="EEEEEE"/>
          </w:tcPr>
          <w:p w14:paraId="0947B164"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Assessment of assumptions</w:t>
            </w:r>
          </w:p>
        </w:tc>
        <w:tc>
          <w:tcPr>
            <w:tcW w:w="7041" w:type="dxa"/>
            <w:shd w:val="clear" w:color="auto" w:fill="EEEEEE"/>
          </w:tcPr>
          <w:p w14:paraId="1E6D0B1E" w14:textId="14CD3C8F" w:rsidR="00D8098C" w:rsidRPr="00A1236D" w:rsidRDefault="00D8098C" w:rsidP="00901B1C">
            <w:pPr>
              <w:tabs>
                <w:tab w:val="left" w:pos="1620"/>
              </w:tabs>
              <w:spacing w:beforeLines="40" w:before="96" w:afterLines="40" w:after="96" w:line="24" w:lineRule="atLeast"/>
              <w:rPr>
                <w:rFonts w:eastAsia="Cambria"/>
                <w:sz w:val="18"/>
                <w:szCs w:val="18"/>
                <w:lang w:val="en-GB" w:eastAsia="zh-CN"/>
              </w:rPr>
            </w:pPr>
            <w:r w:rsidRPr="00A1236D">
              <w:rPr>
                <w:rFonts w:eastAsia="Times New Roman"/>
                <w:sz w:val="18"/>
                <w:szCs w:val="18"/>
                <w:lang w:val="en-GB" w:eastAsia="en-GB"/>
              </w:rPr>
              <w:t>Describe any methods or prior knowledge used to assess the assumptions or justify their validity</w:t>
            </w:r>
          </w:p>
        </w:tc>
        <w:tc>
          <w:tcPr>
            <w:tcW w:w="720" w:type="dxa"/>
            <w:shd w:val="clear" w:color="auto" w:fill="EEEEEE"/>
          </w:tcPr>
          <w:p w14:paraId="23242B75" w14:textId="1FD6D7BB" w:rsidR="00D8098C" w:rsidRPr="00693AF4" w:rsidRDefault="000B3303" w:rsidP="00426603">
            <w:pPr>
              <w:tabs>
                <w:tab w:val="left" w:pos="1620"/>
              </w:tabs>
              <w:spacing w:beforeLines="40" w:before="96" w:afterLines="40" w:after="96" w:line="24" w:lineRule="atLeast"/>
              <w:rPr>
                <w:rFonts w:ascii="宋体" w:eastAsia="宋体" w:hAnsi="宋体" w:cs="宋体" w:hint="eastAsia"/>
                <w:sz w:val="18"/>
                <w:szCs w:val="18"/>
                <w:lang w:val="en-GB" w:eastAsia="zh-CN"/>
              </w:rPr>
            </w:pPr>
            <w:r>
              <w:rPr>
                <w:rFonts w:eastAsia="Times New Roman"/>
                <w:sz w:val="18"/>
                <w:szCs w:val="18"/>
                <w:lang w:val="en-GB" w:eastAsia="en-GB"/>
              </w:rPr>
              <w:t>8</w:t>
            </w:r>
            <w:r w:rsidR="00693AF4">
              <w:rPr>
                <w:rFonts w:eastAsia="Times New Roman" w:hint="eastAsia"/>
                <w:sz w:val="18"/>
                <w:szCs w:val="18"/>
                <w:lang w:val="en-GB" w:eastAsia="zh-CN"/>
              </w:rPr>
              <w:t>-10</w:t>
            </w:r>
          </w:p>
          <w:p w14:paraId="61C50F74" w14:textId="28E08A49" w:rsidR="00693AF4" w:rsidRPr="00693AF4" w:rsidRDefault="00693AF4" w:rsidP="00426603">
            <w:pPr>
              <w:tabs>
                <w:tab w:val="left" w:pos="1620"/>
              </w:tabs>
              <w:spacing w:beforeLines="40" w:before="96" w:afterLines="40" w:after="96" w:line="24" w:lineRule="atLeast"/>
              <w:rPr>
                <w:rFonts w:ascii="宋体" w:eastAsia="宋体" w:hAnsi="宋体" w:cs="宋体" w:hint="eastAsia"/>
                <w:sz w:val="18"/>
                <w:szCs w:val="18"/>
                <w:lang w:val="en-GB" w:eastAsia="zh-CN"/>
              </w:rPr>
            </w:pPr>
            <w:r>
              <w:rPr>
                <w:rFonts w:eastAsia="Times New Roman" w:hint="eastAsia"/>
                <w:sz w:val="18"/>
                <w:szCs w:val="18"/>
                <w:lang w:val="en-GB" w:eastAsia="zh-CN"/>
              </w:rPr>
              <w:t>18</w:t>
            </w:r>
          </w:p>
        </w:tc>
        <w:tc>
          <w:tcPr>
            <w:tcW w:w="4320" w:type="dxa"/>
            <w:shd w:val="clear" w:color="auto" w:fill="EEEEEE"/>
          </w:tcPr>
          <w:p w14:paraId="5D46DB2B" w14:textId="1A99303B" w:rsidR="00D8098C" w:rsidRDefault="00693AF4" w:rsidP="00693AF4">
            <w:pPr>
              <w:spacing w:beforeLines="40" w:before="96" w:afterLines="40" w:after="96" w:line="24" w:lineRule="atLeast"/>
              <w:jc w:val="both"/>
              <w:rPr>
                <w:rFonts w:eastAsia="Times New Roman"/>
                <w:sz w:val="18"/>
                <w:szCs w:val="18"/>
                <w:lang w:val="en-GB" w:eastAsia="en-GB"/>
              </w:rPr>
            </w:pPr>
            <w:r w:rsidRPr="00693AF4">
              <w:rPr>
                <w:rFonts w:eastAsia="Times New Roman"/>
                <w:sz w:val="18"/>
                <w:szCs w:val="18"/>
                <w:lang w:val="en-GB" w:eastAsia="en-GB"/>
              </w:rPr>
              <w:t>“SNPs with F-statistics greater than 10 were retained to reduce potential weak instrument bias.” / “Heterogeneity was assessed using the MR-Egger and IVW methods…” / “The pleiotropy of genetic variants was evaluated using the MR-Egger and MR-PRESSO methods.” / “No signs of heterogeneity or pleiotropy were detected during our analysis and research process.”</w:t>
            </w:r>
          </w:p>
        </w:tc>
      </w:tr>
      <w:tr w:rsidR="00D8098C" w:rsidRPr="00B853C6" w14:paraId="383932D9" w14:textId="2C1AFE56" w:rsidTr="003D447D">
        <w:tc>
          <w:tcPr>
            <w:tcW w:w="587" w:type="dxa"/>
          </w:tcPr>
          <w:p w14:paraId="1A4621BC"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8</w:t>
            </w:r>
          </w:p>
        </w:tc>
        <w:tc>
          <w:tcPr>
            <w:tcW w:w="1822" w:type="dxa"/>
          </w:tcPr>
          <w:p w14:paraId="0F88F25B"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Sensitivity analyses and additional analyses</w:t>
            </w:r>
          </w:p>
        </w:tc>
        <w:tc>
          <w:tcPr>
            <w:tcW w:w="7041" w:type="dxa"/>
          </w:tcPr>
          <w:p w14:paraId="13C6445C"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any sensitivity analyses or additional analyses performed (e.g. comparison of effect estimates from different approaches, independent replication, bias analytic techniques, validation of instruments, simulations)</w:t>
            </w:r>
          </w:p>
        </w:tc>
        <w:tc>
          <w:tcPr>
            <w:tcW w:w="720" w:type="dxa"/>
          </w:tcPr>
          <w:p w14:paraId="664B0779" w14:textId="77777777" w:rsidR="00D8098C" w:rsidRPr="00693AF4" w:rsidRDefault="00693AF4" w:rsidP="00426603">
            <w:pPr>
              <w:spacing w:beforeLines="40" w:before="96" w:afterLines="40" w:after="96" w:line="24" w:lineRule="atLeast"/>
              <w:rPr>
                <w:rFonts w:eastAsia="Times New Roman"/>
                <w:sz w:val="18"/>
                <w:szCs w:val="18"/>
                <w:lang w:val="en-GB" w:eastAsia="zh-CN"/>
              </w:rPr>
            </w:pPr>
            <w:r>
              <w:rPr>
                <w:rFonts w:eastAsia="Times New Roman" w:hint="eastAsia"/>
                <w:sz w:val="18"/>
                <w:szCs w:val="18"/>
                <w:lang w:val="en-GB" w:eastAsia="zh-CN"/>
              </w:rPr>
              <w:t>10</w:t>
            </w:r>
            <w:r w:rsidRPr="00693AF4">
              <w:rPr>
                <w:rFonts w:ascii="微软雅黑" w:eastAsia="微软雅黑" w:hAnsi="微软雅黑" w:cs="微软雅黑" w:hint="eastAsia"/>
                <w:sz w:val="18"/>
                <w:szCs w:val="18"/>
                <w:lang w:val="en-GB" w:eastAsia="zh-CN"/>
              </w:rPr>
              <w:t>，</w:t>
            </w:r>
          </w:p>
          <w:p w14:paraId="4B9B6FF5" w14:textId="3182ABB4" w:rsidR="00693AF4" w:rsidRPr="00693AF4" w:rsidRDefault="00693AF4" w:rsidP="00426603">
            <w:pPr>
              <w:spacing w:beforeLines="40" w:before="96" w:afterLines="40" w:after="96" w:line="24" w:lineRule="atLeast"/>
              <w:rPr>
                <w:rFonts w:eastAsia="Times New Roman" w:hint="eastAsia"/>
                <w:sz w:val="18"/>
                <w:szCs w:val="18"/>
                <w:lang w:val="en-GB" w:eastAsia="zh-CN"/>
              </w:rPr>
            </w:pPr>
            <w:r w:rsidRPr="00693AF4">
              <w:rPr>
                <w:rFonts w:eastAsia="Times New Roman" w:hint="eastAsia"/>
                <w:sz w:val="18"/>
                <w:szCs w:val="18"/>
                <w:lang w:val="en-GB" w:eastAsia="zh-CN"/>
              </w:rPr>
              <w:t>12-13</w:t>
            </w:r>
          </w:p>
        </w:tc>
        <w:tc>
          <w:tcPr>
            <w:tcW w:w="4320" w:type="dxa"/>
          </w:tcPr>
          <w:p w14:paraId="229BFDFD" w14:textId="26BC55FF" w:rsidR="00D8098C" w:rsidRDefault="00693AF4" w:rsidP="007E4C20">
            <w:pPr>
              <w:spacing w:beforeLines="40" w:before="96" w:afterLines="40" w:after="96" w:line="24" w:lineRule="atLeast"/>
              <w:jc w:val="both"/>
              <w:rPr>
                <w:rFonts w:eastAsia="Times New Roman"/>
                <w:sz w:val="18"/>
                <w:szCs w:val="18"/>
                <w:lang w:val="en-GB" w:eastAsia="en-GB"/>
              </w:rPr>
            </w:pPr>
            <w:r w:rsidRPr="00693AF4">
              <w:rPr>
                <w:rFonts w:eastAsia="Times New Roman"/>
                <w:sz w:val="18"/>
                <w:szCs w:val="18"/>
                <w:lang w:val="en-GB" w:eastAsia="en-GB"/>
              </w:rPr>
              <w:t>“Additionally, leave-one-out analysis was conducted to determine whether any single SNP had a disproportionate influence on the outcome.” / “Sensitivity analyses were conducted to evaluate the robustness of the MR findings.” / “Reverse MR analyses were performed to examine whether genetic liability to NAFLD was associated with circulating ketone body levels.”</w:t>
            </w:r>
          </w:p>
        </w:tc>
      </w:tr>
      <w:tr w:rsidR="00D8098C" w:rsidRPr="00B853C6" w14:paraId="55C7A410" w14:textId="0BAB653A" w:rsidTr="003D447D">
        <w:tc>
          <w:tcPr>
            <w:tcW w:w="587" w:type="dxa"/>
            <w:shd w:val="clear" w:color="auto" w:fill="EEEEEE"/>
          </w:tcPr>
          <w:p w14:paraId="056075DE"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9</w:t>
            </w:r>
          </w:p>
        </w:tc>
        <w:tc>
          <w:tcPr>
            <w:tcW w:w="1822" w:type="dxa"/>
            <w:shd w:val="clear" w:color="auto" w:fill="EEEEEE"/>
          </w:tcPr>
          <w:p w14:paraId="6096809E"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Software and pre-registration</w:t>
            </w:r>
          </w:p>
        </w:tc>
        <w:tc>
          <w:tcPr>
            <w:tcW w:w="7041" w:type="dxa"/>
            <w:shd w:val="clear" w:color="auto" w:fill="EEEEEE"/>
          </w:tcPr>
          <w:p w14:paraId="08D1055E"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shd w:val="clear" w:color="auto" w:fill="EEEEEE"/>
          </w:tcPr>
          <w:p w14:paraId="721E714E"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shd w:val="clear" w:color="auto" w:fill="EEEEEE"/>
          </w:tcPr>
          <w:p w14:paraId="495710C0"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5EA9EBD1" w14:textId="4D05FA5B" w:rsidTr="003D447D">
        <w:tc>
          <w:tcPr>
            <w:tcW w:w="587" w:type="dxa"/>
          </w:tcPr>
          <w:p w14:paraId="66EDED80"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tcPr>
          <w:p w14:paraId="50BD32B9"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tcPr>
          <w:p w14:paraId="054FBA47"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Name statistical software and package(s), including version and settings used </w:t>
            </w:r>
          </w:p>
        </w:tc>
        <w:tc>
          <w:tcPr>
            <w:tcW w:w="720" w:type="dxa"/>
          </w:tcPr>
          <w:p w14:paraId="305BB821" w14:textId="3C270468" w:rsidR="00D8098C" w:rsidRPr="00A1236D" w:rsidRDefault="0075634C" w:rsidP="00426603">
            <w:pPr>
              <w:spacing w:beforeLines="40" w:before="96" w:afterLines="40" w:after="96" w:line="24" w:lineRule="atLeast"/>
              <w:rPr>
                <w:rFonts w:eastAsia="Times New Roman"/>
                <w:sz w:val="18"/>
                <w:szCs w:val="18"/>
                <w:lang w:val="en-GB" w:eastAsia="zh-CN"/>
              </w:rPr>
            </w:pPr>
            <w:r>
              <w:rPr>
                <w:rFonts w:eastAsia="Times New Roman" w:hint="eastAsia"/>
                <w:sz w:val="18"/>
                <w:szCs w:val="18"/>
                <w:lang w:val="en-GB" w:eastAsia="zh-CN"/>
              </w:rPr>
              <w:t>9</w:t>
            </w:r>
            <w:r w:rsidR="00693AF4">
              <w:rPr>
                <w:rFonts w:eastAsia="Times New Roman" w:hint="eastAsia"/>
                <w:sz w:val="18"/>
                <w:szCs w:val="18"/>
                <w:lang w:val="en-GB" w:eastAsia="zh-CN"/>
              </w:rPr>
              <w:t>-10</w:t>
            </w:r>
          </w:p>
        </w:tc>
        <w:tc>
          <w:tcPr>
            <w:tcW w:w="4320" w:type="dxa"/>
          </w:tcPr>
          <w:p w14:paraId="79626260" w14:textId="76C5AD9E" w:rsidR="00D8098C" w:rsidRDefault="00693AF4" w:rsidP="0075634C">
            <w:pPr>
              <w:spacing w:beforeLines="40" w:before="96" w:afterLines="40" w:after="96" w:line="24" w:lineRule="atLeast"/>
              <w:jc w:val="both"/>
              <w:rPr>
                <w:rFonts w:eastAsia="Times New Roman"/>
                <w:sz w:val="18"/>
                <w:szCs w:val="18"/>
                <w:lang w:val="en-GB" w:eastAsia="en-GB"/>
              </w:rPr>
            </w:pPr>
            <w:r w:rsidRPr="00693AF4">
              <w:rPr>
                <w:rFonts w:eastAsia="Times New Roman"/>
                <w:sz w:val="18"/>
                <w:szCs w:val="18"/>
                <w:lang w:val="en-GB" w:eastAsia="en-GB"/>
              </w:rPr>
              <w:t xml:space="preserve">“Analysis was performed using the Two-Sample MR R package and the MR-PRESSO R package (R </w:t>
            </w:r>
            <w:r w:rsidRPr="00693AF4">
              <w:rPr>
                <w:rFonts w:eastAsia="Times New Roman"/>
                <w:sz w:val="18"/>
                <w:szCs w:val="18"/>
                <w:lang w:val="en-GB" w:eastAsia="en-GB"/>
              </w:rPr>
              <w:lastRenderedPageBreak/>
              <w:t>version 4.2.0).” / “The MVMR package in R (version 4.2.0) was used to conduct all analyses.”</w:t>
            </w:r>
          </w:p>
        </w:tc>
      </w:tr>
      <w:tr w:rsidR="00D8098C" w:rsidRPr="00B853C6" w14:paraId="6A631D93" w14:textId="2BD5AA8E" w:rsidTr="003D447D">
        <w:tc>
          <w:tcPr>
            <w:tcW w:w="587" w:type="dxa"/>
            <w:tcBorders>
              <w:bottom w:val="single" w:sz="6" w:space="0" w:color="7F7F7F"/>
            </w:tcBorders>
            <w:shd w:val="clear" w:color="auto" w:fill="EEEEEE"/>
          </w:tcPr>
          <w:p w14:paraId="37C8895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tcBorders>
              <w:bottom w:val="single" w:sz="6" w:space="0" w:color="7F7F7F"/>
            </w:tcBorders>
            <w:shd w:val="clear" w:color="auto" w:fill="EEEEEE"/>
          </w:tcPr>
          <w:p w14:paraId="2349B556"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tcBorders>
              <w:bottom w:val="single" w:sz="6" w:space="0" w:color="7F7F7F"/>
            </w:tcBorders>
            <w:shd w:val="clear" w:color="auto" w:fill="EEEEEE"/>
          </w:tcPr>
          <w:p w14:paraId="5DBE58D7"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State whether the study protocol and details were pre-registered (as well as when and where)</w:t>
            </w:r>
          </w:p>
        </w:tc>
        <w:tc>
          <w:tcPr>
            <w:tcW w:w="720" w:type="dxa"/>
            <w:tcBorders>
              <w:bottom w:val="single" w:sz="6" w:space="0" w:color="7F7F7F"/>
            </w:tcBorders>
            <w:shd w:val="clear" w:color="auto" w:fill="EEEEEE"/>
          </w:tcPr>
          <w:p w14:paraId="2325504F" w14:textId="749D839B" w:rsidR="00D8098C" w:rsidRPr="00A1236D" w:rsidRDefault="0075634C" w:rsidP="00426603">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zh-CN"/>
              </w:rPr>
              <w:t>NA</w:t>
            </w:r>
          </w:p>
        </w:tc>
        <w:tc>
          <w:tcPr>
            <w:tcW w:w="4320" w:type="dxa"/>
            <w:tcBorders>
              <w:bottom w:val="single" w:sz="6" w:space="0" w:color="7F7F7F"/>
            </w:tcBorders>
            <w:shd w:val="clear" w:color="auto" w:fill="EEEEEE"/>
          </w:tcPr>
          <w:p w14:paraId="3EFCD231" w14:textId="17188AB9" w:rsidR="00D8098C" w:rsidRDefault="0075634C" w:rsidP="00426603">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zh-CN"/>
              </w:rPr>
              <w:t>NA</w:t>
            </w:r>
          </w:p>
        </w:tc>
      </w:tr>
      <w:tr w:rsidR="00D8098C" w:rsidRPr="00B853C6" w14:paraId="040F15E5" w14:textId="3B11C618" w:rsidTr="003D447D">
        <w:tc>
          <w:tcPr>
            <w:tcW w:w="587" w:type="dxa"/>
            <w:tcBorders>
              <w:top w:val="single" w:sz="6" w:space="0" w:color="7F7F7F"/>
            </w:tcBorders>
          </w:tcPr>
          <w:p w14:paraId="777278B3"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tcPr>
          <w:p w14:paraId="7D8D653B"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RESULTS</w:t>
            </w:r>
          </w:p>
        </w:tc>
        <w:tc>
          <w:tcPr>
            <w:tcW w:w="7041" w:type="dxa"/>
            <w:tcBorders>
              <w:top w:val="single" w:sz="6" w:space="0" w:color="7F7F7F"/>
            </w:tcBorders>
          </w:tcPr>
          <w:p w14:paraId="3471928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0E355A69"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33E956D1"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67F47EED" w14:textId="4A481C08" w:rsidTr="003D447D">
        <w:tc>
          <w:tcPr>
            <w:tcW w:w="587" w:type="dxa"/>
            <w:shd w:val="clear" w:color="auto" w:fill="EEEEEE"/>
          </w:tcPr>
          <w:p w14:paraId="51C7A54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10</w:t>
            </w:r>
          </w:p>
        </w:tc>
        <w:tc>
          <w:tcPr>
            <w:tcW w:w="1822" w:type="dxa"/>
            <w:shd w:val="clear" w:color="auto" w:fill="EEEEEE"/>
          </w:tcPr>
          <w:p w14:paraId="731D0370"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Descriptive data</w:t>
            </w:r>
          </w:p>
        </w:tc>
        <w:tc>
          <w:tcPr>
            <w:tcW w:w="7041" w:type="dxa"/>
            <w:shd w:val="clear" w:color="auto" w:fill="EEEEEE"/>
          </w:tcPr>
          <w:p w14:paraId="3B19CDAF"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shd w:val="clear" w:color="auto" w:fill="EEEEEE"/>
          </w:tcPr>
          <w:p w14:paraId="1091FF5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shd w:val="clear" w:color="auto" w:fill="EEEEEE"/>
          </w:tcPr>
          <w:p w14:paraId="4B684E79"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6CA228D1" w14:textId="316B6A36" w:rsidTr="003D447D">
        <w:tc>
          <w:tcPr>
            <w:tcW w:w="587" w:type="dxa"/>
          </w:tcPr>
          <w:p w14:paraId="29B62776"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tcPr>
          <w:p w14:paraId="4C1499C8"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tcPr>
          <w:p w14:paraId="4D5C652C" w14:textId="6B5065AC"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numbers of individuals at each stage of included studies and reasons for ex</w:t>
            </w:r>
            <w:r w:rsidR="000A4CE8">
              <w:rPr>
                <w:rFonts w:eastAsia="Times New Roman"/>
                <w:sz w:val="18"/>
                <w:szCs w:val="18"/>
                <w:lang w:val="en-GB" w:eastAsia="en-GB"/>
              </w:rPr>
              <w:t xml:space="preserve">clusion. Consider use of a flow </w:t>
            </w:r>
            <w:r w:rsidRPr="00A1236D">
              <w:rPr>
                <w:rFonts w:eastAsia="Times New Roman"/>
                <w:sz w:val="18"/>
                <w:szCs w:val="18"/>
                <w:lang w:val="en-GB" w:eastAsia="en-GB"/>
              </w:rPr>
              <w:t>diagram</w:t>
            </w:r>
          </w:p>
        </w:tc>
        <w:tc>
          <w:tcPr>
            <w:tcW w:w="720" w:type="dxa"/>
          </w:tcPr>
          <w:p w14:paraId="7D86E3E9" w14:textId="77777777" w:rsidR="00D8098C" w:rsidRPr="00693AF4" w:rsidRDefault="00693AF4" w:rsidP="00426603">
            <w:pPr>
              <w:spacing w:beforeLines="40" w:before="96" w:afterLines="40" w:after="96" w:line="24" w:lineRule="atLeast"/>
              <w:rPr>
                <w:rFonts w:eastAsia="Times New Roman"/>
                <w:sz w:val="18"/>
                <w:szCs w:val="18"/>
                <w:lang w:val="en-GB" w:eastAsia="zh-CN"/>
              </w:rPr>
            </w:pPr>
            <w:r>
              <w:rPr>
                <w:rFonts w:eastAsia="Times New Roman" w:hint="eastAsia"/>
                <w:sz w:val="18"/>
                <w:szCs w:val="18"/>
                <w:lang w:val="en-GB" w:eastAsia="zh-CN"/>
              </w:rPr>
              <w:t>7</w:t>
            </w:r>
            <w:r w:rsidRPr="00693AF4">
              <w:rPr>
                <w:rFonts w:ascii="微软雅黑" w:eastAsia="微软雅黑" w:hAnsi="微软雅黑" w:cs="微软雅黑" w:hint="eastAsia"/>
                <w:sz w:val="18"/>
                <w:szCs w:val="18"/>
                <w:lang w:val="en-GB" w:eastAsia="zh-CN"/>
              </w:rPr>
              <w:t>，</w:t>
            </w:r>
          </w:p>
          <w:p w14:paraId="7AF8CC23" w14:textId="5EDF986A" w:rsidR="00693AF4" w:rsidRPr="00693AF4" w:rsidRDefault="00693AF4" w:rsidP="00426603">
            <w:pPr>
              <w:spacing w:beforeLines="40" w:before="96" w:afterLines="40" w:after="96" w:line="24" w:lineRule="atLeast"/>
              <w:rPr>
                <w:rFonts w:eastAsia="Times New Roman" w:hint="eastAsia"/>
                <w:sz w:val="18"/>
                <w:szCs w:val="18"/>
                <w:lang w:val="en-GB" w:eastAsia="zh-CN"/>
              </w:rPr>
            </w:pPr>
            <w:r w:rsidRPr="00693AF4">
              <w:rPr>
                <w:rFonts w:eastAsia="Times New Roman" w:hint="eastAsia"/>
                <w:sz w:val="18"/>
                <w:szCs w:val="18"/>
                <w:lang w:val="en-GB" w:eastAsia="zh-CN"/>
              </w:rPr>
              <w:t>10-11</w:t>
            </w:r>
          </w:p>
        </w:tc>
        <w:tc>
          <w:tcPr>
            <w:tcW w:w="4320" w:type="dxa"/>
          </w:tcPr>
          <w:p w14:paraId="00D65497" w14:textId="5CBCA279" w:rsidR="00D8098C" w:rsidRDefault="00693AF4" w:rsidP="00693AF4">
            <w:pPr>
              <w:spacing w:beforeLines="40" w:before="96" w:afterLines="40" w:after="96" w:line="24" w:lineRule="atLeast"/>
              <w:jc w:val="both"/>
              <w:rPr>
                <w:rFonts w:eastAsia="Times New Roman" w:hint="eastAsia"/>
                <w:sz w:val="18"/>
                <w:szCs w:val="18"/>
                <w:lang w:val="en-GB" w:eastAsia="en-GB"/>
              </w:rPr>
            </w:pPr>
            <w:r w:rsidRPr="00693AF4">
              <w:rPr>
                <w:rFonts w:eastAsia="Times New Roman"/>
                <w:sz w:val="18"/>
                <w:szCs w:val="18"/>
                <w:lang w:val="en-GB" w:eastAsia="en-GB"/>
              </w:rPr>
              <w:t>“3-Hydroxybutyrate European 113,595…” / “Acetoacetate European 115,075…” / “Acetone European 115,075…” / “NAFLD European 377,998…” / “In the forward MR analysis, 17 SNPs were included as instrumental variables for 3-hydroxybutyrate, 7 SNPs for acetoacetate, and 9 SNPs for acetone…”</w:t>
            </w:r>
          </w:p>
        </w:tc>
      </w:tr>
      <w:tr w:rsidR="00D8098C" w:rsidRPr="00B853C6" w14:paraId="0765C344" w14:textId="3B2EDCCF" w:rsidTr="003D447D">
        <w:tc>
          <w:tcPr>
            <w:tcW w:w="587" w:type="dxa"/>
            <w:shd w:val="clear" w:color="auto" w:fill="EEEEEE"/>
          </w:tcPr>
          <w:p w14:paraId="2404BFFB"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545C2F1"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405491AF" w14:textId="3F437E24" w:rsidR="00D8098C" w:rsidRPr="00A1236D" w:rsidRDefault="00D8098C" w:rsidP="009E033F">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Report summary statistics for phenotypic exposure(s), outcome(s)</w:t>
            </w:r>
            <w:r w:rsidR="000A4CE8">
              <w:rPr>
                <w:rFonts w:eastAsia="Times New Roman"/>
                <w:sz w:val="18"/>
                <w:szCs w:val="18"/>
                <w:lang w:val="en-GB" w:eastAsia="en-GB"/>
              </w:rPr>
              <w:t>,</w:t>
            </w:r>
            <w:r w:rsidRPr="00A1236D">
              <w:rPr>
                <w:rFonts w:eastAsia="Times New Roman"/>
                <w:sz w:val="18"/>
                <w:szCs w:val="18"/>
                <w:lang w:val="en-GB" w:eastAsia="en-GB"/>
              </w:rPr>
              <w:t xml:space="preserve"> and other relevant variables (e.g. means, </w:t>
            </w:r>
            <w:r w:rsidR="009E033F">
              <w:rPr>
                <w:rFonts w:eastAsia="Times New Roman"/>
                <w:sz w:val="18"/>
                <w:szCs w:val="18"/>
                <w:lang w:val="en-GB" w:eastAsia="en-GB"/>
              </w:rPr>
              <w:t>SDs</w:t>
            </w:r>
            <w:r w:rsidRPr="00A1236D">
              <w:rPr>
                <w:rFonts w:eastAsia="Times New Roman"/>
                <w:sz w:val="18"/>
                <w:szCs w:val="18"/>
                <w:lang w:val="en-GB" w:eastAsia="en-GB"/>
              </w:rPr>
              <w:t>, proportions)</w:t>
            </w:r>
          </w:p>
        </w:tc>
        <w:tc>
          <w:tcPr>
            <w:tcW w:w="720" w:type="dxa"/>
            <w:shd w:val="clear" w:color="auto" w:fill="EEEEEE"/>
          </w:tcPr>
          <w:p w14:paraId="03BBA613" w14:textId="64B2667E" w:rsidR="00D8098C" w:rsidRPr="00A1236D" w:rsidRDefault="00693AF4" w:rsidP="00426603">
            <w:pPr>
              <w:spacing w:beforeLines="40" w:before="96" w:afterLines="40" w:after="96" w:line="24" w:lineRule="atLeast"/>
              <w:rPr>
                <w:rFonts w:eastAsia="Times New Roman" w:hint="eastAsia"/>
                <w:sz w:val="18"/>
                <w:szCs w:val="18"/>
                <w:lang w:val="en-GB" w:eastAsia="zh-CN"/>
              </w:rPr>
            </w:pPr>
            <w:r>
              <w:rPr>
                <w:rFonts w:eastAsia="Times New Roman" w:hint="eastAsia"/>
                <w:sz w:val="18"/>
                <w:szCs w:val="18"/>
                <w:lang w:val="en-GB" w:eastAsia="zh-CN"/>
              </w:rPr>
              <w:t>7</w:t>
            </w:r>
          </w:p>
        </w:tc>
        <w:tc>
          <w:tcPr>
            <w:tcW w:w="4320" w:type="dxa"/>
            <w:shd w:val="clear" w:color="auto" w:fill="EEEEEE"/>
          </w:tcPr>
          <w:p w14:paraId="0FD9D468" w14:textId="4648733E" w:rsidR="00D8098C" w:rsidRDefault="00693AF4" w:rsidP="00693AF4">
            <w:pPr>
              <w:spacing w:beforeLines="40" w:before="96" w:afterLines="40" w:after="96" w:line="24" w:lineRule="atLeast"/>
              <w:jc w:val="both"/>
              <w:rPr>
                <w:rFonts w:eastAsia="Times New Roman"/>
                <w:sz w:val="18"/>
                <w:szCs w:val="18"/>
                <w:lang w:val="en-GB" w:eastAsia="en-GB"/>
              </w:rPr>
            </w:pPr>
            <w:r w:rsidRPr="00693AF4">
              <w:rPr>
                <w:rFonts w:eastAsia="Times New Roman"/>
                <w:sz w:val="18"/>
                <w:szCs w:val="18"/>
                <w:lang w:val="en-GB" w:eastAsia="en-GB"/>
              </w:rPr>
              <w:t>“Detailed information on the population, sample size, number of SNPs, data source, dataset identifiers, and year of publication for 3-hydroxybutyrate, acetoacetate, acetone, and NAFLD is shown in Table 1.”</w:t>
            </w:r>
          </w:p>
        </w:tc>
      </w:tr>
      <w:tr w:rsidR="00D8098C" w:rsidRPr="00B853C6" w14:paraId="48F10342" w14:textId="398F2C24" w:rsidTr="003D447D">
        <w:tc>
          <w:tcPr>
            <w:tcW w:w="587" w:type="dxa"/>
          </w:tcPr>
          <w:p w14:paraId="6600AF43"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tcPr>
          <w:p w14:paraId="435099F2"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tcPr>
          <w:p w14:paraId="062EB561"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the data sources include meta-analyses of previous studies, provide the assessments of heterogeneity across these studies</w:t>
            </w:r>
          </w:p>
        </w:tc>
        <w:tc>
          <w:tcPr>
            <w:tcW w:w="720" w:type="dxa"/>
          </w:tcPr>
          <w:p w14:paraId="10F6EF39" w14:textId="42B76176" w:rsidR="00D8098C" w:rsidRPr="00A1236D" w:rsidRDefault="00345B4D"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NA</w:t>
            </w:r>
          </w:p>
        </w:tc>
        <w:tc>
          <w:tcPr>
            <w:tcW w:w="4320" w:type="dxa"/>
          </w:tcPr>
          <w:p w14:paraId="449D40FD" w14:textId="22A84FAD" w:rsidR="00D8098C" w:rsidRDefault="00345B4D"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NA</w:t>
            </w:r>
          </w:p>
        </w:tc>
      </w:tr>
      <w:tr w:rsidR="00D8098C" w:rsidRPr="00B853C6" w14:paraId="51930A8C" w14:textId="221D5A9E" w:rsidTr="003D447D">
        <w:tc>
          <w:tcPr>
            <w:tcW w:w="587" w:type="dxa"/>
            <w:shd w:val="clear" w:color="auto" w:fill="EEEEEE"/>
          </w:tcPr>
          <w:p w14:paraId="6116DD9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453F7877"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EEEEEE"/>
          </w:tcPr>
          <w:p w14:paraId="2EFD572E" w14:textId="5230C0F8" w:rsidR="00D8098C" w:rsidRPr="00A1236D" w:rsidRDefault="00D8098C" w:rsidP="00426603">
            <w:pPr>
              <w:spacing w:beforeLines="40" w:before="96" w:afterLines="40" w:after="96" w:line="24" w:lineRule="atLeast"/>
              <w:rPr>
                <w:rFonts w:eastAsia="Times New Roman"/>
                <w:sz w:val="18"/>
                <w:szCs w:val="18"/>
                <w:lang w:val="en-GB" w:eastAsia="en-GB"/>
              </w:rPr>
            </w:pPr>
            <w:r w:rsidRPr="009E033F">
              <w:rPr>
                <w:rFonts w:eastAsia="Times New Roman"/>
                <w:sz w:val="18"/>
                <w:szCs w:val="18"/>
                <w:lang w:val="en-GB" w:eastAsia="en-GB"/>
              </w:rPr>
              <w:t xml:space="preserve">For </w:t>
            </w:r>
            <w:r w:rsidRPr="009E033F">
              <w:rPr>
                <w:rFonts w:eastAsia="Times New Roman"/>
                <w:iCs/>
                <w:sz w:val="18"/>
                <w:szCs w:val="18"/>
                <w:lang w:val="en-GB" w:eastAsia="en-GB"/>
              </w:rPr>
              <w:t>two-sample</w:t>
            </w:r>
            <w:r w:rsidRPr="00A1236D">
              <w:rPr>
                <w:rFonts w:eastAsia="Times New Roman"/>
                <w:sz w:val="18"/>
                <w:szCs w:val="18"/>
                <w:lang w:val="en-GB" w:eastAsia="en-GB"/>
              </w:rPr>
              <w:t xml:space="preserve"> </w:t>
            </w:r>
            <w:r w:rsidR="009E033F">
              <w:rPr>
                <w:rFonts w:eastAsia="Times New Roman"/>
                <w:sz w:val="18"/>
                <w:szCs w:val="18"/>
                <w:lang w:val="en-GB" w:eastAsia="en-GB"/>
              </w:rPr>
              <w:t>MR</w:t>
            </w:r>
            <w:r w:rsidRPr="00A1236D">
              <w:rPr>
                <w:rFonts w:eastAsia="Times New Roman"/>
                <w:sz w:val="18"/>
                <w:szCs w:val="18"/>
                <w:lang w:val="en-GB" w:eastAsia="en-GB"/>
              </w:rPr>
              <w:t>:</w:t>
            </w:r>
          </w:p>
          <w:p w14:paraId="48065368"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 xml:space="preserve">   </w:t>
            </w:r>
            <w:proofErr w:type="spellStart"/>
            <w:r w:rsidRPr="00A1236D">
              <w:rPr>
                <w:rFonts w:eastAsia="Times New Roman"/>
                <w:sz w:val="18"/>
                <w:szCs w:val="18"/>
                <w:lang w:val="en-GB" w:eastAsia="en-GB"/>
              </w:rPr>
              <w:t>i</w:t>
            </w:r>
            <w:proofErr w:type="spellEnd"/>
            <w:r w:rsidRPr="00A1236D">
              <w:rPr>
                <w:rFonts w:eastAsia="Times New Roman"/>
                <w:sz w:val="18"/>
                <w:szCs w:val="18"/>
                <w:lang w:val="en-GB" w:eastAsia="en-GB"/>
              </w:rPr>
              <w:t>.  Provide justification of the similarity of the genetic variant-exposure associations between the exposure and outcome samples</w:t>
            </w:r>
          </w:p>
          <w:p w14:paraId="35BA9280"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   ii.  Provide information on the number of individuals who overlap between the exposure and outcome studies</w:t>
            </w:r>
          </w:p>
        </w:tc>
        <w:tc>
          <w:tcPr>
            <w:tcW w:w="720" w:type="dxa"/>
            <w:shd w:val="clear" w:color="auto" w:fill="EEEEEE"/>
          </w:tcPr>
          <w:p w14:paraId="4948EE3D" w14:textId="22CC1ED3" w:rsidR="00D8098C" w:rsidRPr="00A1236D" w:rsidRDefault="00345B4D"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NA</w:t>
            </w:r>
          </w:p>
        </w:tc>
        <w:tc>
          <w:tcPr>
            <w:tcW w:w="4320" w:type="dxa"/>
            <w:shd w:val="clear" w:color="auto" w:fill="EEEEEE"/>
          </w:tcPr>
          <w:p w14:paraId="5B2A1A71" w14:textId="79A0A388" w:rsidR="00D8098C" w:rsidRDefault="00345B4D"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NA</w:t>
            </w:r>
          </w:p>
        </w:tc>
      </w:tr>
      <w:tr w:rsidR="00D8098C" w:rsidRPr="00B853C6" w14:paraId="52CFCA59" w14:textId="5AC9CE3E" w:rsidTr="003D447D">
        <w:tc>
          <w:tcPr>
            <w:tcW w:w="587" w:type="dxa"/>
          </w:tcPr>
          <w:p w14:paraId="110872B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11</w:t>
            </w:r>
          </w:p>
        </w:tc>
        <w:tc>
          <w:tcPr>
            <w:tcW w:w="1822" w:type="dxa"/>
          </w:tcPr>
          <w:p w14:paraId="0C26298F"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Main results</w:t>
            </w:r>
          </w:p>
        </w:tc>
        <w:tc>
          <w:tcPr>
            <w:tcW w:w="7041" w:type="dxa"/>
          </w:tcPr>
          <w:p w14:paraId="2F14FA3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Pr>
          <w:p w14:paraId="035B336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tcPr>
          <w:p w14:paraId="0AFA0083"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56845A2A" w14:textId="1DC0780C" w:rsidTr="003D447D">
        <w:tc>
          <w:tcPr>
            <w:tcW w:w="587" w:type="dxa"/>
            <w:shd w:val="clear" w:color="auto" w:fill="EEEEEE"/>
          </w:tcPr>
          <w:p w14:paraId="0892A54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7CDB72AD"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EEEEEE"/>
          </w:tcPr>
          <w:p w14:paraId="09CB478B"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associations between genetic variant and exposure, and between genetic variant and outcome, preferably on an interpretable scale</w:t>
            </w:r>
          </w:p>
        </w:tc>
        <w:tc>
          <w:tcPr>
            <w:tcW w:w="720" w:type="dxa"/>
            <w:shd w:val="clear" w:color="auto" w:fill="EEEEEE"/>
          </w:tcPr>
          <w:p w14:paraId="1DB853CB" w14:textId="41CFC4CB" w:rsidR="00D8098C" w:rsidRDefault="002B49A6" w:rsidP="00426603">
            <w:pPr>
              <w:spacing w:beforeLines="40" w:before="96" w:afterLines="40" w:after="96" w:line="24" w:lineRule="atLeast"/>
              <w:rPr>
                <w:rFonts w:ascii="宋体" w:eastAsia="宋体" w:hAnsi="宋体" w:cs="宋体"/>
                <w:sz w:val="18"/>
                <w:szCs w:val="18"/>
                <w:lang w:val="en-GB" w:eastAsia="zh-CN"/>
              </w:rPr>
            </w:pPr>
            <w:r>
              <w:rPr>
                <w:rFonts w:eastAsia="Times New Roman" w:hint="eastAsia"/>
                <w:sz w:val="18"/>
                <w:szCs w:val="18"/>
                <w:lang w:val="en-GB" w:eastAsia="zh-CN"/>
              </w:rPr>
              <w:t>7-8</w:t>
            </w:r>
            <w:r>
              <w:rPr>
                <w:rFonts w:ascii="宋体" w:eastAsia="宋体" w:hAnsi="宋体" w:cs="宋体" w:hint="eastAsia"/>
                <w:sz w:val="18"/>
                <w:szCs w:val="18"/>
                <w:lang w:val="en-GB" w:eastAsia="zh-CN"/>
              </w:rPr>
              <w:t>，</w:t>
            </w:r>
          </w:p>
          <w:p w14:paraId="7F1B8B69" w14:textId="6428C7B4" w:rsidR="002B49A6" w:rsidRPr="002B49A6" w:rsidRDefault="002B49A6" w:rsidP="00426603">
            <w:pPr>
              <w:spacing w:beforeLines="40" w:before="96" w:afterLines="40" w:after="96" w:line="24" w:lineRule="atLeast"/>
              <w:rPr>
                <w:rFonts w:ascii="宋体" w:eastAsia="宋体" w:hAnsi="宋体" w:cs="宋体" w:hint="eastAsia"/>
                <w:sz w:val="18"/>
                <w:szCs w:val="18"/>
                <w:lang w:val="en-GB" w:eastAsia="zh-CN"/>
              </w:rPr>
            </w:pPr>
            <w:r w:rsidRPr="002B49A6">
              <w:rPr>
                <w:rFonts w:eastAsia="Times New Roman" w:hint="eastAsia"/>
                <w:sz w:val="18"/>
                <w:szCs w:val="18"/>
                <w:lang w:val="en-GB" w:eastAsia="zh-CN"/>
              </w:rPr>
              <w:t>10</w:t>
            </w:r>
          </w:p>
        </w:tc>
        <w:tc>
          <w:tcPr>
            <w:tcW w:w="4320" w:type="dxa"/>
            <w:shd w:val="clear" w:color="auto" w:fill="EEEEEE"/>
          </w:tcPr>
          <w:p w14:paraId="7BCA1C07" w14:textId="2BB6EF48" w:rsidR="00D8098C" w:rsidRDefault="002B49A6" w:rsidP="002B49A6">
            <w:pPr>
              <w:spacing w:beforeLines="40" w:before="96" w:afterLines="40" w:after="96" w:line="24" w:lineRule="atLeast"/>
              <w:jc w:val="both"/>
              <w:rPr>
                <w:rFonts w:eastAsia="Times New Roman"/>
                <w:sz w:val="18"/>
                <w:szCs w:val="18"/>
                <w:lang w:val="en-GB" w:eastAsia="en-GB"/>
              </w:rPr>
            </w:pPr>
            <w:r w:rsidRPr="002B49A6">
              <w:rPr>
                <w:rFonts w:eastAsia="Times New Roman"/>
                <w:sz w:val="18"/>
                <w:szCs w:val="18"/>
                <w:lang w:val="en-GB" w:eastAsia="en-GB"/>
              </w:rPr>
              <w:t>“Single nucleotide polymorphisms associated with each ketone body at the genome-wide significance threshold of P &lt; 5 × 10</w:t>
            </w:r>
            <w:r w:rsidRPr="002B49A6">
              <w:rPr>
                <w:rFonts w:ascii="Cambria Math" w:eastAsia="Times New Roman" w:hAnsi="Cambria Math" w:cs="Cambria Math"/>
                <w:sz w:val="18"/>
                <w:szCs w:val="18"/>
                <w:lang w:val="en-GB" w:eastAsia="en-GB"/>
              </w:rPr>
              <w:t>⁻</w:t>
            </w:r>
            <w:r w:rsidRPr="002B49A6">
              <w:rPr>
                <w:rFonts w:eastAsia="Times New Roman"/>
                <w:sz w:val="18"/>
                <w:szCs w:val="18"/>
                <w:lang w:val="en-GB" w:eastAsia="en-GB"/>
              </w:rPr>
              <w:t>⁸ were selected…” / “In the forward MR analysis, 17 SNPs were included as instrumental variables for 3-hydroxybutyrate, 7 SNPs for acetoacetate, and 9 SNPs for acetone…”</w:t>
            </w:r>
          </w:p>
        </w:tc>
      </w:tr>
      <w:tr w:rsidR="00D8098C" w:rsidRPr="00B853C6" w14:paraId="2FAEFE68" w14:textId="09D82DE1" w:rsidTr="003D447D">
        <w:tc>
          <w:tcPr>
            <w:tcW w:w="587" w:type="dxa"/>
          </w:tcPr>
          <w:p w14:paraId="2E83DFB7"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tcPr>
          <w:p w14:paraId="142A3CE2"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tcPr>
          <w:p w14:paraId="336E75EE" w14:textId="144F95EC" w:rsidR="00D8098C" w:rsidRPr="00A1236D" w:rsidRDefault="00D8098C" w:rsidP="009E033F">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Report MR estimates of the relationship between exposure and outcome, and the measures of uncertainty from the MR analysis, on an interpretable scale, such as odds ratio or relative risk per </w:t>
            </w:r>
            <w:r w:rsidR="009E033F">
              <w:rPr>
                <w:rFonts w:eastAsia="Times New Roman"/>
                <w:sz w:val="18"/>
                <w:szCs w:val="18"/>
                <w:lang w:val="en-GB" w:eastAsia="en-GB"/>
              </w:rPr>
              <w:t>SD</w:t>
            </w:r>
            <w:r w:rsidRPr="00A1236D">
              <w:rPr>
                <w:rFonts w:eastAsia="Times New Roman"/>
                <w:sz w:val="18"/>
                <w:szCs w:val="18"/>
                <w:lang w:val="en-GB" w:eastAsia="en-GB"/>
              </w:rPr>
              <w:t xml:space="preserve"> difference</w:t>
            </w:r>
          </w:p>
        </w:tc>
        <w:tc>
          <w:tcPr>
            <w:tcW w:w="720" w:type="dxa"/>
          </w:tcPr>
          <w:p w14:paraId="66D7CD8E" w14:textId="77777777" w:rsidR="00D8098C" w:rsidRDefault="002B49A6" w:rsidP="00426603">
            <w:pPr>
              <w:spacing w:beforeLines="40" w:before="96" w:afterLines="40" w:after="96" w:line="24" w:lineRule="atLeast"/>
              <w:rPr>
                <w:rFonts w:eastAsia="Times New Roman"/>
                <w:sz w:val="18"/>
                <w:szCs w:val="18"/>
                <w:lang w:val="en-GB" w:eastAsia="zh-CN"/>
              </w:rPr>
            </w:pPr>
            <w:r>
              <w:rPr>
                <w:rFonts w:eastAsia="Times New Roman" w:hint="eastAsia"/>
                <w:sz w:val="18"/>
                <w:szCs w:val="18"/>
                <w:lang w:val="en-GB" w:eastAsia="zh-CN"/>
              </w:rPr>
              <w:t>10-11</w:t>
            </w:r>
          </w:p>
          <w:p w14:paraId="1E1B567F" w14:textId="52F4A1F1" w:rsidR="002B49A6" w:rsidRPr="002B49A6" w:rsidRDefault="002B49A6" w:rsidP="00426603">
            <w:pPr>
              <w:spacing w:beforeLines="40" w:before="96" w:afterLines="40" w:after="96" w:line="24" w:lineRule="atLeast"/>
              <w:rPr>
                <w:rFonts w:ascii="宋体" w:eastAsia="宋体" w:hAnsi="宋体" w:cs="宋体" w:hint="eastAsia"/>
                <w:sz w:val="18"/>
                <w:szCs w:val="18"/>
                <w:lang w:val="en-GB" w:eastAsia="zh-CN"/>
              </w:rPr>
            </w:pPr>
            <w:r>
              <w:rPr>
                <w:rFonts w:eastAsia="Times New Roman" w:hint="eastAsia"/>
                <w:sz w:val="18"/>
                <w:szCs w:val="18"/>
                <w:lang w:val="en-GB" w:eastAsia="zh-CN"/>
              </w:rPr>
              <w:t>13-14</w:t>
            </w:r>
          </w:p>
        </w:tc>
        <w:tc>
          <w:tcPr>
            <w:tcW w:w="4320" w:type="dxa"/>
          </w:tcPr>
          <w:p w14:paraId="4564CEDB" w14:textId="761C7A84" w:rsidR="00D8098C" w:rsidRDefault="002B49A6" w:rsidP="002B49A6">
            <w:pPr>
              <w:spacing w:beforeLines="40" w:before="96" w:afterLines="40" w:after="96" w:line="24" w:lineRule="atLeast"/>
              <w:jc w:val="both"/>
              <w:rPr>
                <w:rFonts w:eastAsia="Times New Roman"/>
                <w:sz w:val="18"/>
                <w:szCs w:val="18"/>
                <w:lang w:val="en-GB" w:eastAsia="en-GB"/>
              </w:rPr>
            </w:pPr>
            <w:r w:rsidRPr="002B49A6">
              <w:rPr>
                <w:rFonts w:eastAsia="Times New Roman"/>
                <w:sz w:val="18"/>
                <w:szCs w:val="18"/>
                <w:lang w:val="en-GB" w:eastAsia="en-GB"/>
              </w:rPr>
              <w:t xml:space="preserve">“Genetically predicted 3-hydroxybutyrate was significantly associated with a lower risk of NAFLD.” / “The primary IVW analysis showed an OR of 0.448, with a 95% CI of 0.249–0.805 and a P value of 0.007.” / “When acetoacetate, acetone, and 3-hydroxybutyrate were included in the same </w:t>
            </w:r>
            <w:r w:rsidRPr="002B49A6">
              <w:rPr>
                <w:rFonts w:eastAsia="Times New Roman"/>
                <w:sz w:val="18"/>
                <w:szCs w:val="18"/>
                <w:lang w:val="en-GB" w:eastAsia="en-GB"/>
              </w:rPr>
              <w:lastRenderedPageBreak/>
              <w:t>multivariable model, 3-hydroxybutyrate remained significantly associated with a lower risk of NAFLD…”</w:t>
            </w:r>
          </w:p>
        </w:tc>
      </w:tr>
      <w:tr w:rsidR="00D8098C" w:rsidRPr="00B853C6" w14:paraId="1FAC379E" w14:textId="0C198578" w:rsidTr="003D447D">
        <w:tc>
          <w:tcPr>
            <w:tcW w:w="587" w:type="dxa"/>
            <w:shd w:val="clear" w:color="auto" w:fill="EEEEEE"/>
          </w:tcPr>
          <w:p w14:paraId="6762B88A"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514E8164"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EEEEEE"/>
          </w:tcPr>
          <w:p w14:paraId="4BC6AB73"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relevant, consider translating estimates of relative risk into absolute risk for a meaningful time period</w:t>
            </w:r>
          </w:p>
        </w:tc>
        <w:tc>
          <w:tcPr>
            <w:tcW w:w="720" w:type="dxa"/>
            <w:shd w:val="clear" w:color="auto" w:fill="EEEEEE"/>
          </w:tcPr>
          <w:p w14:paraId="326BA5CA" w14:textId="07A190AA" w:rsidR="00D8098C" w:rsidRPr="00A1236D" w:rsidRDefault="002B49A6" w:rsidP="00426603">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zh-CN"/>
              </w:rPr>
              <w:t>NA</w:t>
            </w:r>
          </w:p>
        </w:tc>
        <w:tc>
          <w:tcPr>
            <w:tcW w:w="4320" w:type="dxa"/>
            <w:shd w:val="clear" w:color="auto" w:fill="EEEEEE"/>
          </w:tcPr>
          <w:p w14:paraId="4A2216FF" w14:textId="66DD1E6F" w:rsidR="00D8098C" w:rsidRDefault="002B49A6" w:rsidP="00426603">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zh-CN"/>
              </w:rPr>
              <w:t>NA</w:t>
            </w:r>
          </w:p>
        </w:tc>
      </w:tr>
      <w:tr w:rsidR="00D8098C" w:rsidRPr="00B853C6" w14:paraId="00F87C74" w14:textId="30F32A00" w:rsidTr="003D447D">
        <w:tc>
          <w:tcPr>
            <w:tcW w:w="587" w:type="dxa"/>
          </w:tcPr>
          <w:p w14:paraId="2CDE5DE6"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tcPr>
          <w:p w14:paraId="69C50E8E"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tcPr>
          <w:p w14:paraId="47CC3ACC"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Consider plots to visualize results (e.g. forest plot, scatterplot of associations between genetic variants and outcome versus between genetic variants and exposure)</w:t>
            </w:r>
          </w:p>
        </w:tc>
        <w:tc>
          <w:tcPr>
            <w:tcW w:w="720" w:type="dxa"/>
          </w:tcPr>
          <w:p w14:paraId="041CFE24" w14:textId="77777777" w:rsidR="00D8098C" w:rsidRPr="002B49A6" w:rsidRDefault="002B49A6" w:rsidP="00426603">
            <w:pPr>
              <w:spacing w:beforeLines="40" w:before="96" w:afterLines="40" w:after="96" w:line="24" w:lineRule="atLeast"/>
              <w:rPr>
                <w:rFonts w:eastAsia="Times New Roman"/>
                <w:sz w:val="18"/>
                <w:szCs w:val="18"/>
                <w:lang w:val="en-GB" w:eastAsia="zh-CN"/>
              </w:rPr>
            </w:pPr>
            <w:r>
              <w:rPr>
                <w:rFonts w:eastAsia="Times New Roman" w:hint="eastAsia"/>
                <w:sz w:val="18"/>
                <w:szCs w:val="18"/>
                <w:lang w:val="en-GB" w:eastAsia="zh-CN"/>
              </w:rPr>
              <w:t>9</w:t>
            </w:r>
            <w:r w:rsidRPr="002B49A6">
              <w:rPr>
                <w:rFonts w:ascii="微软雅黑" w:eastAsia="微软雅黑" w:hAnsi="微软雅黑" w:cs="微软雅黑" w:hint="eastAsia"/>
                <w:sz w:val="18"/>
                <w:szCs w:val="18"/>
                <w:lang w:val="en-GB" w:eastAsia="zh-CN"/>
              </w:rPr>
              <w:t>，</w:t>
            </w:r>
          </w:p>
          <w:p w14:paraId="777DAC23" w14:textId="300548C7" w:rsidR="002B49A6" w:rsidRPr="002B49A6" w:rsidRDefault="002B49A6" w:rsidP="00426603">
            <w:pPr>
              <w:spacing w:beforeLines="40" w:before="96" w:afterLines="40" w:after="96" w:line="24" w:lineRule="atLeast"/>
              <w:rPr>
                <w:rFonts w:eastAsia="Times New Roman" w:hint="eastAsia"/>
                <w:sz w:val="18"/>
                <w:szCs w:val="18"/>
                <w:lang w:val="en-GB" w:eastAsia="zh-CN"/>
              </w:rPr>
            </w:pPr>
            <w:r w:rsidRPr="002B49A6">
              <w:rPr>
                <w:rFonts w:eastAsia="Times New Roman" w:hint="eastAsia"/>
                <w:sz w:val="18"/>
                <w:szCs w:val="18"/>
                <w:lang w:val="en-GB" w:eastAsia="zh-CN"/>
              </w:rPr>
              <w:t>11-14</w:t>
            </w:r>
          </w:p>
        </w:tc>
        <w:tc>
          <w:tcPr>
            <w:tcW w:w="4320" w:type="dxa"/>
          </w:tcPr>
          <w:p w14:paraId="7B9F0A4D" w14:textId="4C4BA72F" w:rsidR="00D8098C" w:rsidRDefault="002B49A6" w:rsidP="002B49A6">
            <w:pPr>
              <w:spacing w:beforeLines="40" w:before="96" w:afterLines="40" w:after="96" w:line="24" w:lineRule="atLeast"/>
              <w:jc w:val="both"/>
              <w:rPr>
                <w:rFonts w:eastAsia="Times New Roman"/>
                <w:sz w:val="18"/>
                <w:szCs w:val="18"/>
                <w:lang w:val="en-GB" w:eastAsia="en-GB"/>
              </w:rPr>
            </w:pPr>
            <w:r w:rsidRPr="002B49A6">
              <w:rPr>
                <w:rFonts w:eastAsia="Times New Roman"/>
                <w:sz w:val="18"/>
                <w:szCs w:val="18"/>
                <w:lang w:val="en-GB" w:eastAsia="en-GB"/>
              </w:rPr>
              <w:t>“Fig.1 (A) forward Mendelian randomization; (B) reverse Mendelian randomization.” / “These results are shown in Figure 2.” / “The reverse MR results are shown in Figure 3.” / “The leave-one-out results are shown in Figure 4.” / “The results of the multivariable Mendelian randomization analysis are shown in Figure 5.”</w:t>
            </w:r>
          </w:p>
        </w:tc>
      </w:tr>
      <w:tr w:rsidR="00D8098C" w:rsidRPr="00B853C6" w14:paraId="62E6DFEA" w14:textId="107C6F5B" w:rsidTr="003D447D">
        <w:tc>
          <w:tcPr>
            <w:tcW w:w="587" w:type="dxa"/>
            <w:shd w:val="clear" w:color="auto" w:fill="EEEEEE"/>
          </w:tcPr>
          <w:p w14:paraId="57CB2789"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12</w:t>
            </w:r>
          </w:p>
        </w:tc>
        <w:tc>
          <w:tcPr>
            <w:tcW w:w="1822" w:type="dxa"/>
            <w:shd w:val="clear" w:color="auto" w:fill="EEEEEE"/>
          </w:tcPr>
          <w:p w14:paraId="27B891DB"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Assessment of assumptions</w:t>
            </w:r>
          </w:p>
        </w:tc>
        <w:tc>
          <w:tcPr>
            <w:tcW w:w="7041" w:type="dxa"/>
            <w:shd w:val="clear" w:color="auto" w:fill="EEEEEE"/>
          </w:tcPr>
          <w:p w14:paraId="6EC050C1"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shd w:val="clear" w:color="auto" w:fill="EEEEEE"/>
          </w:tcPr>
          <w:p w14:paraId="3871A389"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shd w:val="clear" w:color="auto" w:fill="EEEEEE"/>
          </w:tcPr>
          <w:p w14:paraId="10C8ADE2"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48EE0AFA" w14:textId="55C0BF1C" w:rsidTr="003D447D">
        <w:tc>
          <w:tcPr>
            <w:tcW w:w="587" w:type="dxa"/>
          </w:tcPr>
          <w:p w14:paraId="4E29121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tcPr>
          <w:p w14:paraId="18A8B0EA"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tcPr>
          <w:p w14:paraId="1A97B456"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assessment of the validity of the assumptions</w:t>
            </w:r>
          </w:p>
        </w:tc>
        <w:tc>
          <w:tcPr>
            <w:tcW w:w="720" w:type="dxa"/>
          </w:tcPr>
          <w:p w14:paraId="6E2D56F0" w14:textId="2CCEC6FB" w:rsidR="00D8098C" w:rsidRPr="00A1236D" w:rsidRDefault="002B49A6" w:rsidP="00426603">
            <w:pPr>
              <w:spacing w:beforeLines="40" w:before="96" w:afterLines="40" w:after="96" w:line="24" w:lineRule="atLeast"/>
              <w:rPr>
                <w:rFonts w:eastAsia="Times New Roman" w:hint="eastAsia"/>
                <w:sz w:val="18"/>
                <w:szCs w:val="18"/>
                <w:lang w:val="en-GB" w:eastAsia="zh-CN"/>
              </w:rPr>
            </w:pPr>
            <w:r>
              <w:rPr>
                <w:rFonts w:eastAsia="Times New Roman" w:hint="eastAsia"/>
                <w:sz w:val="18"/>
                <w:szCs w:val="18"/>
                <w:lang w:val="en-GB" w:eastAsia="zh-CN"/>
              </w:rPr>
              <w:t>18</w:t>
            </w:r>
          </w:p>
        </w:tc>
        <w:tc>
          <w:tcPr>
            <w:tcW w:w="4320" w:type="dxa"/>
          </w:tcPr>
          <w:p w14:paraId="5E7081D1" w14:textId="4D6D1426" w:rsidR="00D8098C" w:rsidRDefault="002B49A6" w:rsidP="005B4FBC">
            <w:pPr>
              <w:spacing w:beforeLines="40" w:before="96" w:afterLines="40" w:after="96" w:line="24" w:lineRule="atLeast"/>
              <w:jc w:val="both"/>
              <w:rPr>
                <w:rFonts w:eastAsia="Times New Roman"/>
                <w:sz w:val="18"/>
                <w:szCs w:val="18"/>
                <w:lang w:val="en-GB" w:eastAsia="en-GB"/>
              </w:rPr>
            </w:pPr>
            <w:r w:rsidRPr="002B49A6">
              <w:rPr>
                <w:rFonts w:eastAsia="Times New Roman"/>
                <w:sz w:val="18"/>
                <w:szCs w:val="18"/>
                <w:lang w:val="en-GB" w:eastAsia="en-GB"/>
              </w:rPr>
              <w:t>“Our research successfully satisfied multiple instrumental variable assumptions, with these instruments demonstrating significant predictive power for the exposure, exceeding the threshold of the F-statistic and possessing a sufficient number of single nucleotide polymorphisms (SNPs) for validation.”</w:t>
            </w:r>
          </w:p>
        </w:tc>
      </w:tr>
      <w:tr w:rsidR="00D8098C" w:rsidRPr="00B853C6" w14:paraId="7BDA55CD" w14:textId="6465618D" w:rsidTr="003D447D">
        <w:tc>
          <w:tcPr>
            <w:tcW w:w="587" w:type="dxa"/>
            <w:shd w:val="clear" w:color="auto" w:fill="EEEEEE"/>
          </w:tcPr>
          <w:p w14:paraId="6F27FA73"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BC0019D"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400ADD58"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Report any additional statistics (e.g., assessments of heterogeneity </w:t>
            </w:r>
            <w:r w:rsidRPr="00A1236D">
              <w:rPr>
                <w:rFonts w:eastAsia="Times New Roman"/>
                <w:sz w:val="18"/>
                <w:szCs w:val="18"/>
                <w:lang w:eastAsia="en-GB"/>
              </w:rPr>
              <w:t>across genetic variants</w:t>
            </w:r>
            <w:r w:rsidRPr="00A1236D">
              <w:rPr>
                <w:rFonts w:eastAsia="Times New Roman"/>
                <w:sz w:val="18"/>
                <w:szCs w:val="18"/>
                <w:lang w:val="en-GB" w:eastAsia="en-GB"/>
              </w:rPr>
              <w:t xml:space="preserve">, such as </w:t>
            </w:r>
            <w:r w:rsidRPr="005A0D0D">
              <w:rPr>
                <w:rFonts w:eastAsia="Times New Roman"/>
                <w:i/>
                <w:sz w:val="18"/>
                <w:szCs w:val="18"/>
                <w:lang w:val="en-GB" w:eastAsia="en-GB"/>
              </w:rPr>
              <w:t>I</w:t>
            </w:r>
            <w:r w:rsidRPr="005A0D0D">
              <w:rPr>
                <w:rFonts w:eastAsia="Times New Roman"/>
                <w:i/>
                <w:sz w:val="18"/>
                <w:szCs w:val="18"/>
                <w:vertAlign w:val="superscript"/>
                <w:lang w:val="en-GB" w:eastAsia="en-GB"/>
              </w:rPr>
              <w:t>2</w:t>
            </w:r>
            <w:r w:rsidRPr="00A1236D">
              <w:rPr>
                <w:rFonts w:eastAsia="Times New Roman"/>
                <w:sz w:val="18"/>
                <w:szCs w:val="18"/>
                <w:lang w:val="en-GB" w:eastAsia="en-GB"/>
              </w:rPr>
              <w:t>, Q statistic or E-value)</w:t>
            </w:r>
          </w:p>
        </w:tc>
        <w:tc>
          <w:tcPr>
            <w:tcW w:w="720" w:type="dxa"/>
            <w:shd w:val="clear" w:color="auto" w:fill="EEEEEE"/>
          </w:tcPr>
          <w:p w14:paraId="2D6E39C6" w14:textId="24508B7F" w:rsidR="00D8098C" w:rsidRPr="002B49A6" w:rsidRDefault="002B49A6" w:rsidP="00426603">
            <w:pPr>
              <w:spacing w:beforeLines="40" w:before="96" w:afterLines="40" w:after="96" w:line="24" w:lineRule="atLeast"/>
              <w:rPr>
                <w:rFonts w:ascii="宋体" w:eastAsia="宋体" w:hAnsi="宋体" w:cs="宋体" w:hint="eastAsia"/>
                <w:sz w:val="18"/>
                <w:szCs w:val="18"/>
                <w:lang w:val="en-GB" w:eastAsia="zh-CN"/>
              </w:rPr>
            </w:pPr>
            <w:r>
              <w:rPr>
                <w:rFonts w:eastAsia="Times New Roman" w:hint="eastAsia"/>
                <w:sz w:val="18"/>
                <w:szCs w:val="18"/>
                <w:lang w:val="en-GB" w:eastAsia="zh-CN"/>
              </w:rPr>
              <w:t>12</w:t>
            </w:r>
            <w:r>
              <w:rPr>
                <w:rFonts w:ascii="宋体" w:eastAsia="宋体" w:hAnsi="宋体" w:cs="宋体" w:hint="eastAsia"/>
                <w:sz w:val="18"/>
                <w:szCs w:val="18"/>
                <w:lang w:val="en-GB" w:eastAsia="zh-CN"/>
              </w:rPr>
              <w:t>，</w:t>
            </w:r>
            <w:r w:rsidRPr="002B49A6">
              <w:rPr>
                <w:rFonts w:eastAsia="Times New Roman" w:hint="eastAsia"/>
                <w:sz w:val="18"/>
                <w:szCs w:val="18"/>
                <w:lang w:val="en-GB" w:eastAsia="zh-CN"/>
              </w:rPr>
              <w:t>18</w:t>
            </w:r>
          </w:p>
        </w:tc>
        <w:tc>
          <w:tcPr>
            <w:tcW w:w="4320" w:type="dxa"/>
            <w:shd w:val="clear" w:color="auto" w:fill="EEEEEE"/>
          </w:tcPr>
          <w:p w14:paraId="205C4ED8" w14:textId="2908A305" w:rsidR="00D8098C" w:rsidRDefault="002B49A6" w:rsidP="002B49A6">
            <w:pPr>
              <w:spacing w:beforeLines="40" w:before="96" w:afterLines="40" w:after="96" w:line="24" w:lineRule="atLeast"/>
              <w:jc w:val="both"/>
              <w:rPr>
                <w:rFonts w:eastAsia="Times New Roman"/>
                <w:sz w:val="18"/>
                <w:szCs w:val="18"/>
                <w:lang w:val="en-GB" w:eastAsia="en-GB"/>
              </w:rPr>
            </w:pPr>
            <w:r w:rsidRPr="002B49A6">
              <w:rPr>
                <w:rFonts w:eastAsia="Times New Roman"/>
                <w:sz w:val="18"/>
                <w:szCs w:val="18"/>
                <w:lang w:val="en-GB" w:eastAsia="en-GB"/>
              </w:rPr>
              <w:t>“In addition, heterogeneity and pleiotropy tests were performed using Cochran’s Q statistic, MR-Egger intercept test, and MR-PRESSO global test.” / “No signs of heterogeneity or pleiotropy were detected during our analysis and research process.”</w:t>
            </w:r>
          </w:p>
        </w:tc>
      </w:tr>
      <w:tr w:rsidR="00D8098C" w:rsidRPr="00B853C6" w14:paraId="23F1C43D" w14:textId="6396118D" w:rsidTr="003D447D">
        <w:tc>
          <w:tcPr>
            <w:tcW w:w="587" w:type="dxa"/>
          </w:tcPr>
          <w:p w14:paraId="021A9BB4"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13</w:t>
            </w:r>
          </w:p>
        </w:tc>
        <w:tc>
          <w:tcPr>
            <w:tcW w:w="1822" w:type="dxa"/>
          </w:tcPr>
          <w:p w14:paraId="51D3F02D"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Sensitivity analyses and additional analyses</w:t>
            </w:r>
          </w:p>
        </w:tc>
        <w:tc>
          <w:tcPr>
            <w:tcW w:w="7041" w:type="dxa"/>
          </w:tcPr>
          <w:p w14:paraId="4AB1D97F"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Pr>
          <w:p w14:paraId="50481D19"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tcPr>
          <w:p w14:paraId="0F2C43F0"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1ABE2F1D" w14:textId="316B0F58" w:rsidTr="003D447D">
        <w:tc>
          <w:tcPr>
            <w:tcW w:w="587" w:type="dxa"/>
            <w:shd w:val="clear" w:color="auto" w:fill="EEEEEE"/>
          </w:tcPr>
          <w:p w14:paraId="0D022F9B"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7E8FFD0"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EEEEEE"/>
          </w:tcPr>
          <w:p w14:paraId="30AA9260"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any sensitivity analyses to assess the robustness of the main results to violations of the assumptions</w:t>
            </w:r>
          </w:p>
        </w:tc>
        <w:tc>
          <w:tcPr>
            <w:tcW w:w="720" w:type="dxa"/>
            <w:shd w:val="clear" w:color="auto" w:fill="EEEEEE"/>
          </w:tcPr>
          <w:p w14:paraId="39DB2F0E" w14:textId="2676F345" w:rsidR="00D8098C" w:rsidRPr="00A1236D" w:rsidRDefault="002B49A6" w:rsidP="00426603">
            <w:pPr>
              <w:spacing w:beforeLines="40" w:before="96" w:afterLines="40" w:after="96" w:line="24" w:lineRule="atLeast"/>
              <w:rPr>
                <w:rFonts w:eastAsia="Times New Roman" w:hint="eastAsia"/>
                <w:sz w:val="18"/>
                <w:szCs w:val="18"/>
                <w:lang w:val="en-GB" w:eastAsia="zh-CN"/>
              </w:rPr>
            </w:pPr>
            <w:r>
              <w:rPr>
                <w:rFonts w:eastAsia="Times New Roman" w:hint="eastAsia"/>
                <w:sz w:val="18"/>
                <w:szCs w:val="18"/>
                <w:lang w:val="en-GB" w:eastAsia="zh-CN"/>
              </w:rPr>
              <w:t>12</w:t>
            </w:r>
          </w:p>
        </w:tc>
        <w:tc>
          <w:tcPr>
            <w:tcW w:w="4320" w:type="dxa"/>
            <w:shd w:val="clear" w:color="auto" w:fill="EEEEEE"/>
          </w:tcPr>
          <w:p w14:paraId="73386906" w14:textId="049B6CE9" w:rsidR="00D8098C" w:rsidRDefault="002B49A6" w:rsidP="002B49A6">
            <w:pPr>
              <w:spacing w:beforeLines="40" w:before="96" w:afterLines="40" w:after="96" w:line="24" w:lineRule="atLeast"/>
              <w:jc w:val="both"/>
              <w:rPr>
                <w:rFonts w:eastAsia="Times New Roman"/>
                <w:sz w:val="18"/>
                <w:szCs w:val="18"/>
                <w:lang w:val="en-GB" w:eastAsia="en-GB"/>
              </w:rPr>
            </w:pPr>
            <w:r w:rsidRPr="002B49A6">
              <w:rPr>
                <w:rFonts w:eastAsia="Times New Roman"/>
                <w:sz w:val="18"/>
                <w:szCs w:val="18"/>
                <w:lang w:val="en-GB" w:eastAsia="en-GB"/>
              </w:rPr>
              <w:t>“Leave-one-out analysis showed that the association between genetically predicted 3-hydroxybutyrate and NAFLD was not driven by any single SNP.” / “Similar leave-one-out results were observed for acetoacetate and acetone…”</w:t>
            </w:r>
          </w:p>
        </w:tc>
      </w:tr>
      <w:tr w:rsidR="00D8098C" w:rsidRPr="00B853C6" w14:paraId="3696A9F1" w14:textId="63B96DDA" w:rsidTr="003D447D">
        <w:tc>
          <w:tcPr>
            <w:tcW w:w="587" w:type="dxa"/>
          </w:tcPr>
          <w:p w14:paraId="0D2234E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tcPr>
          <w:p w14:paraId="7453E1FF"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tcPr>
          <w:p w14:paraId="5111E54D"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results from other sensitivity analyses or additional analyses</w:t>
            </w:r>
          </w:p>
        </w:tc>
        <w:tc>
          <w:tcPr>
            <w:tcW w:w="720" w:type="dxa"/>
          </w:tcPr>
          <w:p w14:paraId="09DB5D5B" w14:textId="77777777" w:rsidR="00D8098C" w:rsidRDefault="002B49A6" w:rsidP="00426603">
            <w:pPr>
              <w:spacing w:beforeLines="40" w:before="96" w:afterLines="40" w:after="96" w:line="24" w:lineRule="atLeast"/>
              <w:rPr>
                <w:rFonts w:ascii="宋体" w:eastAsia="宋体" w:hAnsi="宋体" w:cs="宋体"/>
                <w:sz w:val="18"/>
                <w:szCs w:val="18"/>
                <w:lang w:val="en-GB" w:eastAsia="zh-CN"/>
              </w:rPr>
            </w:pPr>
            <w:r>
              <w:rPr>
                <w:rFonts w:eastAsia="Times New Roman" w:hint="eastAsia"/>
                <w:sz w:val="18"/>
                <w:szCs w:val="18"/>
                <w:lang w:val="en-GB" w:eastAsia="zh-CN"/>
              </w:rPr>
              <w:t>11</w:t>
            </w:r>
            <w:r>
              <w:rPr>
                <w:rFonts w:ascii="宋体" w:eastAsia="宋体" w:hAnsi="宋体" w:cs="宋体" w:hint="eastAsia"/>
                <w:sz w:val="18"/>
                <w:szCs w:val="18"/>
                <w:lang w:val="en-GB" w:eastAsia="zh-CN"/>
              </w:rPr>
              <w:t>，</w:t>
            </w:r>
          </w:p>
          <w:p w14:paraId="447F5BF5" w14:textId="4DFA0A08" w:rsidR="002B49A6" w:rsidRPr="002B49A6" w:rsidRDefault="002B49A6" w:rsidP="00426603">
            <w:pPr>
              <w:spacing w:beforeLines="40" w:before="96" w:afterLines="40" w:after="96" w:line="24" w:lineRule="atLeast"/>
              <w:rPr>
                <w:rFonts w:ascii="宋体" w:eastAsia="宋体" w:hAnsi="宋体" w:cs="宋体" w:hint="eastAsia"/>
                <w:sz w:val="18"/>
                <w:szCs w:val="18"/>
                <w:lang w:val="en-GB" w:eastAsia="zh-CN"/>
              </w:rPr>
            </w:pPr>
            <w:r w:rsidRPr="002B49A6">
              <w:rPr>
                <w:rFonts w:eastAsia="Times New Roman" w:hint="eastAsia"/>
                <w:sz w:val="18"/>
                <w:szCs w:val="18"/>
                <w:lang w:val="en-GB" w:eastAsia="zh-CN"/>
              </w:rPr>
              <w:t>13</w:t>
            </w:r>
          </w:p>
        </w:tc>
        <w:tc>
          <w:tcPr>
            <w:tcW w:w="4320" w:type="dxa"/>
          </w:tcPr>
          <w:p w14:paraId="5BB83735" w14:textId="5C0322A5" w:rsidR="00D8098C" w:rsidRDefault="002B49A6" w:rsidP="002B49A6">
            <w:pPr>
              <w:spacing w:beforeLines="40" w:before="96" w:afterLines="40" w:after="96" w:line="24" w:lineRule="atLeast"/>
              <w:jc w:val="both"/>
              <w:rPr>
                <w:rFonts w:eastAsia="Times New Roman"/>
                <w:sz w:val="18"/>
                <w:szCs w:val="18"/>
                <w:lang w:val="en-GB" w:eastAsia="en-GB"/>
              </w:rPr>
            </w:pPr>
            <w:r w:rsidRPr="002B49A6">
              <w:rPr>
                <w:rFonts w:eastAsia="Times New Roman"/>
                <w:sz w:val="18"/>
                <w:szCs w:val="18"/>
                <w:lang w:val="en-GB" w:eastAsia="en-GB"/>
              </w:rPr>
              <w:t xml:space="preserve">“Reverse Mendelian randomization analyses were performed to evaluate whether genetic liability to NAFLD affected circulating levels of ketone bodies.” / “The multivariable MR analysis further supported </w:t>
            </w:r>
            <w:r w:rsidRPr="002B49A6">
              <w:rPr>
                <w:rFonts w:eastAsia="Times New Roman"/>
                <w:sz w:val="18"/>
                <w:szCs w:val="18"/>
                <w:lang w:val="en-GB" w:eastAsia="en-GB"/>
              </w:rPr>
              <w:lastRenderedPageBreak/>
              <w:t>the specificity of the association between 3-hydroxybutyrate and NAFLD.”</w:t>
            </w:r>
          </w:p>
        </w:tc>
      </w:tr>
      <w:tr w:rsidR="00D8098C" w:rsidRPr="00B853C6" w14:paraId="1650BAB8" w14:textId="79D11DE7" w:rsidTr="003D447D">
        <w:tc>
          <w:tcPr>
            <w:tcW w:w="587" w:type="dxa"/>
            <w:shd w:val="clear" w:color="auto" w:fill="EEEEEE"/>
          </w:tcPr>
          <w:p w14:paraId="4D025CC4"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EAD995A"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EEEEEE"/>
          </w:tcPr>
          <w:p w14:paraId="14E0FCD9"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Report any assessment of direction of causal relationship (e.g., bidirectional MR)</w:t>
            </w:r>
          </w:p>
        </w:tc>
        <w:tc>
          <w:tcPr>
            <w:tcW w:w="720" w:type="dxa"/>
            <w:shd w:val="clear" w:color="auto" w:fill="EEEEEE"/>
          </w:tcPr>
          <w:p w14:paraId="03D1A085" w14:textId="179C5005" w:rsidR="00D8098C" w:rsidRPr="00A1236D" w:rsidRDefault="002B49A6" w:rsidP="00426603">
            <w:pPr>
              <w:spacing w:beforeLines="40" w:before="96" w:afterLines="40" w:after="96" w:line="24" w:lineRule="atLeast"/>
              <w:rPr>
                <w:rFonts w:eastAsia="Times New Roman" w:hint="eastAsia"/>
                <w:sz w:val="18"/>
                <w:szCs w:val="18"/>
                <w:lang w:val="en-GB" w:eastAsia="zh-CN"/>
              </w:rPr>
            </w:pPr>
            <w:r>
              <w:rPr>
                <w:rFonts w:eastAsia="Times New Roman" w:hint="eastAsia"/>
                <w:sz w:val="18"/>
                <w:szCs w:val="18"/>
                <w:lang w:val="en-GB" w:eastAsia="zh-CN"/>
              </w:rPr>
              <w:t>11</w:t>
            </w:r>
          </w:p>
        </w:tc>
        <w:tc>
          <w:tcPr>
            <w:tcW w:w="4320" w:type="dxa"/>
            <w:shd w:val="clear" w:color="auto" w:fill="EEEEEE"/>
          </w:tcPr>
          <w:p w14:paraId="66751F07" w14:textId="5FF434E1" w:rsidR="00D8098C" w:rsidRDefault="002B49A6" w:rsidP="002B49A6">
            <w:pPr>
              <w:spacing w:beforeLines="40" w:before="96" w:afterLines="40" w:after="96" w:line="24" w:lineRule="atLeast"/>
              <w:jc w:val="both"/>
              <w:rPr>
                <w:rFonts w:eastAsia="Times New Roman"/>
                <w:sz w:val="18"/>
                <w:szCs w:val="18"/>
                <w:lang w:val="en-GB" w:eastAsia="en-GB"/>
              </w:rPr>
            </w:pPr>
            <w:r w:rsidRPr="002B49A6">
              <w:rPr>
                <w:rFonts w:eastAsia="Times New Roman"/>
                <w:sz w:val="18"/>
                <w:szCs w:val="18"/>
                <w:lang w:val="en-GB" w:eastAsia="en-GB"/>
              </w:rPr>
              <w:t>“The results did not provide significant evidence that NAFLD causally influenced circulating ketone body levels.” / “These findings suggest that the observed forward association between 3-hydroxybutyrate and NAFLD is unlikely to be fully explained by reverse causality.”</w:t>
            </w:r>
          </w:p>
        </w:tc>
      </w:tr>
      <w:tr w:rsidR="00D8098C" w:rsidRPr="00B853C6" w14:paraId="2034ACF7" w14:textId="19A8CB33" w:rsidTr="003D447D">
        <w:tc>
          <w:tcPr>
            <w:tcW w:w="587" w:type="dxa"/>
          </w:tcPr>
          <w:p w14:paraId="3217ECE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tcPr>
          <w:p w14:paraId="5AE90FE5"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tcPr>
          <w:p w14:paraId="3A13AF31"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When relevant, report and compare with estimates from non-MR analyses</w:t>
            </w:r>
          </w:p>
        </w:tc>
        <w:tc>
          <w:tcPr>
            <w:tcW w:w="720" w:type="dxa"/>
          </w:tcPr>
          <w:p w14:paraId="528F9F4C" w14:textId="639F4AF4" w:rsidR="00D8098C" w:rsidRPr="00A1236D" w:rsidRDefault="002B49A6" w:rsidP="00426603">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zh-CN"/>
              </w:rPr>
              <w:t>NA</w:t>
            </w:r>
          </w:p>
        </w:tc>
        <w:tc>
          <w:tcPr>
            <w:tcW w:w="4320" w:type="dxa"/>
          </w:tcPr>
          <w:p w14:paraId="7B882C5B" w14:textId="4EB99754" w:rsidR="00D8098C" w:rsidRDefault="002B49A6" w:rsidP="00426603">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zh-CN"/>
              </w:rPr>
              <w:t>NA</w:t>
            </w:r>
          </w:p>
        </w:tc>
      </w:tr>
      <w:tr w:rsidR="00D8098C" w:rsidRPr="00B853C6" w14:paraId="3E7CFBFC" w14:textId="3F99A047" w:rsidTr="003D447D">
        <w:tc>
          <w:tcPr>
            <w:tcW w:w="587" w:type="dxa"/>
            <w:tcBorders>
              <w:bottom w:val="single" w:sz="6" w:space="0" w:color="7F7F7F"/>
            </w:tcBorders>
            <w:shd w:val="clear" w:color="auto" w:fill="EEEEEE"/>
          </w:tcPr>
          <w:p w14:paraId="1FDC421F"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tcBorders>
              <w:bottom w:val="single" w:sz="6" w:space="0" w:color="7F7F7F"/>
            </w:tcBorders>
            <w:shd w:val="clear" w:color="auto" w:fill="EEEEEE"/>
          </w:tcPr>
          <w:p w14:paraId="5FE15030"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7041" w:type="dxa"/>
            <w:tcBorders>
              <w:bottom w:val="single" w:sz="6" w:space="0" w:color="7F7F7F"/>
            </w:tcBorders>
            <w:shd w:val="clear" w:color="auto" w:fill="EEEEEE"/>
          </w:tcPr>
          <w:p w14:paraId="61CE32BA"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Consider additional plots to visualize results (e.g., leave-one-out analyses)</w:t>
            </w:r>
          </w:p>
        </w:tc>
        <w:tc>
          <w:tcPr>
            <w:tcW w:w="720" w:type="dxa"/>
            <w:tcBorders>
              <w:bottom w:val="single" w:sz="6" w:space="0" w:color="7F7F7F"/>
            </w:tcBorders>
            <w:shd w:val="clear" w:color="auto" w:fill="EEEEEE"/>
          </w:tcPr>
          <w:p w14:paraId="33892A62" w14:textId="6E2C99E5" w:rsidR="00D8098C" w:rsidRPr="00A1236D" w:rsidRDefault="002B49A6" w:rsidP="00426603">
            <w:pPr>
              <w:spacing w:beforeLines="40" w:before="96" w:afterLines="40" w:after="96" w:line="24" w:lineRule="atLeast"/>
              <w:rPr>
                <w:rFonts w:eastAsia="Times New Roman" w:hint="eastAsia"/>
                <w:sz w:val="18"/>
                <w:szCs w:val="18"/>
                <w:lang w:val="en-GB" w:eastAsia="zh-CN"/>
              </w:rPr>
            </w:pPr>
            <w:r>
              <w:rPr>
                <w:rFonts w:eastAsia="Times New Roman" w:hint="eastAsia"/>
                <w:sz w:val="18"/>
                <w:szCs w:val="18"/>
                <w:lang w:val="en-GB" w:eastAsia="zh-CN"/>
              </w:rPr>
              <w:t>13</w:t>
            </w:r>
          </w:p>
        </w:tc>
        <w:tc>
          <w:tcPr>
            <w:tcW w:w="4320" w:type="dxa"/>
            <w:tcBorders>
              <w:bottom w:val="single" w:sz="6" w:space="0" w:color="7F7F7F"/>
            </w:tcBorders>
            <w:shd w:val="clear" w:color="auto" w:fill="EEEEEE"/>
          </w:tcPr>
          <w:p w14:paraId="03A6AB93" w14:textId="59C5EF43" w:rsidR="00D8098C" w:rsidRDefault="002B49A6" w:rsidP="002B49A6">
            <w:pPr>
              <w:spacing w:beforeLines="40" w:before="96" w:afterLines="40" w:after="96" w:line="24" w:lineRule="atLeast"/>
              <w:jc w:val="both"/>
              <w:rPr>
                <w:rFonts w:eastAsia="Times New Roman"/>
                <w:sz w:val="18"/>
                <w:szCs w:val="18"/>
                <w:lang w:val="en-GB" w:eastAsia="en-GB"/>
              </w:rPr>
            </w:pPr>
            <w:r w:rsidRPr="002B49A6">
              <w:rPr>
                <w:rFonts w:eastAsia="Times New Roman"/>
                <w:sz w:val="18"/>
                <w:szCs w:val="18"/>
                <w:lang w:val="en-GB" w:eastAsia="en-GB"/>
              </w:rPr>
              <w:t>“Fig.4 The leave-one-out analysis plot of SNPs associated with ketone bodies and NAFLD. A: 3-Hydroxybutyrate; B: Acetoacetate; C: Acetone.”</w:t>
            </w:r>
          </w:p>
        </w:tc>
      </w:tr>
      <w:tr w:rsidR="00D8098C" w:rsidRPr="00B853C6" w14:paraId="5B7D2773" w14:textId="7D8D257A" w:rsidTr="003D447D">
        <w:tc>
          <w:tcPr>
            <w:tcW w:w="587" w:type="dxa"/>
            <w:tcBorders>
              <w:top w:val="single" w:sz="6" w:space="0" w:color="7F7F7F"/>
            </w:tcBorders>
          </w:tcPr>
          <w:p w14:paraId="5BDBDA65"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tcPr>
          <w:p w14:paraId="1C564B75"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DISCUSSION</w:t>
            </w:r>
          </w:p>
        </w:tc>
        <w:tc>
          <w:tcPr>
            <w:tcW w:w="7041" w:type="dxa"/>
            <w:tcBorders>
              <w:top w:val="single" w:sz="6" w:space="0" w:color="7F7F7F"/>
            </w:tcBorders>
          </w:tcPr>
          <w:p w14:paraId="35997729"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1AAD7FFB"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2AE3A897"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1800AF05" w14:textId="4BEA2748" w:rsidTr="003D447D">
        <w:tc>
          <w:tcPr>
            <w:tcW w:w="587" w:type="dxa"/>
            <w:shd w:val="clear" w:color="auto" w:fill="EEEEEE"/>
          </w:tcPr>
          <w:p w14:paraId="6B5F5286"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14</w:t>
            </w:r>
          </w:p>
        </w:tc>
        <w:tc>
          <w:tcPr>
            <w:tcW w:w="1822" w:type="dxa"/>
            <w:shd w:val="clear" w:color="auto" w:fill="EEEEEE"/>
          </w:tcPr>
          <w:p w14:paraId="42EDC029"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Key results </w:t>
            </w:r>
          </w:p>
        </w:tc>
        <w:tc>
          <w:tcPr>
            <w:tcW w:w="7041" w:type="dxa"/>
            <w:shd w:val="clear" w:color="auto" w:fill="EEEEEE"/>
          </w:tcPr>
          <w:p w14:paraId="35F1CADF"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Summarize key results with reference to study objectives</w:t>
            </w:r>
          </w:p>
        </w:tc>
        <w:tc>
          <w:tcPr>
            <w:tcW w:w="720" w:type="dxa"/>
            <w:shd w:val="clear" w:color="auto" w:fill="EEEEEE"/>
          </w:tcPr>
          <w:p w14:paraId="2C7117BF" w14:textId="319EB6A0" w:rsidR="00D8098C" w:rsidRPr="002B49A6" w:rsidRDefault="002B49A6" w:rsidP="00426603">
            <w:pPr>
              <w:spacing w:beforeLines="40" w:before="96" w:afterLines="40" w:after="96" w:line="24" w:lineRule="atLeast"/>
              <w:rPr>
                <w:rFonts w:eastAsia="Times New Roman" w:hint="eastAsia"/>
                <w:sz w:val="18"/>
                <w:szCs w:val="18"/>
                <w:lang w:val="en-GB" w:eastAsia="zh-CN"/>
              </w:rPr>
            </w:pPr>
            <w:r>
              <w:rPr>
                <w:rFonts w:eastAsia="Times New Roman" w:hint="eastAsia"/>
                <w:sz w:val="18"/>
                <w:szCs w:val="18"/>
                <w:lang w:val="en-GB" w:eastAsia="zh-CN"/>
              </w:rPr>
              <w:t>14</w:t>
            </w:r>
            <w:r w:rsidRPr="002B49A6">
              <w:rPr>
                <w:rFonts w:ascii="微软雅黑" w:eastAsia="微软雅黑" w:hAnsi="微软雅黑" w:cs="微软雅黑" w:hint="eastAsia"/>
                <w:sz w:val="18"/>
                <w:szCs w:val="18"/>
                <w:lang w:val="en-GB" w:eastAsia="zh-CN"/>
              </w:rPr>
              <w:t>，</w:t>
            </w:r>
            <w:r w:rsidRPr="002B49A6">
              <w:rPr>
                <w:rFonts w:eastAsia="Times New Roman" w:hint="eastAsia"/>
                <w:sz w:val="18"/>
                <w:szCs w:val="18"/>
                <w:lang w:val="en-GB" w:eastAsia="zh-CN"/>
              </w:rPr>
              <w:t>19</w:t>
            </w:r>
          </w:p>
        </w:tc>
        <w:tc>
          <w:tcPr>
            <w:tcW w:w="4320" w:type="dxa"/>
            <w:shd w:val="clear" w:color="auto" w:fill="EEEEEE"/>
          </w:tcPr>
          <w:p w14:paraId="70F1DDE7" w14:textId="46CB89FD" w:rsidR="00D8098C" w:rsidRPr="002B49A6" w:rsidRDefault="002B49A6" w:rsidP="002B49A6">
            <w:pPr>
              <w:spacing w:beforeLines="40" w:before="96" w:afterLines="40" w:after="96" w:line="24" w:lineRule="atLeast"/>
              <w:jc w:val="both"/>
              <w:rPr>
                <w:rFonts w:eastAsia="Times New Roman"/>
                <w:sz w:val="18"/>
                <w:szCs w:val="18"/>
                <w:lang w:val="en-GB" w:eastAsia="en-GB"/>
              </w:rPr>
            </w:pPr>
            <w:r w:rsidRPr="002B49A6">
              <w:rPr>
                <w:rFonts w:eastAsia="Times New Roman"/>
                <w:sz w:val="18"/>
                <w:szCs w:val="18"/>
                <w:lang w:val="en-GB" w:eastAsia="en-GB"/>
              </w:rPr>
              <w:t>“Mendelian randomization analysis showed a negative correlation between 3-hydroxybutyrate and NAFLD.” / “In summary, this MR study provides genetic evidence suggesting that genetically predicted higher 3-hydroxybutyrate levels may be associated with a reduced risk of NAFLD.” / “The association remained significant in multivariable MR analysis including acetoacetate and acetone.”</w:t>
            </w:r>
          </w:p>
        </w:tc>
      </w:tr>
      <w:tr w:rsidR="00D8098C" w:rsidRPr="00B853C6" w14:paraId="06BFAFA4" w14:textId="151FB6CE" w:rsidTr="003D447D">
        <w:tc>
          <w:tcPr>
            <w:tcW w:w="587" w:type="dxa"/>
          </w:tcPr>
          <w:p w14:paraId="6D471CC5"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15</w:t>
            </w:r>
          </w:p>
        </w:tc>
        <w:tc>
          <w:tcPr>
            <w:tcW w:w="1822" w:type="dxa"/>
          </w:tcPr>
          <w:p w14:paraId="5C27961E"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Limitations</w:t>
            </w:r>
          </w:p>
        </w:tc>
        <w:tc>
          <w:tcPr>
            <w:tcW w:w="7041" w:type="dxa"/>
          </w:tcPr>
          <w:p w14:paraId="75B6F41B"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Discuss limitations of the study, taking into account the validity of the IV assumptions, other sources of potential bias, and imprecision. Discuss both direction and magnitude of any potential bias and any efforts to address them</w:t>
            </w:r>
            <w:r w:rsidRPr="00A1236D">
              <w:rPr>
                <w:rFonts w:eastAsia="Times New Roman"/>
                <w:sz w:val="18"/>
                <w:szCs w:val="18"/>
                <w:shd w:val="clear" w:color="auto" w:fill="FFFFFF"/>
                <w:lang w:val="en-GB" w:eastAsia="en-GB"/>
              </w:rPr>
              <w:t> </w:t>
            </w:r>
          </w:p>
        </w:tc>
        <w:tc>
          <w:tcPr>
            <w:tcW w:w="720" w:type="dxa"/>
          </w:tcPr>
          <w:p w14:paraId="201D4281" w14:textId="65852E89" w:rsidR="00D8098C" w:rsidRPr="00A1236D" w:rsidRDefault="002B49A6" w:rsidP="00426603">
            <w:pPr>
              <w:spacing w:beforeLines="40" w:before="96" w:afterLines="40" w:after="96" w:line="24" w:lineRule="atLeast"/>
              <w:rPr>
                <w:rFonts w:eastAsia="Times New Roman" w:hint="eastAsia"/>
                <w:sz w:val="18"/>
                <w:szCs w:val="18"/>
                <w:lang w:val="en-GB" w:eastAsia="zh-CN"/>
              </w:rPr>
            </w:pPr>
            <w:r>
              <w:rPr>
                <w:rFonts w:eastAsia="Times New Roman" w:hint="eastAsia"/>
                <w:sz w:val="18"/>
                <w:szCs w:val="18"/>
                <w:lang w:val="en-GB" w:eastAsia="zh-CN"/>
              </w:rPr>
              <w:t>18-19</w:t>
            </w:r>
          </w:p>
        </w:tc>
        <w:tc>
          <w:tcPr>
            <w:tcW w:w="4320" w:type="dxa"/>
          </w:tcPr>
          <w:p w14:paraId="7CB4BA33" w14:textId="1A3EEF88" w:rsidR="00D8098C" w:rsidRDefault="002B49A6" w:rsidP="00A36D79">
            <w:pPr>
              <w:spacing w:beforeLines="40" w:before="96" w:afterLines="40" w:after="96" w:line="24" w:lineRule="atLeast"/>
              <w:jc w:val="both"/>
              <w:rPr>
                <w:rFonts w:eastAsia="Times New Roman"/>
                <w:sz w:val="18"/>
                <w:szCs w:val="18"/>
                <w:lang w:val="en-GB" w:eastAsia="en-GB"/>
              </w:rPr>
            </w:pPr>
            <w:r w:rsidRPr="002B49A6">
              <w:rPr>
                <w:rFonts w:eastAsia="Times New Roman"/>
                <w:sz w:val="18"/>
                <w:szCs w:val="18"/>
                <w:lang w:val="en-GB" w:eastAsia="en-GB"/>
              </w:rPr>
              <w:t>“These sensitivity analyses supported the robustness of the MR findings, although potential horizontal pleiotropy cannot be completely excluded.” / “Mendelian randomization is constrained by pleiotropy, population stratification, the complexity of developmental biology, and limitations in data and methodology.”</w:t>
            </w:r>
          </w:p>
        </w:tc>
      </w:tr>
      <w:tr w:rsidR="00D8098C" w:rsidRPr="00B853C6" w14:paraId="71F8B8B5" w14:textId="34C247AC" w:rsidTr="003D447D">
        <w:tc>
          <w:tcPr>
            <w:tcW w:w="587" w:type="dxa"/>
            <w:shd w:val="clear" w:color="auto" w:fill="EEEEEE"/>
          </w:tcPr>
          <w:p w14:paraId="02C1D590"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16</w:t>
            </w:r>
          </w:p>
        </w:tc>
        <w:tc>
          <w:tcPr>
            <w:tcW w:w="1822" w:type="dxa"/>
            <w:shd w:val="clear" w:color="auto" w:fill="EEEEEE"/>
          </w:tcPr>
          <w:p w14:paraId="612AA484"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Interpretation</w:t>
            </w:r>
          </w:p>
        </w:tc>
        <w:tc>
          <w:tcPr>
            <w:tcW w:w="7041" w:type="dxa"/>
            <w:shd w:val="clear" w:color="auto" w:fill="EEEEEE"/>
          </w:tcPr>
          <w:p w14:paraId="3BF6466E"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shd w:val="clear" w:color="auto" w:fill="EEEEEE"/>
          </w:tcPr>
          <w:p w14:paraId="4B5179B2"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shd w:val="clear" w:color="auto" w:fill="EEEEEE"/>
          </w:tcPr>
          <w:p w14:paraId="1C445080"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62E6D51A" w14:textId="140D03A2" w:rsidTr="003D447D">
        <w:tc>
          <w:tcPr>
            <w:tcW w:w="587" w:type="dxa"/>
          </w:tcPr>
          <w:p w14:paraId="6DD2F44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tcPr>
          <w:p w14:paraId="50F26A29"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tcPr>
          <w:p w14:paraId="7EDF9868" w14:textId="096ED659" w:rsidR="00D8098C" w:rsidRPr="00A1236D" w:rsidRDefault="00D8098C" w:rsidP="00685D31">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Meaning: Give a cautious overall interpretation of results in the context of their limitations </w:t>
            </w:r>
            <w:proofErr w:type="gramStart"/>
            <w:r w:rsidRPr="00A1236D">
              <w:rPr>
                <w:rFonts w:eastAsia="Times New Roman"/>
                <w:sz w:val="18"/>
                <w:szCs w:val="18"/>
                <w:lang w:val="en-GB" w:eastAsia="en-GB"/>
              </w:rPr>
              <w:t xml:space="preserve">and in comparison </w:t>
            </w:r>
            <w:proofErr w:type="gramEnd"/>
            <w:r w:rsidR="00685D31">
              <w:rPr>
                <w:rFonts w:eastAsia="Times New Roman"/>
                <w:sz w:val="18"/>
                <w:szCs w:val="18"/>
                <w:lang w:val="en-GB" w:eastAsia="en-GB"/>
              </w:rPr>
              <w:t>with</w:t>
            </w:r>
            <w:r w:rsidRPr="00A1236D">
              <w:rPr>
                <w:rFonts w:eastAsia="Times New Roman"/>
                <w:sz w:val="18"/>
                <w:szCs w:val="18"/>
                <w:lang w:val="en-GB" w:eastAsia="en-GB"/>
              </w:rPr>
              <w:t xml:space="preserve"> other studies</w:t>
            </w:r>
          </w:p>
        </w:tc>
        <w:tc>
          <w:tcPr>
            <w:tcW w:w="720" w:type="dxa"/>
          </w:tcPr>
          <w:p w14:paraId="565CC165" w14:textId="6844D7F8" w:rsidR="00D8098C" w:rsidRPr="00A1236D" w:rsidRDefault="002B49A6" w:rsidP="00426603">
            <w:pPr>
              <w:spacing w:beforeLines="40" w:before="96" w:afterLines="40" w:after="96" w:line="24" w:lineRule="atLeast"/>
              <w:rPr>
                <w:rFonts w:eastAsia="Times New Roman" w:hint="eastAsia"/>
                <w:sz w:val="18"/>
                <w:szCs w:val="18"/>
                <w:lang w:val="en-GB" w:eastAsia="zh-CN"/>
              </w:rPr>
            </w:pPr>
            <w:r>
              <w:rPr>
                <w:rFonts w:eastAsia="Times New Roman" w:hint="eastAsia"/>
                <w:sz w:val="18"/>
                <w:szCs w:val="18"/>
                <w:lang w:val="en-GB" w:eastAsia="zh-CN"/>
              </w:rPr>
              <w:t>19</w:t>
            </w:r>
          </w:p>
        </w:tc>
        <w:tc>
          <w:tcPr>
            <w:tcW w:w="4320" w:type="dxa"/>
          </w:tcPr>
          <w:p w14:paraId="5251245C" w14:textId="65BD6E0B" w:rsidR="00D8098C" w:rsidRDefault="002B49A6" w:rsidP="00A36D79">
            <w:pPr>
              <w:spacing w:beforeLines="40" w:before="96" w:afterLines="40" w:after="96" w:line="24" w:lineRule="atLeast"/>
              <w:jc w:val="both"/>
              <w:rPr>
                <w:rFonts w:eastAsia="Times New Roman"/>
                <w:sz w:val="18"/>
                <w:szCs w:val="18"/>
                <w:lang w:val="en-GB" w:eastAsia="en-GB"/>
              </w:rPr>
            </w:pPr>
            <w:r w:rsidRPr="002B49A6">
              <w:rPr>
                <w:rFonts w:eastAsia="Times New Roman"/>
                <w:sz w:val="18"/>
                <w:szCs w:val="18"/>
                <w:lang w:val="en-GB" w:eastAsia="en-GB"/>
              </w:rPr>
              <w:t>“Therefore, when applying and interpreting MR findings, it is advisable to integrate MR evidence with other evidence from experimental studies, clinical trials, and prospective observational research to form more comprehensive and reliable causal conclusions.”</w:t>
            </w:r>
          </w:p>
        </w:tc>
      </w:tr>
      <w:tr w:rsidR="00D8098C" w:rsidRPr="00B853C6" w14:paraId="156B69E5" w14:textId="453FC5BE" w:rsidTr="003D447D">
        <w:tc>
          <w:tcPr>
            <w:tcW w:w="587" w:type="dxa"/>
            <w:shd w:val="clear" w:color="auto" w:fill="EEEEEE"/>
          </w:tcPr>
          <w:p w14:paraId="4C8A221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A4A5F16"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422EB891" w14:textId="35DEA636"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 xml:space="preserve">Mechanism: Discuss underlying biological mechanisms that could drive a potential causal relationship between the investigated exposure and the outcome, and whether the gene-environment equivalence assumption is reasonable. Use causal language </w:t>
            </w:r>
            <w:r w:rsidRPr="00A1236D">
              <w:rPr>
                <w:rFonts w:eastAsia="Times New Roman"/>
                <w:sz w:val="18"/>
                <w:szCs w:val="18"/>
                <w:lang w:val="en-GB" w:eastAsia="en-GB"/>
              </w:rPr>
              <w:lastRenderedPageBreak/>
              <w:t xml:space="preserve">carefully, clarifying that IV estimates may provide causal effects </w:t>
            </w:r>
            <w:r w:rsidR="00ED48A3">
              <w:rPr>
                <w:rFonts w:eastAsia="Times New Roman"/>
                <w:sz w:val="18"/>
                <w:szCs w:val="18"/>
                <w:lang w:val="en-GB" w:eastAsia="en-GB"/>
              </w:rPr>
              <w:t xml:space="preserve">only </w:t>
            </w:r>
            <w:r w:rsidRPr="00A1236D">
              <w:rPr>
                <w:rFonts w:eastAsia="Times New Roman"/>
                <w:sz w:val="18"/>
                <w:szCs w:val="18"/>
                <w:lang w:val="en-GB" w:eastAsia="en-GB"/>
              </w:rPr>
              <w:t xml:space="preserve">under certain assumptions </w:t>
            </w:r>
          </w:p>
        </w:tc>
        <w:tc>
          <w:tcPr>
            <w:tcW w:w="720" w:type="dxa"/>
            <w:shd w:val="clear" w:color="auto" w:fill="EEEEEE"/>
          </w:tcPr>
          <w:p w14:paraId="2FA4AA4D" w14:textId="2483EF4E" w:rsidR="00D8098C" w:rsidRPr="00A1236D" w:rsidRDefault="002B49A6" w:rsidP="00426603">
            <w:pPr>
              <w:spacing w:beforeLines="40" w:before="96" w:afterLines="40" w:after="96" w:line="24" w:lineRule="atLeast"/>
              <w:rPr>
                <w:rFonts w:eastAsia="Times New Roman" w:hint="eastAsia"/>
                <w:sz w:val="18"/>
                <w:szCs w:val="18"/>
                <w:lang w:val="en-GB" w:eastAsia="zh-CN"/>
              </w:rPr>
            </w:pPr>
            <w:r>
              <w:rPr>
                <w:rFonts w:eastAsia="Times New Roman" w:hint="eastAsia"/>
                <w:sz w:val="18"/>
                <w:szCs w:val="18"/>
                <w:lang w:val="en-GB" w:eastAsia="zh-CN"/>
              </w:rPr>
              <w:lastRenderedPageBreak/>
              <w:t>14-15</w:t>
            </w:r>
          </w:p>
        </w:tc>
        <w:tc>
          <w:tcPr>
            <w:tcW w:w="4320" w:type="dxa"/>
            <w:shd w:val="clear" w:color="auto" w:fill="EEEEEE"/>
          </w:tcPr>
          <w:p w14:paraId="3A91F000" w14:textId="07D2282E" w:rsidR="00D8098C" w:rsidRDefault="002B49A6" w:rsidP="002B49A6">
            <w:pPr>
              <w:spacing w:beforeLines="40" w:before="96" w:afterLines="40" w:after="96" w:line="24" w:lineRule="atLeast"/>
              <w:jc w:val="both"/>
              <w:rPr>
                <w:rFonts w:eastAsia="Times New Roman"/>
                <w:sz w:val="18"/>
                <w:szCs w:val="18"/>
                <w:lang w:val="en-GB" w:eastAsia="en-GB"/>
              </w:rPr>
            </w:pPr>
            <w:r w:rsidRPr="002B49A6">
              <w:rPr>
                <w:rFonts w:eastAsia="Times New Roman"/>
                <w:sz w:val="18"/>
                <w:szCs w:val="18"/>
                <w:lang w:val="en-GB" w:eastAsia="en-GB"/>
              </w:rPr>
              <w:t xml:space="preserve">“3-HB is not only a significant metabolite but also functions as an important signaling molecule.” / “It can regulate lipid metabolism, inflammatory responses, and overall energy homeostasis by </w:t>
            </w:r>
            <w:r w:rsidRPr="002B49A6">
              <w:rPr>
                <w:rFonts w:eastAsia="Times New Roman"/>
                <w:sz w:val="18"/>
                <w:szCs w:val="18"/>
                <w:lang w:val="en-GB" w:eastAsia="en-GB"/>
              </w:rPr>
              <w:lastRenderedPageBreak/>
              <w:t>binding to cell surface receptors.” / “It has been shown to inhibit the activation of the NLRP3 inflammasome…”</w:t>
            </w:r>
          </w:p>
        </w:tc>
      </w:tr>
      <w:tr w:rsidR="00D8098C" w:rsidRPr="00B853C6" w14:paraId="203390A0" w14:textId="367D17C4" w:rsidTr="003D447D">
        <w:tc>
          <w:tcPr>
            <w:tcW w:w="587" w:type="dxa"/>
          </w:tcPr>
          <w:p w14:paraId="54CA3A27"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tcPr>
          <w:p w14:paraId="6D25BA57"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tcPr>
          <w:p w14:paraId="5B6A8315" w14:textId="77777777" w:rsidR="00D8098C" w:rsidRPr="00A1236D" w:rsidRDefault="00D8098C" w:rsidP="00426603">
            <w:pPr>
              <w:tabs>
                <w:tab w:val="left" w:pos="1350"/>
              </w:tabs>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Clinical relevance: Discuss whether the results have clinical or public policy relevance, and </w:t>
            </w:r>
            <w:r w:rsidRPr="00A1236D">
              <w:rPr>
                <w:rFonts w:eastAsia="Times New Roman"/>
                <w:color w:val="000000"/>
                <w:sz w:val="18"/>
                <w:szCs w:val="18"/>
                <w:lang w:eastAsia="en-GB"/>
              </w:rPr>
              <w:t>to what extent they inform effect sizes of possible interventions</w:t>
            </w:r>
          </w:p>
        </w:tc>
        <w:tc>
          <w:tcPr>
            <w:tcW w:w="720" w:type="dxa"/>
          </w:tcPr>
          <w:p w14:paraId="32FCF028" w14:textId="1AAE55CE" w:rsidR="00D8098C" w:rsidRPr="00A1236D" w:rsidRDefault="002B49A6" w:rsidP="00426603">
            <w:pPr>
              <w:tabs>
                <w:tab w:val="left" w:pos="1350"/>
              </w:tabs>
              <w:spacing w:beforeLines="40" w:before="96" w:afterLines="40" w:after="96" w:line="24" w:lineRule="atLeast"/>
              <w:rPr>
                <w:rFonts w:eastAsia="Times New Roman" w:hint="eastAsia"/>
                <w:sz w:val="18"/>
                <w:szCs w:val="18"/>
                <w:lang w:val="en-GB" w:eastAsia="zh-CN"/>
              </w:rPr>
            </w:pPr>
            <w:r>
              <w:rPr>
                <w:rFonts w:eastAsia="Times New Roman" w:hint="eastAsia"/>
                <w:sz w:val="18"/>
                <w:szCs w:val="18"/>
                <w:lang w:val="en-GB" w:eastAsia="zh-CN"/>
              </w:rPr>
              <w:t>19</w:t>
            </w:r>
          </w:p>
        </w:tc>
        <w:tc>
          <w:tcPr>
            <w:tcW w:w="4320" w:type="dxa"/>
          </w:tcPr>
          <w:p w14:paraId="78058AE6" w14:textId="48242323" w:rsidR="00D8098C" w:rsidRPr="002B49A6" w:rsidRDefault="002B49A6" w:rsidP="002B49A6">
            <w:pPr>
              <w:spacing w:beforeLines="40" w:before="96" w:afterLines="40" w:after="96" w:line="24" w:lineRule="atLeast"/>
              <w:jc w:val="both"/>
              <w:rPr>
                <w:rFonts w:eastAsia="Times New Roman"/>
                <w:sz w:val="18"/>
                <w:szCs w:val="18"/>
                <w:lang w:val="en-GB" w:eastAsia="en-GB"/>
              </w:rPr>
            </w:pPr>
            <w:r w:rsidRPr="002B49A6">
              <w:rPr>
                <w:rFonts w:eastAsia="Times New Roman"/>
                <w:sz w:val="18"/>
                <w:szCs w:val="18"/>
                <w:lang w:val="en-GB" w:eastAsia="en-GB"/>
              </w:rPr>
              <w:t>“Further mechanistic studies, prospective cohort studies, and randomized clinical trials are needed to determine whether modulation of 3-hydroxybutyrate through dietary, pharmacological, or supplementation strategies can prevent or improve NAFLD.”</w:t>
            </w:r>
          </w:p>
        </w:tc>
      </w:tr>
      <w:tr w:rsidR="00D8098C" w:rsidRPr="00B853C6" w14:paraId="71FDAFC1" w14:textId="00A47F15" w:rsidTr="003D447D">
        <w:tc>
          <w:tcPr>
            <w:tcW w:w="587" w:type="dxa"/>
            <w:tcBorders>
              <w:bottom w:val="single" w:sz="6" w:space="0" w:color="7F7F7F"/>
            </w:tcBorders>
            <w:shd w:val="clear" w:color="auto" w:fill="EEEEEE"/>
          </w:tcPr>
          <w:p w14:paraId="7540155A"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17</w:t>
            </w:r>
          </w:p>
        </w:tc>
        <w:tc>
          <w:tcPr>
            <w:tcW w:w="1822" w:type="dxa"/>
            <w:tcBorders>
              <w:bottom w:val="single" w:sz="6" w:space="0" w:color="7F7F7F"/>
            </w:tcBorders>
            <w:shd w:val="clear" w:color="auto" w:fill="EEEEEE"/>
          </w:tcPr>
          <w:p w14:paraId="3680059F"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 xml:space="preserve">Generalizability  </w:t>
            </w:r>
            <w:r w:rsidRPr="00F0337F">
              <w:rPr>
                <w:rFonts w:eastAsia="Times New Roman"/>
                <w:sz w:val="18"/>
                <w:szCs w:val="18"/>
                <w:lang w:val="en-GB" w:eastAsia="en-GB"/>
              </w:rPr>
              <w:t> </w:t>
            </w:r>
          </w:p>
        </w:tc>
        <w:tc>
          <w:tcPr>
            <w:tcW w:w="7041" w:type="dxa"/>
            <w:tcBorders>
              <w:bottom w:val="single" w:sz="6" w:space="0" w:color="7F7F7F"/>
            </w:tcBorders>
            <w:shd w:val="clear" w:color="auto" w:fill="EEEEEE"/>
          </w:tcPr>
          <w:p w14:paraId="68647C33"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Discuss the generalizability of the study results (a) to other populations, (b) across other exposure periods/timings, and (c) across other levels of exposure</w:t>
            </w:r>
          </w:p>
        </w:tc>
        <w:tc>
          <w:tcPr>
            <w:tcW w:w="720" w:type="dxa"/>
            <w:tcBorders>
              <w:bottom w:val="single" w:sz="6" w:space="0" w:color="7F7F7F"/>
            </w:tcBorders>
            <w:shd w:val="clear" w:color="auto" w:fill="EEEEEE"/>
          </w:tcPr>
          <w:p w14:paraId="3ACD3D08" w14:textId="6D3A856D" w:rsidR="00D8098C" w:rsidRPr="00A1236D" w:rsidRDefault="00170F01" w:rsidP="00426603">
            <w:pPr>
              <w:spacing w:beforeLines="40" w:before="96" w:afterLines="40" w:after="96" w:line="24" w:lineRule="atLeast"/>
              <w:rPr>
                <w:rFonts w:eastAsia="Times New Roman" w:hint="eastAsia"/>
                <w:sz w:val="18"/>
                <w:szCs w:val="18"/>
                <w:lang w:val="en-GB" w:eastAsia="zh-CN"/>
              </w:rPr>
            </w:pPr>
            <w:r>
              <w:rPr>
                <w:rFonts w:eastAsia="Times New Roman" w:hint="eastAsia"/>
                <w:sz w:val="18"/>
                <w:szCs w:val="18"/>
                <w:lang w:val="en-GB" w:eastAsia="zh-CN"/>
              </w:rPr>
              <w:t>18-19</w:t>
            </w:r>
          </w:p>
        </w:tc>
        <w:tc>
          <w:tcPr>
            <w:tcW w:w="4320" w:type="dxa"/>
            <w:tcBorders>
              <w:bottom w:val="single" w:sz="6" w:space="0" w:color="7F7F7F"/>
            </w:tcBorders>
            <w:shd w:val="clear" w:color="auto" w:fill="EEEEEE"/>
          </w:tcPr>
          <w:p w14:paraId="41ABF5A9" w14:textId="35A22420" w:rsidR="00D8098C" w:rsidRDefault="00170F01" w:rsidP="00170F01">
            <w:pPr>
              <w:spacing w:beforeLines="40" w:before="96" w:afterLines="40" w:after="96" w:line="24" w:lineRule="atLeast"/>
              <w:jc w:val="both"/>
              <w:rPr>
                <w:rFonts w:eastAsia="Times New Roman"/>
                <w:sz w:val="18"/>
                <w:szCs w:val="18"/>
                <w:lang w:val="en-GB" w:eastAsia="en-GB"/>
              </w:rPr>
            </w:pPr>
            <w:r w:rsidRPr="00170F01">
              <w:rPr>
                <w:rFonts w:eastAsia="Times New Roman"/>
                <w:sz w:val="18"/>
                <w:szCs w:val="18"/>
                <w:lang w:val="en-GB" w:eastAsia="en-GB"/>
              </w:rPr>
              <w:t>“To minimize population stratification, this study was restricted to individuals of European ancestry.” / “Given that our study primarily focused on individuals of European descent, it is necessary to validate the findings in diverse populations.”</w:t>
            </w:r>
          </w:p>
        </w:tc>
      </w:tr>
      <w:tr w:rsidR="00D8098C" w:rsidRPr="00B853C6" w14:paraId="57884E75" w14:textId="6FD41AE6" w:rsidTr="003D447D">
        <w:tc>
          <w:tcPr>
            <w:tcW w:w="587" w:type="dxa"/>
            <w:tcBorders>
              <w:top w:val="single" w:sz="6" w:space="0" w:color="7F7F7F"/>
            </w:tcBorders>
          </w:tcPr>
          <w:p w14:paraId="2C4C694A"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tcPr>
          <w:p w14:paraId="0A6FFE33"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OTHER INFORMATION</w:t>
            </w:r>
          </w:p>
        </w:tc>
        <w:tc>
          <w:tcPr>
            <w:tcW w:w="7041" w:type="dxa"/>
            <w:tcBorders>
              <w:top w:val="single" w:sz="6" w:space="0" w:color="7F7F7F"/>
            </w:tcBorders>
          </w:tcPr>
          <w:p w14:paraId="0577947E" w14:textId="77777777" w:rsidR="00D8098C" w:rsidRPr="00F0337F"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7561574C" w14:textId="77777777" w:rsidR="00D8098C" w:rsidRPr="00F0337F" w:rsidRDefault="00D8098C" w:rsidP="0042660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3718ED5B"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0014C6D1" w14:textId="2FC4D004" w:rsidTr="003D447D">
        <w:tc>
          <w:tcPr>
            <w:tcW w:w="587" w:type="dxa"/>
            <w:shd w:val="clear" w:color="auto" w:fill="EEEEEE"/>
          </w:tcPr>
          <w:p w14:paraId="2336D08C"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18</w:t>
            </w:r>
          </w:p>
        </w:tc>
        <w:tc>
          <w:tcPr>
            <w:tcW w:w="1822" w:type="dxa"/>
            <w:shd w:val="clear" w:color="auto" w:fill="EEEEEE"/>
          </w:tcPr>
          <w:p w14:paraId="08EB4FDF"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Funding</w:t>
            </w:r>
          </w:p>
        </w:tc>
        <w:tc>
          <w:tcPr>
            <w:tcW w:w="7041" w:type="dxa"/>
            <w:shd w:val="clear" w:color="auto" w:fill="EEEEEE"/>
          </w:tcPr>
          <w:p w14:paraId="4663DCA7"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Describe sources of funding and the role of funders in the present study and, if applicable, sources of funding for the databases and original study or studies on which the present study is based</w:t>
            </w:r>
          </w:p>
        </w:tc>
        <w:tc>
          <w:tcPr>
            <w:tcW w:w="720" w:type="dxa"/>
            <w:shd w:val="clear" w:color="auto" w:fill="EEEEEE"/>
          </w:tcPr>
          <w:p w14:paraId="33E2D855" w14:textId="0010C99C" w:rsidR="00D8098C" w:rsidRPr="00F0337F" w:rsidRDefault="00170F01" w:rsidP="00426603">
            <w:pPr>
              <w:spacing w:beforeLines="40" w:before="96" w:afterLines="40" w:after="96" w:line="24" w:lineRule="atLeast"/>
              <w:rPr>
                <w:rFonts w:eastAsia="Times New Roman" w:hint="eastAsia"/>
                <w:sz w:val="18"/>
                <w:szCs w:val="18"/>
                <w:lang w:val="en-GB" w:eastAsia="zh-CN"/>
              </w:rPr>
            </w:pPr>
            <w:r>
              <w:rPr>
                <w:rFonts w:eastAsia="Times New Roman" w:hint="eastAsia"/>
                <w:sz w:val="18"/>
                <w:szCs w:val="18"/>
                <w:lang w:val="en-GB" w:eastAsia="zh-CN"/>
              </w:rPr>
              <w:t>20</w:t>
            </w:r>
          </w:p>
        </w:tc>
        <w:tc>
          <w:tcPr>
            <w:tcW w:w="4320" w:type="dxa"/>
            <w:shd w:val="clear" w:color="auto" w:fill="EEEEEE"/>
          </w:tcPr>
          <w:p w14:paraId="2C6CE5FF" w14:textId="3E03E915" w:rsidR="00D8098C" w:rsidRDefault="00A36D79" w:rsidP="00A36D79">
            <w:pPr>
              <w:spacing w:beforeLines="40" w:before="96" w:afterLines="40" w:after="96" w:line="24" w:lineRule="atLeast"/>
              <w:jc w:val="both"/>
              <w:rPr>
                <w:rFonts w:eastAsia="Times New Roman"/>
                <w:sz w:val="18"/>
                <w:szCs w:val="18"/>
                <w:lang w:val="en-GB" w:eastAsia="en-GB"/>
              </w:rPr>
            </w:pPr>
            <w:r w:rsidRPr="00A36D79">
              <w:rPr>
                <w:rFonts w:eastAsia="Times New Roman"/>
                <w:sz w:val="18"/>
                <w:szCs w:val="18"/>
                <w:lang w:val="en-GB" w:eastAsia="en-GB"/>
              </w:rPr>
              <w:t>“This study was supported by the Central Government Guides Local Science and Technology Development Special Fund of Ningxia Hui Autonomous Region… the Yinchuan Science and Technology Research Project… and the Ningxia Natural Science Foundation Project…”</w:t>
            </w:r>
          </w:p>
        </w:tc>
      </w:tr>
      <w:tr w:rsidR="00D8098C" w:rsidRPr="00B853C6" w14:paraId="1B22CB41" w14:textId="102364C9" w:rsidTr="003D447D">
        <w:tc>
          <w:tcPr>
            <w:tcW w:w="587" w:type="dxa"/>
          </w:tcPr>
          <w:p w14:paraId="381BF2BA"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19</w:t>
            </w:r>
          </w:p>
        </w:tc>
        <w:tc>
          <w:tcPr>
            <w:tcW w:w="1822" w:type="dxa"/>
          </w:tcPr>
          <w:p w14:paraId="233BA942"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Data and data sharing </w:t>
            </w:r>
          </w:p>
        </w:tc>
        <w:tc>
          <w:tcPr>
            <w:tcW w:w="7041" w:type="dxa"/>
          </w:tcPr>
          <w:p w14:paraId="42D9085E"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 xml:space="preserve">Provide the data used to perform all analyses or report where and how the data can be accessed, and reference these sources in the </w:t>
            </w:r>
            <w:r>
              <w:rPr>
                <w:rFonts w:eastAsia="Times New Roman"/>
                <w:sz w:val="18"/>
                <w:szCs w:val="18"/>
                <w:lang w:val="en-GB" w:eastAsia="en-GB"/>
              </w:rPr>
              <w:t>article</w:t>
            </w:r>
            <w:r w:rsidRPr="00F0337F">
              <w:rPr>
                <w:rFonts w:eastAsia="Times New Roman"/>
                <w:sz w:val="18"/>
                <w:szCs w:val="18"/>
                <w:lang w:val="en-GB" w:eastAsia="en-GB"/>
              </w:rPr>
              <w:t xml:space="preserve">. Provide the statistical code needed to </w:t>
            </w:r>
            <w:r>
              <w:rPr>
                <w:rFonts w:eastAsia="Times New Roman"/>
                <w:sz w:val="18"/>
                <w:szCs w:val="18"/>
                <w:lang w:val="en-GB" w:eastAsia="en-GB"/>
              </w:rPr>
              <w:t>reproduce the results</w:t>
            </w:r>
            <w:r w:rsidRPr="00F0337F">
              <w:rPr>
                <w:rFonts w:eastAsia="Times New Roman"/>
                <w:sz w:val="18"/>
                <w:szCs w:val="18"/>
                <w:lang w:val="en-GB" w:eastAsia="en-GB"/>
              </w:rPr>
              <w:t xml:space="preserve"> in the </w:t>
            </w:r>
            <w:r>
              <w:rPr>
                <w:rFonts w:eastAsia="Times New Roman"/>
                <w:sz w:val="18"/>
                <w:szCs w:val="18"/>
                <w:lang w:val="en-GB" w:eastAsia="en-GB"/>
              </w:rPr>
              <w:t>article</w:t>
            </w:r>
            <w:r w:rsidRPr="00F0337F">
              <w:rPr>
                <w:rFonts w:eastAsia="Times New Roman"/>
                <w:sz w:val="18"/>
                <w:szCs w:val="18"/>
                <w:lang w:val="en-GB" w:eastAsia="en-GB"/>
              </w:rPr>
              <w:t>, or report whether the code is publicly accessible and if so, where</w:t>
            </w:r>
          </w:p>
        </w:tc>
        <w:tc>
          <w:tcPr>
            <w:tcW w:w="720" w:type="dxa"/>
          </w:tcPr>
          <w:p w14:paraId="0503FE30" w14:textId="77777777" w:rsidR="00D8098C" w:rsidRDefault="00170F01" w:rsidP="00426603">
            <w:pPr>
              <w:spacing w:beforeLines="40" w:before="96" w:afterLines="40" w:after="96" w:line="24" w:lineRule="atLeast"/>
              <w:rPr>
                <w:rFonts w:ascii="宋体" w:eastAsia="宋体" w:hAnsi="宋体" w:cs="宋体"/>
                <w:sz w:val="18"/>
                <w:szCs w:val="18"/>
                <w:lang w:val="en-GB" w:eastAsia="zh-CN"/>
              </w:rPr>
            </w:pPr>
            <w:r>
              <w:rPr>
                <w:rFonts w:eastAsia="Times New Roman" w:hint="eastAsia"/>
                <w:sz w:val="18"/>
                <w:szCs w:val="18"/>
                <w:lang w:val="en-GB" w:eastAsia="zh-CN"/>
              </w:rPr>
              <w:t>6-7</w:t>
            </w:r>
            <w:r>
              <w:rPr>
                <w:rFonts w:ascii="宋体" w:eastAsia="宋体" w:hAnsi="宋体" w:cs="宋体" w:hint="eastAsia"/>
                <w:sz w:val="18"/>
                <w:szCs w:val="18"/>
                <w:lang w:val="en-GB" w:eastAsia="zh-CN"/>
              </w:rPr>
              <w:t>，</w:t>
            </w:r>
          </w:p>
          <w:p w14:paraId="5725EE6D" w14:textId="088B825D" w:rsidR="00170F01" w:rsidRPr="00170F01" w:rsidRDefault="00170F01" w:rsidP="00426603">
            <w:pPr>
              <w:spacing w:beforeLines="40" w:before="96" w:afterLines="40" w:after="96" w:line="24" w:lineRule="atLeast"/>
              <w:rPr>
                <w:rFonts w:ascii="宋体" w:eastAsia="宋体" w:hAnsi="宋体" w:cs="宋体" w:hint="eastAsia"/>
                <w:sz w:val="18"/>
                <w:szCs w:val="18"/>
                <w:lang w:val="en-GB" w:eastAsia="zh-CN"/>
              </w:rPr>
            </w:pPr>
            <w:r w:rsidRPr="00170F01">
              <w:rPr>
                <w:rFonts w:eastAsia="Times New Roman" w:hint="eastAsia"/>
                <w:sz w:val="18"/>
                <w:szCs w:val="18"/>
                <w:lang w:val="en-GB" w:eastAsia="zh-CN"/>
              </w:rPr>
              <w:t>20</w:t>
            </w:r>
          </w:p>
        </w:tc>
        <w:tc>
          <w:tcPr>
            <w:tcW w:w="4320" w:type="dxa"/>
          </w:tcPr>
          <w:p w14:paraId="38DE3AA7" w14:textId="0430AFE2" w:rsidR="00D8098C" w:rsidRDefault="00170F01" w:rsidP="00170F01">
            <w:pPr>
              <w:spacing w:beforeLines="40" w:before="96" w:afterLines="40" w:after="96" w:line="24" w:lineRule="atLeast"/>
              <w:jc w:val="both"/>
              <w:rPr>
                <w:rFonts w:eastAsia="Times New Roman"/>
                <w:sz w:val="18"/>
                <w:szCs w:val="18"/>
                <w:lang w:val="en-GB" w:eastAsia="en-GB"/>
              </w:rPr>
            </w:pPr>
            <w:r w:rsidRPr="00170F01">
              <w:rPr>
                <w:rFonts w:eastAsia="Times New Roman"/>
                <w:sz w:val="18"/>
                <w:szCs w:val="18"/>
                <w:lang w:val="en-GB" w:eastAsia="en-GB"/>
              </w:rPr>
              <w:t xml:space="preserve">“These data are included in the publicly available IEU </w:t>
            </w:r>
            <w:proofErr w:type="spellStart"/>
            <w:r w:rsidRPr="00170F01">
              <w:rPr>
                <w:rFonts w:eastAsia="Times New Roman"/>
                <w:sz w:val="18"/>
                <w:szCs w:val="18"/>
                <w:lang w:val="en-GB" w:eastAsia="en-GB"/>
              </w:rPr>
              <w:t>OpenGWAS</w:t>
            </w:r>
            <w:proofErr w:type="spellEnd"/>
            <w:r w:rsidRPr="00170F01">
              <w:rPr>
                <w:rFonts w:eastAsia="Times New Roman"/>
                <w:sz w:val="18"/>
                <w:szCs w:val="18"/>
                <w:lang w:val="en-GB" w:eastAsia="en-GB"/>
              </w:rPr>
              <w:t xml:space="preserve"> dataset referred to as ‘met-d.’” / “GWAS summary statistics for non-alcoholic fatty liver disease (NAFLD) were also obtained from the IEU </w:t>
            </w:r>
            <w:proofErr w:type="spellStart"/>
            <w:r w:rsidRPr="00170F01">
              <w:rPr>
                <w:rFonts w:eastAsia="Times New Roman"/>
                <w:sz w:val="18"/>
                <w:szCs w:val="18"/>
                <w:lang w:val="en-GB" w:eastAsia="en-GB"/>
              </w:rPr>
              <w:t>OpenGWAS</w:t>
            </w:r>
            <w:proofErr w:type="spellEnd"/>
            <w:r w:rsidRPr="00170F01">
              <w:rPr>
                <w:rFonts w:eastAsia="Times New Roman"/>
                <w:sz w:val="18"/>
                <w:szCs w:val="18"/>
                <w:lang w:val="en-GB" w:eastAsia="en-GB"/>
              </w:rPr>
              <w:t xml:space="preserve"> database…” / “The data generated in the present study may be requested from the corresponding author.”</w:t>
            </w:r>
          </w:p>
        </w:tc>
      </w:tr>
      <w:tr w:rsidR="00D8098C" w:rsidRPr="00B853C6" w14:paraId="1BFE6A86" w14:textId="26747AA0" w:rsidTr="003D447D">
        <w:tc>
          <w:tcPr>
            <w:tcW w:w="587" w:type="dxa"/>
            <w:tcBorders>
              <w:bottom w:val="single" w:sz="6" w:space="0" w:color="7F7F7F"/>
            </w:tcBorders>
            <w:shd w:val="clear" w:color="auto" w:fill="EEEEEE"/>
          </w:tcPr>
          <w:p w14:paraId="20DC2C92"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20</w:t>
            </w:r>
          </w:p>
        </w:tc>
        <w:tc>
          <w:tcPr>
            <w:tcW w:w="1822" w:type="dxa"/>
            <w:tcBorders>
              <w:bottom w:val="single" w:sz="6" w:space="0" w:color="7F7F7F"/>
            </w:tcBorders>
            <w:shd w:val="clear" w:color="auto" w:fill="EEEEEE"/>
          </w:tcPr>
          <w:p w14:paraId="39A69A1B"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Conflicts of Interest  </w:t>
            </w:r>
          </w:p>
        </w:tc>
        <w:tc>
          <w:tcPr>
            <w:tcW w:w="7041" w:type="dxa"/>
            <w:tcBorders>
              <w:bottom w:val="single" w:sz="6" w:space="0" w:color="7F7F7F"/>
            </w:tcBorders>
            <w:shd w:val="clear" w:color="auto" w:fill="EEEEEE"/>
          </w:tcPr>
          <w:p w14:paraId="4772D912"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All authors should declare all potential conflicts of interest</w:t>
            </w:r>
          </w:p>
        </w:tc>
        <w:tc>
          <w:tcPr>
            <w:tcW w:w="720" w:type="dxa"/>
            <w:tcBorders>
              <w:bottom w:val="single" w:sz="6" w:space="0" w:color="7F7F7F"/>
            </w:tcBorders>
            <w:shd w:val="clear" w:color="auto" w:fill="EEEEEE"/>
          </w:tcPr>
          <w:p w14:paraId="1B63BC8B" w14:textId="37CD3A1A" w:rsidR="00D8098C" w:rsidRPr="00F0337F" w:rsidRDefault="00170F01" w:rsidP="00426603">
            <w:pPr>
              <w:spacing w:beforeLines="40" w:before="96" w:afterLines="40" w:after="96" w:line="24" w:lineRule="atLeast"/>
              <w:rPr>
                <w:rFonts w:eastAsia="Times New Roman" w:hint="eastAsia"/>
                <w:sz w:val="18"/>
                <w:szCs w:val="18"/>
                <w:lang w:val="en-GB" w:eastAsia="zh-CN"/>
              </w:rPr>
            </w:pPr>
            <w:r>
              <w:rPr>
                <w:rFonts w:eastAsia="Times New Roman" w:hint="eastAsia"/>
                <w:sz w:val="18"/>
                <w:szCs w:val="18"/>
                <w:lang w:val="en-GB" w:eastAsia="zh-CN"/>
              </w:rPr>
              <w:t>20</w:t>
            </w:r>
          </w:p>
        </w:tc>
        <w:tc>
          <w:tcPr>
            <w:tcW w:w="4320" w:type="dxa"/>
            <w:tcBorders>
              <w:bottom w:val="single" w:sz="6" w:space="0" w:color="7F7F7F"/>
            </w:tcBorders>
            <w:shd w:val="clear" w:color="auto" w:fill="EEEEEE"/>
          </w:tcPr>
          <w:p w14:paraId="5D9123A4" w14:textId="61138CCB" w:rsidR="00D8098C" w:rsidRDefault="00A36D79" w:rsidP="00426603">
            <w:pPr>
              <w:spacing w:beforeLines="40" w:before="96" w:afterLines="40" w:after="96" w:line="24" w:lineRule="atLeast"/>
              <w:rPr>
                <w:rFonts w:eastAsia="Times New Roman"/>
                <w:sz w:val="18"/>
                <w:szCs w:val="18"/>
                <w:lang w:val="en-GB" w:eastAsia="en-GB"/>
              </w:rPr>
            </w:pPr>
            <w:r w:rsidRPr="00A36D79">
              <w:rPr>
                <w:rFonts w:eastAsia="Times New Roman"/>
                <w:sz w:val="18"/>
                <w:szCs w:val="18"/>
                <w:lang w:val="en-GB" w:eastAsia="en-GB"/>
              </w:rPr>
              <w:t>“The authors declare no competing interests.”</w:t>
            </w:r>
          </w:p>
        </w:tc>
      </w:tr>
    </w:tbl>
    <w:p w14:paraId="386115B2" w14:textId="17D6D8D3" w:rsidR="0081046A" w:rsidRPr="009854A9" w:rsidRDefault="00D65199" w:rsidP="005520ED">
      <w:pPr>
        <w:spacing w:before="240" w:after="240"/>
        <w:rPr>
          <w:sz w:val="19"/>
          <w:szCs w:val="19"/>
        </w:rPr>
      </w:pPr>
      <w:r w:rsidRPr="009854A9">
        <w:rPr>
          <w:sz w:val="19"/>
          <w:szCs w:val="19"/>
        </w:rPr>
        <w:t xml:space="preserve">This checklist is copyrighted by the Equator Network under the Creative Commons Attribution 3.0 </w:t>
      </w:r>
      <w:proofErr w:type="spellStart"/>
      <w:r w:rsidRPr="009854A9">
        <w:rPr>
          <w:sz w:val="19"/>
          <w:szCs w:val="19"/>
        </w:rPr>
        <w:t>Unported</w:t>
      </w:r>
      <w:proofErr w:type="spellEnd"/>
      <w:r w:rsidRPr="009854A9">
        <w:rPr>
          <w:sz w:val="19"/>
          <w:szCs w:val="19"/>
        </w:rPr>
        <w:t xml:space="preserve"> (CC BY 3.0) license.</w:t>
      </w:r>
    </w:p>
    <w:p w14:paraId="5DDF8A06" w14:textId="73FE4A93" w:rsidR="009854A9" w:rsidRPr="009854A9" w:rsidRDefault="00804498" w:rsidP="009854A9">
      <w:pPr>
        <w:widowControl w:val="0"/>
        <w:autoSpaceDE w:val="0"/>
        <w:autoSpaceDN w:val="0"/>
        <w:adjustRightInd w:val="0"/>
        <w:spacing w:before="240" w:after="240" w:line="240" w:lineRule="auto"/>
        <w:ind w:left="640" w:hanging="640"/>
        <w:rPr>
          <w:noProof/>
          <w:sz w:val="19"/>
          <w:szCs w:val="19"/>
        </w:rPr>
      </w:pPr>
      <w:r w:rsidRPr="009854A9">
        <w:rPr>
          <w:sz w:val="19"/>
          <w:szCs w:val="19"/>
        </w:rPr>
        <w:fldChar w:fldCharType="begin" w:fldLock="1"/>
      </w:r>
      <w:r w:rsidRPr="009854A9">
        <w:rPr>
          <w:sz w:val="19"/>
          <w:szCs w:val="19"/>
        </w:rPr>
        <w:instrText xml:space="preserve">ADDIN Mendeley Bibliography CSL_BIBLIOGRAPHY </w:instrText>
      </w:r>
      <w:r w:rsidRPr="009854A9">
        <w:rPr>
          <w:sz w:val="19"/>
          <w:szCs w:val="19"/>
        </w:rPr>
        <w:fldChar w:fldCharType="separate"/>
      </w:r>
      <w:r w:rsidR="009854A9" w:rsidRPr="009854A9">
        <w:rPr>
          <w:noProof/>
          <w:sz w:val="19"/>
          <w:szCs w:val="19"/>
        </w:rPr>
        <w:t xml:space="preserve">1. </w:t>
      </w:r>
      <w:r w:rsidR="009854A9" w:rsidRPr="009854A9">
        <w:rPr>
          <w:noProof/>
          <w:sz w:val="19"/>
          <w:szCs w:val="19"/>
        </w:rPr>
        <w:tab/>
        <w:t xml:space="preserve">Skrivankova VW, Richmond RC, Woolf BAR, Yarmolinsky J, Davies NM, Swanson SA, et al. Strengthening the Reporting of Observational Studies in Epidemiology using Mendelian Randomization (STROBE-MR) Statement. JAMA. 2021;under review. </w:t>
      </w:r>
    </w:p>
    <w:p w14:paraId="63BF03A9" w14:textId="77777777" w:rsidR="009854A9" w:rsidRPr="009854A9" w:rsidRDefault="009854A9" w:rsidP="009854A9">
      <w:pPr>
        <w:widowControl w:val="0"/>
        <w:autoSpaceDE w:val="0"/>
        <w:autoSpaceDN w:val="0"/>
        <w:adjustRightInd w:val="0"/>
        <w:spacing w:before="240" w:after="240" w:line="240" w:lineRule="auto"/>
        <w:ind w:left="640" w:hanging="640"/>
        <w:rPr>
          <w:noProof/>
          <w:sz w:val="19"/>
          <w:szCs w:val="19"/>
        </w:rPr>
      </w:pPr>
      <w:r w:rsidRPr="009854A9">
        <w:rPr>
          <w:noProof/>
          <w:sz w:val="19"/>
          <w:szCs w:val="19"/>
        </w:rPr>
        <w:t xml:space="preserve">2. </w:t>
      </w:r>
      <w:r w:rsidRPr="009854A9">
        <w:rPr>
          <w:noProof/>
          <w:sz w:val="19"/>
          <w:szCs w:val="19"/>
        </w:rPr>
        <w:tab/>
        <w:t xml:space="preserve">Skrivankova VW, Richmond RC, Woolf BAR, Davies NM, Swanson SA, VanderWeele TJ, et al. Strengthening the Reporting of Observational Studies in Epidemiology using Mendelian Randomisation (STROBE-MR): Explanation and Elaboration. BMJ. 2021;375:n2233. </w:t>
      </w:r>
    </w:p>
    <w:p w14:paraId="25DB435D" w14:textId="164414FA" w:rsidR="00804498" w:rsidRDefault="00804498" w:rsidP="005520ED">
      <w:pPr>
        <w:spacing w:before="240" w:after="240"/>
      </w:pPr>
      <w:r w:rsidRPr="009854A9">
        <w:rPr>
          <w:sz w:val="19"/>
          <w:szCs w:val="19"/>
        </w:rPr>
        <w:lastRenderedPageBreak/>
        <w:fldChar w:fldCharType="end"/>
      </w:r>
    </w:p>
    <w:sectPr w:rsidR="00804498" w:rsidSect="003D447D">
      <w:footerReference w:type="even" r:id="rId10"/>
      <w:footerReference w:type="default" r:id="rId11"/>
      <w:pgSz w:w="15840" w:h="12240" w:orient="landscape"/>
      <w:pgMar w:top="1008" w:right="720" w:bottom="1008"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705BA" w14:textId="77777777" w:rsidR="00920F2D" w:rsidRDefault="00920F2D">
      <w:pPr>
        <w:spacing w:line="240" w:lineRule="auto"/>
      </w:pPr>
      <w:r>
        <w:separator/>
      </w:r>
    </w:p>
  </w:endnote>
  <w:endnote w:type="continuationSeparator" w:id="0">
    <w:p w14:paraId="49E80B25" w14:textId="77777777" w:rsidR="00920F2D" w:rsidRDefault="00920F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2FF" w:usb1="420024FF" w:usb2="00000000" w:usb3="00000000" w:csb0="0000019F" w:csb1="00000000"/>
  </w:font>
  <w:font w:name="微软雅黑">
    <w:altName w:val="Microsoft YaHei"/>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4A166" w14:textId="77777777" w:rsidR="0081046A" w:rsidRDefault="0081046A" w:rsidP="00A365E5">
    <w:pPr>
      <w:pStyle w:val="a3"/>
      <w:framePr w:wrap="none" w:vAnchor="text" w:hAnchor="margin" w:xAlign="right" w:y="1"/>
      <w:rPr>
        <w:rStyle w:val="a5"/>
      </w:rPr>
    </w:pPr>
  </w:p>
  <w:p w14:paraId="40A0897E" w14:textId="77777777" w:rsidR="0081046A" w:rsidRDefault="0081046A" w:rsidP="00C141F7">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B7B5E" w14:textId="0AA16358" w:rsidR="0081046A" w:rsidRDefault="003D447D">
    <w:pPr>
      <w:pStyle w:val="a3"/>
      <w:jc w:val="right"/>
    </w:pPr>
    <w:r>
      <w:fldChar w:fldCharType="begin"/>
    </w:r>
    <w:r>
      <w:instrText xml:space="preserve"> PAGE   \* MERGEFORMAT </w:instrText>
    </w:r>
    <w:r>
      <w:fldChar w:fldCharType="separate"/>
    </w:r>
    <w:r w:rsidR="00BB6328">
      <w:rPr>
        <w:noProof/>
      </w:rPr>
      <w:t>1</w:t>
    </w:r>
    <w:r>
      <w:rPr>
        <w:noProof/>
      </w:rPr>
      <w:fldChar w:fldCharType="end"/>
    </w:r>
  </w:p>
  <w:p w14:paraId="41D89672" w14:textId="77777777" w:rsidR="0081046A" w:rsidRDefault="0081046A" w:rsidP="00C141F7">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DE2E1" w14:textId="77777777" w:rsidR="00920F2D" w:rsidRDefault="00920F2D">
      <w:pPr>
        <w:spacing w:line="240" w:lineRule="auto"/>
      </w:pPr>
      <w:r>
        <w:separator/>
      </w:r>
    </w:p>
  </w:footnote>
  <w:footnote w:type="continuationSeparator" w:id="0">
    <w:p w14:paraId="528D29E0" w14:textId="77777777" w:rsidR="00920F2D" w:rsidRDefault="00920F2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C56"/>
    <w:rsid w:val="000A4CE8"/>
    <w:rsid w:val="000B3303"/>
    <w:rsid w:val="000E5345"/>
    <w:rsid w:val="00170F01"/>
    <w:rsid w:val="001B077F"/>
    <w:rsid w:val="002663E6"/>
    <w:rsid w:val="002B49A6"/>
    <w:rsid w:val="002B645E"/>
    <w:rsid w:val="002C5457"/>
    <w:rsid w:val="00345B4D"/>
    <w:rsid w:val="00380C69"/>
    <w:rsid w:val="003D447D"/>
    <w:rsid w:val="003D47DD"/>
    <w:rsid w:val="004A7821"/>
    <w:rsid w:val="004B5CBB"/>
    <w:rsid w:val="004E11D4"/>
    <w:rsid w:val="00514462"/>
    <w:rsid w:val="00543D46"/>
    <w:rsid w:val="00547B52"/>
    <w:rsid w:val="005520ED"/>
    <w:rsid w:val="005A0D0D"/>
    <w:rsid w:val="005B4FBC"/>
    <w:rsid w:val="005C3994"/>
    <w:rsid w:val="0065487F"/>
    <w:rsid w:val="00685D31"/>
    <w:rsid w:val="006912BF"/>
    <w:rsid w:val="00691FFB"/>
    <w:rsid w:val="00693AF4"/>
    <w:rsid w:val="006A41D0"/>
    <w:rsid w:val="006B08D5"/>
    <w:rsid w:val="00710D05"/>
    <w:rsid w:val="0075634C"/>
    <w:rsid w:val="007E4C20"/>
    <w:rsid w:val="00804498"/>
    <w:rsid w:val="0081046A"/>
    <w:rsid w:val="0089390A"/>
    <w:rsid w:val="00901B1C"/>
    <w:rsid w:val="00914C56"/>
    <w:rsid w:val="00920F2D"/>
    <w:rsid w:val="00950729"/>
    <w:rsid w:val="009854A9"/>
    <w:rsid w:val="009D27AF"/>
    <w:rsid w:val="009E033F"/>
    <w:rsid w:val="00A0689A"/>
    <w:rsid w:val="00A36D79"/>
    <w:rsid w:val="00AA0EF3"/>
    <w:rsid w:val="00BB6328"/>
    <w:rsid w:val="00CB3EC5"/>
    <w:rsid w:val="00CB3F38"/>
    <w:rsid w:val="00D65199"/>
    <w:rsid w:val="00D8098C"/>
    <w:rsid w:val="00DA26B8"/>
    <w:rsid w:val="00DE64BE"/>
    <w:rsid w:val="00ED48A3"/>
    <w:rsid w:val="00EF4B9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E999F"/>
  <w15:chartTrackingRefBased/>
  <w15:docId w15:val="{3C23E9FF-C4EB-475A-AABF-DB561B80E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914C56"/>
    <w:pPr>
      <w:spacing w:after="0" w:line="276" w:lineRule="auto"/>
    </w:pPr>
    <w:rPr>
      <w:rFonts w:ascii="Arial" w:eastAsia="Arial" w:hAnsi="Arial" w:cs="Arial"/>
      <w:lang w:val="en" w:eastAsia="de-CH"/>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14C56"/>
    <w:pPr>
      <w:tabs>
        <w:tab w:val="center" w:pos="4680"/>
        <w:tab w:val="right" w:pos="9360"/>
      </w:tabs>
      <w:spacing w:line="240" w:lineRule="auto"/>
    </w:pPr>
  </w:style>
  <w:style w:type="character" w:customStyle="1" w:styleId="a4">
    <w:name w:val="页脚 字符"/>
    <w:basedOn w:val="a0"/>
    <w:link w:val="a3"/>
    <w:uiPriority w:val="99"/>
    <w:rsid w:val="00914C56"/>
    <w:rPr>
      <w:rFonts w:ascii="Arial" w:eastAsia="Arial" w:hAnsi="Arial" w:cs="Arial"/>
      <w:lang w:val="en" w:eastAsia="de-CH"/>
    </w:rPr>
  </w:style>
  <w:style w:type="character" w:styleId="a5">
    <w:name w:val="page number"/>
    <w:basedOn w:val="a0"/>
    <w:uiPriority w:val="99"/>
    <w:semiHidden/>
    <w:unhideWhenUsed/>
    <w:rsid w:val="00914C56"/>
  </w:style>
  <w:style w:type="character" w:styleId="a6">
    <w:name w:val="line number"/>
    <w:basedOn w:val="a0"/>
    <w:uiPriority w:val="99"/>
    <w:semiHidden/>
    <w:unhideWhenUsed/>
    <w:rsid w:val="00914C56"/>
  </w:style>
  <w:style w:type="paragraph" w:styleId="a7">
    <w:name w:val="Normal (Web)"/>
    <w:basedOn w:val="a"/>
    <w:uiPriority w:val="99"/>
    <w:unhideWhenUsed/>
    <w:rsid w:val="00710D05"/>
    <w:pPr>
      <w:spacing w:before="100" w:beforeAutospacing="1" w:after="100" w:afterAutospacing="1" w:line="240" w:lineRule="auto"/>
    </w:pPr>
    <w:rPr>
      <w:rFonts w:ascii="宋体" w:eastAsia="宋体" w:hAnsi="宋体" w:cs="宋体"/>
      <w:sz w:val="24"/>
      <w:szCs w:val="24"/>
      <w:lang w:val="en-US" w:eastAsia="zh-CN"/>
    </w:rPr>
  </w:style>
  <w:style w:type="character" w:styleId="a8">
    <w:name w:val="Strong"/>
    <w:basedOn w:val="a0"/>
    <w:uiPriority w:val="22"/>
    <w:qFormat/>
    <w:rsid w:val="00547B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76252F6EC97BD48BFC15397CDF87BCA" ma:contentTypeVersion="14" ma:contentTypeDescription="Ein neues Dokument erstellen." ma:contentTypeScope="" ma:versionID="99bba3a2774fdba6befc8d470ad041a8">
  <xsd:schema xmlns:xsd="http://www.w3.org/2001/XMLSchema" xmlns:xs="http://www.w3.org/2001/XMLSchema" xmlns:p="http://schemas.microsoft.com/office/2006/metadata/properties" xmlns:ns3="892d8916-a04a-483c-b38c-baf9957a1c5f" xmlns:ns4="697eed72-5420-4f01-93c1-7c9f4310e871" targetNamespace="http://schemas.microsoft.com/office/2006/metadata/properties" ma:root="true" ma:fieldsID="08b8b0ba8c484102a3bbe13611225d97" ns3:_="" ns4:_="">
    <xsd:import namespace="892d8916-a04a-483c-b38c-baf9957a1c5f"/>
    <xsd:import namespace="697eed72-5420-4f01-93c1-7c9f4310e8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d8916-a04a-483c-b38c-baf9957a1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7eed72-5420-4f01-93c1-7c9f4310e87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SharingHintHash" ma:index="20"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898B61-61B7-44F1-9388-8B27875B1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2d8916-a04a-483c-b38c-baf9957a1c5f"/>
    <ds:schemaRef ds:uri="697eed72-5420-4f01-93c1-7c9f4310e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DA32DB-E5B8-4E32-AD11-08F2E668867B}">
  <ds:schemaRefs>
    <ds:schemaRef ds:uri="http://schemas.openxmlformats.org/officeDocument/2006/bibliography"/>
  </ds:schemaRefs>
</ds:datastoreItem>
</file>

<file path=customXml/itemProps3.xml><?xml version="1.0" encoding="utf-8"?>
<ds:datastoreItem xmlns:ds="http://schemas.openxmlformats.org/officeDocument/2006/customXml" ds:itemID="{9FB0931C-FCE2-4CC4-80DE-15614B41F1F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DF20111-77FD-4F18-8E31-D737874646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8</Pages>
  <Words>3449</Words>
  <Characters>19664</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University of Bern</Company>
  <LinksUpToDate>false</LinksUpToDate>
  <CharactersWithSpaces>23067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Whitesell, Veronika (ISPM)</dc:creator>
  <cp:keywords/>
  <dc:description/>
  <cp:lastModifiedBy>嘉玮 王</cp:lastModifiedBy>
  <cp:revision>9</cp:revision>
  <cp:lastPrinted>2021-09-28T07:08:00Z</cp:lastPrinted>
  <dcterms:created xsi:type="dcterms:W3CDTF">2022-04-07T08:09:00Z</dcterms:created>
  <dcterms:modified xsi:type="dcterms:W3CDTF">2026-05-28T09:32:00Z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0x010100D76252F6EC97BD48BFC15397CDF87BCA</vt:lpwstr>
  </property>
  <property fmtid="{D5CDD505-2E9C-101B-9397-08002B2CF9AE}" pid="3" name="Mendeley Document_1">
    <vt:lpwstr>True</vt:lpwstr>
  </property>
  <property fmtid="{D5CDD505-2E9C-101B-9397-08002B2CF9AE}" pid="4" name="Mendeley Unique User Id_1">
    <vt:lpwstr>54eed440-5ecd-3ecc-9960-859334ccb0da</vt:lpwstr>
  </property>
  <property fmtid="{D5CDD505-2E9C-101B-9397-08002B2CF9AE}" pid="5" name="Mendeley Citation Style_1">
    <vt:lpwstr>http://www.zotero.org/styles/vancouver-superscript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http://www.zotero.org/styles/vancouver-imperial-college-london</vt:lpwstr>
  </property>
  <property fmtid="{D5CDD505-2E9C-101B-9397-08002B2CF9AE}" pid="21" name="Mendeley Recent Style Name 7_1">
    <vt:lpwstr>Imperial College London - Vancouver</vt:lpwstr>
  </property>
  <property fmtid="{D5CDD505-2E9C-101B-9397-08002B2CF9AE}" pid="22" name="Mendeley Recent Style Id 8_1">
    <vt:lpwstr>http://www.zotero.org/styles/vancouver</vt:lpwstr>
  </property>
  <property fmtid="{D5CDD505-2E9C-101B-9397-08002B2CF9AE}" pid="23" name="Mendeley Recent Style Name 8_1">
    <vt:lpwstr>Vancouver</vt:lpwstr>
  </property>
  <property fmtid="{D5CDD505-2E9C-101B-9397-08002B2CF9AE}" pid="24" name="Mendeley Recent Style Id 9_1">
    <vt:lpwstr>http://www.zotero.org/styles/vancouver-superscript</vt:lpwstr>
  </property>
  <property fmtid="{D5CDD505-2E9C-101B-9397-08002B2CF9AE}" pid="25" name="Mendeley Recent Style Name 9_1">
    <vt:lpwstr>Vancouver (superscript)</vt:lpwstr>
  </property>
</Properties>
</file>