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A77A5" w14:textId="77777777" w:rsidR="00A55FF2" w:rsidRPr="00614382" w:rsidRDefault="00A55FF2" w:rsidP="00614382">
      <w:pPr>
        <w:rPr>
          <w:rFonts w:ascii="Arial" w:hAnsi="Arial" w:cs="Arial"/>
          <w:b/>
          <w:bCs/>
        </w:rPr>
      </w:pPr>
      <w:r w:rsidRPr="00614382">
        <w:rPr>
          <w:rFonts w:ascii="Arial" w:hAnsi="Arial" w:cs="Arial"/>
          <w:b/>
          <w:bCs/>
        </w:rPr>
        <w:t xml:space="preserve">Supplementary material 1. </w:t>
      </w:r>
    </w:p>
    <w:p w14:paraId="4BECA2F2" w14:textId="531F1655" w:rsidR="00A55FF2" w:rsidRPr="00614382" w:rsidRDefault="00A55FF2" w:rsidP="00614382">
      <w:pPr>
        <w:spacing w:after="0" w:line="360" w:lineRule="auto"/>
        <w:rPr>
          <w:rFonts w:ascii="Arial" w:hAnsi="Arial" w:cs="Arial"/>
        </w:rPr>
      </w:pPr>
      <w:r w:rsidRPr="00614382">
        <w:rPr>
          <w:rFonts w:ascii="Arial" w:hAnsi="Arial" w:cs="Arial"/>
        </w:rPr>
        <w:t>Crosswalk of healthcare occupation and education codes across ENOE classification systems, 2005–2024</w:t>
      </w:r>
    </w:p>
    <w:tbl>
      <w:tblPr>
        <w:tblW w:w="5000" w:type="pct"/>
        <w:tblCellMar>
          <w:left w:w="0" w:type="dxa"/>
          <w:right w:w="0" w:type="dxa"/>
        </w:tblCellMar>
        <w:tblLook w:val="0420" w:firstRow="1" w:lastRow="0" w:firstColumn="0" w:lastColumn="0" w:noHBand="0" w:noVBand="1"/>
      </w:tblPr>
      <w:tblGrid>
        <w:gridCol w:w="1520"/>
        <w:gridCol w:w="2126"/>
        <w:gridCol w:w="2634"/>
        <w:gridCol w:w="3060"/>
      </w:tblGrid>
      <w:tr w:rsidR="00A55FF2" w:rsidRPr="00614382" w14:paraId="18CE3EE4" w14:textId="77777777" w:rsidTr="00614382">
        <w:trPr>
          <w:trHeight w:val="114"/>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340BFC" w14:textId="1CDFEBED" w:rsidR="00A55FF2" w:rsidRPr="00614382" w:rsidRDefault="00A55FF2" w:rsidP="00614382">
            <w:pPr>
              <w:spacing w:after="0" w:line="240" w:lineRule="auto"/>
              <w:rPr>
                <w:rFonts w:ascii="Arial" w:hAnsi="Arial" w:cs="Arial"/>
                <w:sz w:val="20"/>
                <w:szCs w:val="20"/>
              </w:rPr>
            </w:pPr>
            <w:r w:rsidRPr="00614382">
              <w:rPr>
                <w:rFonts w:ascii="Arial" w:hAnsi="Arial" w:cs="Arial"/>
                <w:b/>
                <w:sz w:val="20"/>
                <w:szCs w:val="20"/>
              </w:rPr>
              <w:t xml:space="preserve">Title Cadres </w:t>
            </w:r>
          </w:p>
        </w:tc>
        <w:tc>
          <w:tcPr>
            <w:tcW w:w="4186" w:type="pct"/>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7BC95DD"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b/>
                <w:sz w:val="20"/>
                <w:szCs w:val="20"/>
              </w:rPr>
              <w:t>Codes</w:t>
            </w:r>
          </w:p>
        </w:tc>
      </w:tr>
      <w:tr w:rsidR="00A55FF2" w:rsidRPr="00614382" w14:paraId="54DCD026" w14:textId="77777777" w:rsidTr="00614382">
        <w:trPr>
          <w:trHeight w:val="584"/>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4F7131" w14:textId="77777777" w:rsidR="00A55FF2" w:rsidRPr="00614382" w:rsidRDefault="00A55FF2" w:rsidP="00614382">
            <w:pPr>
              <w:spacing w:after="0" w:line="240" w:lineRule="auto"/>
              <w:rPr>
                <w:rFonts w:ascii="Arial" w:hAnsi="Arial" w:cs="Arial"/>
                <w:b/>
                <w:sz w:val="20"/>
                <w:szCs w:val="20"/>
              </w:rPr>
            </w:pPr>
            <w:r w:rsidRPr="00614382">
              <w:rPr>
                <w:rFonts w:ascii="Arial" w:hAnsi="Arial" w:cs="Arial"/>
                <w:b/>
                <w:i/>
                <w:sz w:val="20"/>
                <w:szCs w:val="20"/>
              </w:rPr>
              <w:t>Occupation</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1B63FC3"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Mexican Classification of Occupations 2009</w:t>
            </w:r>
          </w:p>
          <w:p w14:paraId="77B9094F"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(Q1-2005 to Q2-2012)</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0A70414"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National Occupational Classification System 2011</w:t>
            </w:r>
          </w:p>
          <w:p w14:paraId="725427CA"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(Q3-2012 to Q2-2021)</w:t>
            </w:r>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18756E3"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National Occupational Classification System 2019</w:t>
            </w:r>
          </w:p>
          <w:p w14:paraId="601D0885"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(Q3-2021 to Q4-2024)</w:t>
            </w:r>
          </w:p>
        </w:tc>
      </w:tr>
      <w:tr w:rsidR="00A55FF2" w:rsidRPr="00614382" w14:paraId="24CA033D" w14:textId="77777777" w:rsidTr="00614382">
        <w:trPr>
          <w:trHeight w:val="18"/>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2A28FB"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Nursing</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730399"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1131; 1220</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5DB2F6"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2426; 2811; 2821</w:t>
            </w:r>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A771EB"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2436; 2811; 2821</w:t>
            </w:r>
          </w:p>
        </w:tc>
      </w:tr>
      <w:tr w:rsidR="00A55FF2" w:rsidRPr="00614382" w14:paraId="37D8C871" w14:textId="77777777" w:rsidTr="00614382">
        <w:trPr>
          <w:trHeight w:val="18"/>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EAFDD8"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Medicine</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193AA1"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1130</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0EB39BC"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2411; 2412</w:t>
            </w:r>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12B5E5"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2411; 2421; 2422; 2423; 2424; 2425; 2426; 2427; 2428; 2429</w:t>
            </w:r>
          </w:p>
        </w:tc>
      </w:tr>
      <w:tr w:rsidR="00A55FF2" w:rsidRPr="00614382" w14:paraId="6DAB4ACD" w14:textId="77777777" w:rsidTr="00614382">
        <w:trPr>
          <w:trHeight w:val="584"/>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28E5E03" w14:textId="77777777" w:rsidR="00A55FF2" w:rsidRPr="00614382" w:rsidRDefault="00A55FF2" w:rsidP="00614382">
            <w:pPr>
              <w:spacing w:after="0" w:line="240" w:lineRule="auto"/>
              <w:rPr>
                <w:rFonts w:ascii="Arial" w:hAnsi="Arial" w:cs="Arial"/>
                <w:b/>
                <w:sz w:val="20"/>
                <w:szCs w:val="20"/>
              </w:rPr>
            </w:pPr>
            <w:r w:rsidRPr="00614382">
              <w:rPr>
                <w:rFonts w:ascii="Arial" w:hAnsi="Arial" w:cs="Arial"/>
                <w:b/>
                <w:i/>
                <w:sz w:val="20"/>
                <w:szCs w:val="20"/>
              </w:rPr>
              <w:t xml:space="preserve">Education </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B94D16"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Catalog of Career Coding</w:t>
            </w:r>
          </w:p>
          <w:p w14:paraId="31CF4772"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i/>
                <w:sz w:val="20"/>
                <w:szCs w:val="20"/>
              </w:rPr>
              <w:t>(Q2-2005 to Q2-2012)</w:t>
            </w:r>
            <w:r w:rsidRPr="00614382">
              <w:rPr>
                <w:rFonts w:ascii="Arial" w:hAnsi="Arial" w:cs="Arial"/>
                <w:i/>
                <w:sz w:val="20"/>
                <w:szCs w:val="20"/>
                <w:vertAlign w:val="superscript"/>
              </w:rPr>
              <w:t>/</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7F49D07"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Mexican Classification of Study Programs by Academic Fields 2011</w:t>
            </w:r>
          </w:p>
          <w:p w14:paraId="7E3913B8"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i/>
                <w:sz w:val="20"/>
                <w:szCs w:val="20"/>
              </w:rPr>
              <w:t xml:space="preserve">(Q3-2012 to Q2-2021) </w:t>
            </w:r>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B6758C"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Mexican Classification of Curricula by Academic Fields 2016</w:t>
            </w:r>
          </w:p>
          <w:p w14:paraId="68C877DD"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i/>
                <w:sz w:val="20"/>
                <w:szCs w:val="20"/>
              </w:rPr>
              <w:t>(</w:t>
            </w:r>
            <w:r w:rsidRPr="00614382">
              <w:rPr>
                <w:rFonts w:ascii="Arial" w:hAnsi="Arial" w:cs="Arial"/>
                <w:sz w:val="20"/>
                <w:szCs w:val="20"/>
              </w:rPr>
              <w:t>Q3-2021 to Q4-2024</w:t>
            </w:r>
            <w:r w:rsidRPr="00614382">
              <w:rPr>
                <w:rFonts w:ascii="Arial" w:hAnsi="Arial" w:cs="Arial"/>
                <w:i/>
                <w:sz w:val="20"/>
                <w:szCs w:val="20"/>
              </w:rPr>
              <w:t xml:space="preserve">) </w:t>
            </w:r>
          </w:p>
        </w:tc>
      </w:tr>
      <w:tr w:rsidR="00A55FF2" w:rsidRPr="00614382" w14:paraId="62F9008B" w14:textId="77777777" w:rsidTr="00614382">
        <w:trPr>
          <w:trHeight w:val="584"/>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F617B6E"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Nursing</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C90699"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0211; 1442; 1443; 3431; 5430</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0EFB0A"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71200</w:t>
            </w:r>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9C19836"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0921; 092201; 092202; 092203; 092204; 092205; 092206; 092207; 092208</w:t>
            </w:r>
          </w:p>
        </w:tc>
      </w:tr>
      <w:tr w:rsidR="00A55FF2" w:rsidRPr="00614382" w14:paraId="70E48F67" w14:textId="77777777" w:rsidTr="00614382">
        <w:trPr>
          <w:trHeight w:val="1625"/>
        </w:trPr>
        <w:tc>
          <w:tcPr>
            <w:tcW w:w="8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596C5CB"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Medicine</w:t>
            </w:r>
          </w:p>
        </w:tc>
        <w:tc>
          <w:tcPr>
            <w:tcW w:w="11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2EA270"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3411; 5410</w:t>
            </w:r>
          </w:p>
        </w:tc>
        <w:tc>
          <w:tcPr>
            <w:tcW w:w="141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1A642E"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 xml:space="preserve">71101; 71102; 71103; 71104; 71105; 71106; 71107; 71108; 71109; 71110; 71111; 71112; 71113; 71114; 71115; 71116; 71117; 71118; 71119; 71120; 71121; 71122; 71123; 71124; 71125; 71126; 71127; 71128; 71129; 71130; 71131; 71132; 71133; 71134; 71135; </w:t>
            </w:r>
            <w:proofErr w:type="gramStart"/>
            <w:r w:rsidRPr="00614382">
              <w:rPr>
                <w:rFonts w:ascii="Arial" w:hAnsi="Arial" w:cs="Arial"/>
                <w:sz w:val="20"/>
                <w:szCs w:val="20"/>
              </w:rPr>
              <w:t>71136;  71137</w:t>
            </w:r>
            <w:proofErr w:type="gramEnd"/>
          </w:p>
        </w:tc>
        <w:tc>
          <w:tcPr>
            <w:tcW w:w="1638"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81E2BE" w14:textId="77777777" w:rsidR="00A55FF2" w:rsidRPr="00614382" w:rsidRDefault="00A55FF2" w:rsidP="00614382">
            <w:pPr>
              <w:spacing w:after="0" w:line="240" w:lineRule="auto"/>
              <w:rPr>
                <w:rFonts w:ascii="Arial" w:hAnsi="Arial" w:cs="Arial"/>
                <w:sz w:val="20"/>
                <w:szCs w:val="20"/>
              </w:rPr>
            </w:pPr>
            <w:r w:rsidRPr="00614382">
              <w:rPr>
                <w:rFonts w:ascii="Arial" w:hAnsi="Arial" w:cs="Arial"/>
                <w:sz w:val="20"/>
                <w:szCs w:val="20"/>
              </w:rPr>
              <w:t>0911; 0912; 091301; 091302; 091303; 091304; 091305; 091306; 091307; 091308; 091309; 091310; 091311; 091312; 091313; 091314; 091315; 091316; 091317; 091318; 091319; 091320; 091321; 091322; 091323; 091324; 091325; 091326; 091327; 091328; 091329; 091330; 091331; 091332; 091333; 091334; 091335; 091336; 091337; 091338; 091339; 091340; 091341; 091342; 091343; 091344; 091345</w:t>
            </w:r>
          </w:p>
        </w:tc>
      </w:tr>
    </w:tbl>
    <w:p w14:paraId="0B5E5057" w14:textId="77777777" w:rsidR="00A55FF2" w:rsidRPr="00614382" w:rsidRDefault="00A55FF2" w:rsidP="00614382">
      <w:pPr>
        <w:spacing w:before="240"/>
        <w:rPr>
          <w:rFonts w:ascii="Arial" w:hAnsi="Arial" w:cs="Arial"/>
        </w:rPr>
      </w:pPr>
      <w:r w:rsidRPr="00614382">
        <w:rPr>
          <w:rFonts w:ascii="Arial" w:hAnsi="Arial" w:cs="Arial"/>
          <w:b/>
          <w:bCs/>
        </w:rPr>
        <w:t>Notes</w:t>
      </w:r>
      <w:r w:rsidRPr="00614382">
        <w:rPr>
          <w:rFonts w:ascii="Arial" w:hAnsi="Arial" w:cs="Arial"/>
        </w:rPr>
        <w:t>: Occupational classifications are harmonized across ENOE survey redesigns using crosswalks to ensure comparability over time. Educational classifications are harmonized across classification systems and mapped to ISCED equivalents (1997, 2011, and ISCED-F 2013). Differences in coding structures across periods reflect changes in national classification systems; harmonization was conducted to ensure consistency in the identification of healthcare occupations and education.</w:t>
      </w:r>
    </w:p>
    <w:p w14:paraId="3C3CDF11" w14:textId="77777777" w:rsidR="00A55FF2" w:rsidRPr="00614382" w:rsidRDefault="00A55FF2" w:rsidP="00614382">
      <w:pPr>
        <w:spacing w:before="240"/>
        <w:rPr>
          <w:rFonts w:ascii="Arial" w:hAnsi="Arial" w:cs="Arial"/>
        </w:rPr>
      </w:pPr>
    </w:p>
    <w:p w14:paraId="06465144" w14:textId="77777777" w:rsidR="00A55FF2" w:rsidRPr="00614382" w:rsidRDefault="00A55FF2" w:rsidP="00614382">
      <w:pPr>
        <w:rPr>
          <w:rFonts w:ascii="Arial" w:hAnsi="Arial" w:cs="Arial"/>
        </w:rPr>
        <w:sectPr w:rsidR="00A55FF2" w:rsidRPr="00614382" w:rsidSect="00A55FF2">
          <w:pgSz w:w="12240" w:h="15840"/>
          <w:pgMar w:top="1440" w:right="1440" w:bottom="1440" w:left="1440" w:header="709" w:footer="709" w:gutter="0"/>
          <w:cols w:space="708"/>
          <w:docGrid w:linePitch="360"/>
        </w:sectPr>
      </w:pPr>
    </w:p>
    <w:p w14:paraId="52A8591F" w14:textId="77777777" w:rsidR="00A55FF2" w:rsidRPr="00614382" w:rsidRDefault="00A55FF2" w:rsidP="00614382">
      <w:pPr>
        <w:rPr>
          <w:rFonts w:ascii="Arial" w:hAnsi="Arial" w:cs="Arial"/>
          <w:b/>
          <w:bCs/>
        </w:rPr>
      </w:pPr>
      <w:r w:rsidRPr="00614382">
        <w:rPr>
          <w:rFonts w:ascii="Arial" w:hAnsi="Arial" w:cs="Arial"/>
          <w:b/>
          <w:bCs/>
        </w:rPr>
        <w:lastRenderedPageBreak/>
        <w:t xml:space="preserve">Supplementary material 2. </w:t>
      </w:r>
    </w:p>
    <w:p w14:paraId="20651867" w14:textId="77777777" w:rsidR="00A55FF2" w:rsidRPr="00614382" w:rsidRDefault="00A55FF2" w:rsidP="00614382">
      <w:pPr>
        <w:spacing w:line="360" w:lineRule="auto"/>
        <w:rPr>
          <w:rFonts w:ascii="Arial" w:hAnsi="Arial" w:cs="Arial"/>
          <w:i/>
        </w:rPr>
      </w:pPr>
      <w:r w:rsidRPr="00614382">
        <w:rPr>
          <w:rFonts w:ascii="Arial" w:hAnsi="Arial" w:cs="Arial"/>
          <w:i/>
        </w:rPr>
        <w:t>Data source</w:t>
      </w:r>
    </w:p>
    <w:p w14:paraId="6165F6FD" w14:textId="77777777" w:rsidR="00A55FF2" w:rsidRPr="00614382" w:rsidRDefault="00A55FF2" w:rsidP="00614382">
      <w:pPr>
        <w:spacing w:line="360" w:lineRule="auto"/>
        <w:rPr>
          <w:rFonts w:ascii="Arial" w:hAnsi="Arial" w:cs="Arial"/>
        </w:rPr>
      </w:pPr>
      <w:r w:rsidRPr="00614382">
        <w:rPr>
          <w:rFonts w:ascii="Arial" w:hAnsi="Arial" w:cs="Arial"/>
        </w:rPr>
        <w:t>We used pooled data from the Mexican National Survey of Occupation and Employment (</w:t>
      </w:r>
      <w:proofErr w:type="spellStart"/>
      <w:r w:rsidRPr="00614382">
        <w:rPr>
          <w:rFonts w:ascii="Arial" w:hAnsi="Arial" w:cs="Arial"/>
        </w:rPr>
        <w:t>Encuesta</w:t>
      </w:r>
      <w:proofErr w:type="spellEnd"/>
      <w:r w:rsidRPr="00614382">
        <w:rPr>
          <w:rFonts w:ascii="Arial" w:hAnsi="Arial" w:cs="Arial"/>
        </w:rPr>
        <w:t xml:space="preserve"> Nacional de </w:t>
      </w:r>
      <w:proofErr w:type="spellStart"/>
      <w:r w:rsidRPr="00614382">
        <w:rPr>
          <w:rFonts w:ascii="Arial" w:hAnsi="Arial" w:cs="Arial"/>
        </w:rPr>
        <w:t>Ocupación</w:t>
      </w:r>
      <w:proofErr w:type="spellEnd"/>
      <w:r w:rsidRPr="00614382">
        <w:rPr>
          <w:rFonts w:ascii="Arial" w:hAnsi="Arial" w:cs="Arial"/>
        </w:rPr>
        <w:t xml:space="preserve"> y Empleo, ENOE) from 2005 to 2024. Conducted by the National Institute of Statistics and Geography (INEGI), ENOE is a continuous, nationally representative household survey that captures labor market dynamics. Established in 2005, ENOE is administered quarterly and employs a probabilistic rotating panel design, allowing for the construction of quarterly representative cross-sections.</w:t>
      </w:r>
    </w:p>
    <w:p w14:paraId="1FC1445E" w14:textId="77777777" w:rsidR="00A55FF2" w:rsidRPr="00614382" w:rsidRDefault="00A55FF2" w:rsidP="00614382">
      <w:pPr>
        <w:spacing w:before="240" w:line="360" w:lineRule="auto"/>
        <w:rPr>
          <w:rFonts w:ascii="Arial" w:hAnsi="Arial" w:cs="Arial"/>
        </w:rPr>
      </w:pPr>
      <w:r w:rsidRPr="00614382">
        <w:rPr>
          <w:rFonts w:ascii="Arial" w:hAnsi="Arial" w:cs="Arial"/>
        </w:rPr>
        <w:t>ENOE covers individuals aged 15 years or older across all 32 states and urban-rural areas. The survey collects data on employment status, occupation, industry, working hours, wages, and demographic characteristics including age, sex, and educational attainment. Households are probabilistically selected from a national housing frame stratified by state, locality size, and urban–rural strata. Each respondent is assigned an expansion factor (sampling weight) equal to the inverse of their selection probability, with post-stratification adjustments to ensure consistency with official population projections.</w:t>
      </w:r>
    </w:p>
    <w:p w14:paraId="546898AC" w14:textId="77777777" w:rsidR="00A55FF2" w:rsidRPr="00614382" w:rsidRDefault="00A55FF2" w:rsidP="00614382">
      <w:pPr>
        <w:spacing w:before="240" w:line="360" w:lineRule="auto"/>
        <w:rPr>
          <w:rFonts w:ascii="Arial" w:hAnsi="Arial" w:cs="Arial"/>
          <w:i/>
        </w:rPr>
      </w:pPr>
      <w:r w:rsidRPr="00614382">
        <w:rPr>
          <w:rFonts w:ascii="Arial" w:hAnsi="Arial" w:cs="Arial"/>
          <w:i/>
        </w:rPr>
        <w:t>Data assembly</w:t>
      </w:r>
    </w:p>
    <w:p w14:paraId="4BB5E61C" w14:textId="77777777" w:rsidR="00A55FF2" w:rsidRPr="00614382" w:rsidRDefault="00A55FF2" w:rsidP="00614382">
      <w:pPr>
        <w:spacing w:line="360" w:lineRule="auto"/>
        <w:rPr>
          <w:rFonts w:ascii="Arial" w:hAnsi="Arial" w:cs="Arial"/>
        </w:rPr>
      </w:pPr>
      <w:r w:rsidRPr="00614382">
        <w:rPr>
          <w:rFonts w:ascii="Arial" w:hAnsi="Arial" w:cs="Arial"/>
        </w:rPr>
        <w:t>ENOE comprises distinct questionnaires for housing, household composition, demographics/education, and occupation/employment. Using the survey's unique identifiers, we integrated these modules within each quarter to construct harmonized person-level files. After applying survey weights, quarterly aggregates were cross-checked against INEGI's published ENOE tables to confirm alignment with official benchmark estimates on each quarter-year.</w:t>
      </w:r>
    </w:p>
    <w:p w14:paraId="1C49A208" w14:textId="77777777" w:rsidR="00A55FF2" w:rsidRPr="00614382" w:rsidRDefault="00A55FF2" w:rsidP="00614382">
      <w:pPr>
        <w:spacing w:before="240" w:line="360" w:lineRule="auto"/>
        <w:rPr>
          <w:rFonts w:ascii="Arial" w:hAnsi="Arial" w:cs="Arial"/>
          <w:i/>
        </w:rPr>
      </w:pPr>
      <w:r w:rsidRPr="00614382">
        <w:rPr>
          <w:rFonts w:ascii="Arial" w:hAnsi="Arial" w:cs="Arial"/>
          <w:i/>
        </w:rPr>
        <w:t>Sample selection</w:t>
      </w:r>
    </w:p>
    <w:p w14:paraId="4FD9C8EC" w14:textId="77777777" w:rsidR="00A55FF2" w:rsidRPr="00614382" w:rsidRDefault="00A55FF2" w:rsidP="00614382">
      <w:pPr>
        <w:spacing w:line="360" w:lineRule="auto"/>
        <w:rPr>
          <w:rFonts w:ascii="Arial" w:hAnsi="Arial" w:cs="Arial"/>
        </w:rPr>
      </w:pPr>
      <w:r w:rsidRPr="00614382">
        <w:rPr>
          <w:rFonts w:ascii="Arial" w:hAnsi="Arial" w:cs="Arial"/>
        </w:rPr>
        <w:t xml:space="preserve">Figure 1 summarizes the sample selection process. We first restricted the full ENOE sample to the economically active population (individuals who were either employed or not employed but actively seeking work) excluding those classified as </w:t>
      </w:r>
      <w:r w:rsidRPr="00614382">
        <w:rPr>
          <w:rFonts w:ascii="Arial" w:hAnsi="Arial" w:cs="Arial"/>
        </w:rPr>
        <w:lastRenderedPageBreak/>
        <w:t>not economically active such as full-time homemakers, students, retired, and people with disabilities. From the economically active population, we identified individuals who reported having studied nursing (technical, professional, or specialty level) or medicine (general practice or specialty level) based on ENOE's educational attainment questions.</w:t>
      </w:r>
    </w:p>
    <w:p w14:paraId="70FDF287" w14:textId="60F2B9EE" w:rsidR="00A55FF2" w:rsidRPr="00614382" w:rsidRDefault="00A55FF2" w:rsidP="00614382">
      <w:pPr>
        <w:spacing w:line="360" w:lineRule="auto"/>
        <w:rPr>
          <w:rFonts w:ascii="Arial" w:hAnsi="Arial" w:cs="Arial"/>
        </w:rPr>
      </w:pPr>
      <w:r w:rsidRPr="00614382">
        <w:rPr>
          <w:rFonts w:ascii="Arial" w:hAnsi="Arial" w:cs="Arial"/>
        </w:rPr>
        <w:t>We then applied the following exclusion criteria: (1) individuals who did not complete their training program; and (2) individuals below the minimum age threshold for each cadre (</w:t>
      </w:r>
      <w:r w:rsidR="00614382" w:rsidRPr="00614382">
        <w:rPr>
          <w:rFonts w:ascii="Arial" w:hAnsi="Arial" w:cs="Arial"/>
        </w:rPr>
        <w:t>≤</w:t>
      </w:r>
      <w:r w:rsidRPr="00614382">
        <w:rPr>
          <w:rFonts w:ascii="Arial" w:hAnsi="Arial" w:cs="Arial"/>
        </w:rPr>
        <w:t xml:space="preserve">15 years for nursing, </w:t>
      </w:r>
      <w:r w:rsidR="00614382" w:rsidRPr="00614382">
        <w:rPr>
          <w:rFonts w:ascii="Arial" w:hAnsi="Arial" w:cs="Arial"/>
        </w:rPr>
        <w:t>≤</w:t>
      </w:r>
      <w:r w:rsidRPr="00614382">
        <w:rPr>
          <w:rFonts w:ascii="Arial" w:hAnsi="Arial" w:cs="Arial"/>
        </w:rPr>
        <w:t>24 years for medicine). These age thresholds reflect minimum ages at which individuals can realistically have completed the required formal training under Mexico's educational system. Nursing includes technical and vocational tracks that do not require university completion, whereas medical training requires a longer educational trajectory.</w:t>
      </w:r>
    </w:p>
    <w:p w14:paraId="594E1B5B" w14:textId="77777777" w:rsidR="00A55FF2" w:rsidRPr="00614382" w:rsidRDefault="00A55FF2" w:rsidP="00614382">
      <w:pPr>
        <w:spacing w:line="360" w:lineRule="auto"/>
        <w:rPr>
          <w:rFonts w:ascii="Arial" w:hAnsi="Arial" w:cs="Arial"/>
        </w:rPr>
      </w:pPr>
      <w:r w:rsidRPr="00614382">
        <w:rPr>
          <w:rFonts w:ascii="Arial" w:hAnsi="Arial" w:cs="Arial"/>
        </w:rPr>
        <w:t>The final analytic sample was classified into three mutually exclusive labor market categories based on INEGI's ILO-consistent classification algorithm: (1) employed in healthcare; (2) employed in other sectors; and (3) unemployed (not working but actively seeking work).</w:t>
      </w:r>
    </w:p>
    <w:p w14:paraId="247C44B5" w14:textId="77777777" w:rsidR="00A55FF2" w:rsidRPr="00614382" w:rsidRDefault="00A55FF2" w:rsidP="00614382">
      <w:pPr>
        <w:spacing w:before="240" w:line="360" w:lineRule="auto"/>
        <w:rPr>
          <w:rFonts w:ascii="Arial" w:hAnsi="Arial" w:cs="Arial"/>
          <w:i/>
        </w:rPr>
      </w:pPr>
      <w:r w:rsidRPr="00614382">
        <w:rPr>
          <w:rFonts w:ascii="Arial" w:hAnsi="Arial" w:cs="Arial"/>
          <w:i/>
        </w:rPr>
        <w:t>Variable construction</w:t>
      </w:r>
    </w:p>
    <w:p w14:paraId="4E6494A4" w14:textId="77777777" w:rsidR="00A55FF2" w:rsidRPr="00614382" w:rsidRDefault="00A55FF2" w:rsidP="00614382">
      <w:pPr>
        <w:spacing w:line="360" w:lineRule="auto"/>
        <w:rPr>
          <w:rFonts w:ascii="Arial" w:hAnsi="Arial" w:cs="Arial"/>
        </w:rPr>
      </w:pPr>
      <w:r w:rsidRPr="00614382">
        <w:rPr>
          <w:rFonts w:ascii="Arial" w:hAnsi="Arial" w:cs="Arial"/>
        </w:rPr>
        <w:t>We identified individuals with medical or nursing training using four survey questions: (1) "What is the highest level of training you achieved?"; (2) "What is the name of the training you studied?"; (3) "Did you finish the studies of this career?"; and (4) "Are you currently attending school?". Respondents were classified as having completed nursing or medical training if they reported the relevant field of study, indicated completion of their academic program, and were not currently enrolled in educational institutions at the time of the survey.</w:t>
      </w:r>
    </w:p>
    <w:p w14:paraId="03A73CF6" w14:textId="77777777" w:rsidR="00A55FF2" w:rsidRPr="00614382" w:rsidRDefault="00A55FF2" w:rsidP="00614382">
      <w:pPr>
        <w:spacing w:line="360" w:lineRule="auto"/>
        <w:rPr>
          <w:rFonts w:ascii="Arial" w:hAnsi="Arial" w:cs="Arial"/>
          <w:strike/>
        </w:rPr>
      </w:pPr>
      <w:r w:rsidRPr="00614382">
        <w:rPr>
          <w:rFonts w:ascii="Arial" w:hAnsi="Arial" w:cs="Arial"/>
        </w:rPr>
        <w:t xml:space="preserve">ENOE's occupation and education catalogues changed over time. To ensure consistent identification of physicians and nurses across the study period, we constructed quarter-specific crosswalks mapping occupation and education codes to our analytic categories. </w:t>
      </w:r>
    </w:p>
    <w:p w14:paraId="6FC70C0C" w14:textId="133B0B1B" w:rsidR="00A55FF2" w:rsidRPr="00614382" w:rsidRDefault="00A55FF2" w:rsidP="00614382">
      <w:pPr>
        <w:spacing w:line="360" w:lineRule="auto"/>
        <w:rPr>
          <w:rFonts w:ascii="Arial" w:hAnsi="Arial" w:cs="Arial"/>
        </w:rPr>
      </w:pPr>
      <w:r w:rsidRPr="00614382">
        <w:rPr>
          <w:rFonts w:ascii="Arial" w:hAnsi="Arial" w:cs="Arial"/>
        </w:rPr>
        <w:lastRenderedPageBreak/>
        <w:t>We classified individuals using INEGI's labor force classification algorithm, which is consistent with ILO standards. Employed individuals were those who worked at least one hour during the reference week or had a job from which they were temporarily absent. Unemployed individuals were those who did not work, were available to start work, and were actively seeking employment.</w:t>
      </w:r>
    </w:p>
    <w:p w14:paraId="36ED3743" w14:textId="68154669" w:rsidR="00A55FF2" w:rsidRPr="00614382" w:rsidRDefault="00A55FF2" w:rsidP="00614382">
      <w:pPr>
        <w:spacing w:line="360" w:lineRule="auto"/>
        <w:rPr>
          <w:rFonts w:ascii="Arial" w:hAnsi="Arial" w:cs="Arial"/>
        </w:rPr>
      </w:pPr>
      <w:r w:rsidRPr="00614382">
        <w:rPr>
          <w:rFonts w:ascii="Arial" w:hAnsi="Arial" w:cs="Arial"/>
        </w:rPr>
        <w:t>We identified health sector employment using a combined rule based on (1) the respondent's main occupation (health professions or associate health occupations) and (2) main industry/establishment (human health services). Survey participants were flagged as employed in the health sector if either dimension indicated health services. We classified individuals using INEGI's labor force classification algorithm, which is consistent with ILO standards. The final analytic sample was classified into three mutually exclusive labor market categories based on INEGI's ILO-consistent classification algorithm: (1) employed in healthcare; (2) employed in other sectors; and (3) unemployed (not working but actively seeking work).</w:t>
      </w:r>
    </w:p>
    <w:p w14:paraId="456DE6BF" w14:textId="77777777" w:rsidR="00A55FF2" w:rsidRPr="00614382" w:rsidRDefault="00A55FF2" w:rsidP="00614382">
      <w:pPr>
        <w:spacing w:line="360" w:lineRule="auto"/>
        <w:rPr>
          <w:rFonts w:ascii="Arial" w:hAnsi="Arial" w:cs="Arial"/>
        </w:rPr>
      </w:pPr>
      <w:r w:rsidRPr="00614382">
        <w:rPr>
          <w:rFonts w:ascii="Arial" w:hAnsi="Arial" w:cs="Arial"/>
        </w:rPr>
        <w:t xml:space="preserve">The second quarter of 2020 (2020Q2) was excluded because ENOE suspended face-to-face fieldwork during the COVID-19 pandemic and the telephone module implemented during this period did not collect occupation data. Annual estimates for 2020 are based on three quarters (Q1, Q3, Q4). </w:t>
      </w:r>
    </w:p>
    <w:p w14:paraId="243A0C53" w14:textId="77777777" w:rsidR="00A55FF2" w:rsidRPr="00614382" w:rsidRDefault="00A55FF2" w:rsidP="00614382">
      <w:pPr>
        <w:spacing w:before="240" w:line="360" w:lineRule="auto"/>
        <w:rPr>
          <w:rFonts w:ascii="Arial" w:hAnsi="Arial" w:cs="Arial"/>
          <w:i/>
        </w:rPr>
      </w:pPr>
      <w:r w:rsidRPr="00614382">
        <w:rPr>
          <w:rFonts w:ascii="Arial" w:hAnsi="Arial" w:cs="Arial"/>
          <w:i/>
        </w:rPr>
        <w:t>Statistical analysis</w:t>
      </w:r>
    </w:p>
    <w:p w14:paraId="61F784F2" w14:textId="77777777" w:rsidR="00A55FF2" w:rsidRPr="00614382" w:rsidRDefault="00A55FF2" w:rsidP="00614382">
      <w:pPr>
        <w:spacing w:line="360" w:lineRule="auto"/>
        <w:rPr>
          <w:rFonts w:ascii="Arial" w:hAnsi="Arial" w:cs="Arial"/>
        </w:rPr>
      </w:pPr>
      <w:r w:rsidRPr="00614382">
        <w:rPr>
          <w:rFonts w:ascii="Arial" w:hAnsi="Arial" w:cs="Arial"/>
        </w:rPr>
        <w:t>We specified the survey design for each quarter incorporating ENOE expansion factors, strata, and primary sampling units. Within each labor market category, we produced Horvitz–Thompson estimates of population totals and standard errors using Taylor linearization. We report quarterly and annual totals with 95% confidence intervals.</w:t>
      </w:r>
    </w:p>
    <w:p w14:paraId="4395C024" w14:textId="00E496F2" w:rsidR="00A55FF2" w:rsidRPr="00614382" w:rsidRDefault="00A55FF2" w:rsidP="00614382">
      <w:pPr>
        <w:spacing w:line="360" w:lineRule="auto"/>
        <w:rPr>
          <w:rFonts w:ascii="Arial" w:hAnsi="Arial" w:cs="Arial"/>
        </w:rPr>
      </w:pPr>
      <w:r w:rsidRPr="00614382">
        <w:rPr>
          <w:rFonts w:ascii="Arial" w:hAnsi="Arial" w:cs="Arial"/>
        </w:rPr>
        <w:t xml:space="preserve">Because health professionals constitute a small share of the labor force, design-based quarterly estimates exhibit sampling variability. To recover underlying trends, we modeled expanded counts for each cadre–status–quarter cell using negative binomial generalized linear models with a log link, which accommodates overdispersion relative to Poisson. Models included state, year, and quarter fixed </w:t>
      </w:r>
      <w:r w:rsidRPr="00614382">
        <w:rPr>
          <w:rFonts w:ascii="Arial" w:hAnsi="Arial" w:cs="Arial"/>
        </w:rPr>
        <w:lastRenderedPageBreak/>
        <w:t>effects to absorb geographic heterogeneity, secular trends, and seasonality. We used AIC, BIC, and RMSE to select the preferred model specification. We explored specifications with interaction terms among state, year, quarter, cadre, and labor market status; these did not improve model fit, and we retained the more parsimonious specification. National-level estimates were obtained by aggregating predicted state-level values.</w:t>
      </w:r>
      <w:r w:rsidR="00614382">
        <w:rPr>
          <w:rFonts w:ascii="Arial" w:hAnsi="Arial" w:cs="Arial"/>
        </w:rPr>
        <w:t xml:space="preserve"> </w:t>
      </w:r>
      <w:r w:rsidRPr="00614382">
        <w:rPr>
          <w:rFonts w:ascii="Arial" w:hAnsi="Arial" w:cs="Arial"/>
        </w:rPr>
        <w:t>We expressed availability as densities by dividing predicted counts by corresponding mid-year population denominators from Mexico's National Population Council (CONAPO) and multiplying by 1,000.</w:t>
      </w:r>
      <w:r w:rsidR="00614382">
        <w:rPr>
          <w:rFonts w:ascii="Arial" w:hAnsi="Arial" w:cs="Arial"/>
        </w:rPr>
        <w:t xml:space="preserve"> </w:t>
      </w:r>
      <w:r w:rsidRPr="00614382">
        <w:rPr>
          <w:rFonts w:ascii="Arial" w:hAnsi="Arial" w:cs="Arial"/>
        </w:rPr>
        <w:t xml:space="preserve">All analyses were performed in R 4.4.2 using the survey and </w:t>
      </w:r>
      <w:proofErr w:type="spellStart"/>
      <w:r w:rsidRPr="00614382">
        <w:rPr>
          <w:rFonts w:ascii="Arial" w:hAnsi="Arial" w:cs="Arial"/>
          <w:i/>
          <w:iCs/>
        </w:rPr>
        <w:t>srvyr</w:t>
      </w:r>
      <w:proofErr w:type="spellEnd"/>
      <w:r w:rsidRPr="00614382">
        <w:rPr>
          <w:rFonts w:ascii="Arial" w:hAnsi="Arial" w:cs="Arial"/>
        </w:rPr>
        <w:t xml:space="preserve"> packages for design-based estimation and </w:t>
      </w:r>
      <w:r w:rsidRPr="00614382">
        <w:rPr>
          <w:rFonts w:ascii="Arial" w:hAnsi="Arial" w:cs="Arial"/>
          <w:i/>
          <w:iCs/>
        </w:rPr>
        <w:t>MASS</w:t>
      </w:r>
      <w:r w:rsidRPr="00614382">
        <w:rPr>
          <w:rFonts w:ascii="Arial" w:hAnsi="Arial" w:cs="Arial"/>
        </w:rPr>
        <w:t xml:space="preserve"> and </w:t>
      </w:r>
      <w:proofErr w:type="spellStart"/>
      <w:r w:rsidRPr="00614382">
        <w:rPr>
          <w:rFonts w:ascii="Arial" w:hAnsi="Arial" w:cs="Arial"/>
          <w:i/>
          <w:iCs/>
        </w:rPr>
        <w:t>marginaleffects</w:t>
      </w:r>
      <w:proofErr w:type="spellEnd"/>
      <w:r w:rsidRPr="00614382">
        <w:rPr>
          <w:rFonts w:ascii="Arial" w:hAnsi="Arial" w:cs="Arial"/>
        </w:rPr>
        <w:t xml:space="preserve"> for negative-binomial modeling.</w:t>
      </w:r>
    </w:p>
    <w:p w14:paraId="2DC2BD5C" w14:textId="77777777" w:rsidR="00E82D15" w:rsidRPr="00614382" w:rsidRDefault="00E82D15" w:rsidP="00614382">
      <w:pPr>
        <w:rPr>
          <w:rFonts w:ascii="Arial" w:hAnsi="Arial" w:cs="Arial"/>
        </w:rPr>
      </w:pPr>
    </w:p>
    <w:sectPr w:rsidR="00E82D15" w:rsidRPr="006143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F2"/>
    <w:rsid w:val="000D35C6"/>
    <w:rsid w:val="00165AD0"/>
    <w:rsid w:val="0046393A"/>
    <w:rsid w:val="004E0831"/>
    <w:rsid w:val="00614382"/>
    <w:rsid w:val="006207C4"/>
    <w:rsid w:val="00635BFE"/>
    <w:rsid w:val="00984CD8"/>
    <w:rsid w:val="00A55FF2"/>
    <w:rsid w:val="00E62D1A"/>
    <w:rsid w:val="00E82D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D92"/>
  <w15:chartTrackingRefBased/>
  <w15:docId w15:val="{01EA6081-A050-4FBF-81A0-59FDDF1E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F2"/>
    <w:pPr>
      <w:spacing w:line="279" w:lineRule="auto"/>
    </w:pPr>
    <w:rPr>
      <w:kern w:val="0"/>
      <w:lang w:val="en-US"/>
      <w14:ligatures w14:val="none"/>
    </w:rPr>
  </w:style>
  <w:style w:type="paragraph" w:styleId="Heading1">
    <w:name w:val="heading 1"/>
    <w:basedOn w:val="Normal"/>
    <w:next w:val="Normal"/>
    <w:link w:val="Heading1Char"/>
    <w:uiPriority w:val="9"/>
    <w:qFormat/>
    <w:rsid w:val="00A55F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Heading2">
    <w:name w:val="heading 2"/>
    <w:basedOn w:val="Normal"/>
    <w:next w:val="Normal"/>
    <w:link w:val="Heading2Char"/>
    <w:uiPriority w:val="9"/>
    <w:semiHidden/>
    <w:unhideWhenUsed/>
    <w:qFormat/>
    <w:rsid w:val="00A55F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MX"/>
      <w14:ligatures w14:val="standardContextual"/>
    </w:rPr>
  </w:style>
  <w:style w:type="paragraph" w:styleId="Heading3">
    <w:name w:val="heading 3"/>
    <w:basedOn w:val="Normal"/>
    <w:next w:val="Normal"/>
    <w:link w:val="Heading3Char"/>
    <w:uiPriority w:val="9"/>
    <w:semiHidden/>
    <w:unhideWhenUsed/>
    <w:qFormat/>
    <w:rsid w:val="00A55FF2"/>
    <w:pPr>
      <w:keepNext/>
      <w:keepLines/>
      <w:spacing w:before="160" w:after="80" w:line="278" w:lineRule="auto"/>
      <w:outlineLvl w:val="2"/>
    </w:pPr>
    <w:rPr>
      <w:rFonts w:eastAsiaTheme="majorEastAsia" w:cstheme="majorBidi"/>
      <w:color w:val="0F4761" w:themeColor="accent1" w:themeShade="BF"/>
      <w:kern w:val="2"/>
      <w:sz w:val="28"/>
      <w:szCs w:val="28"/>
      <w:lang w:val="es-MX"/>
      <w14:ligatures w14:val="standardContextual"/>
    </w:rPr>
  </w:style>
  <w:style w:type="paragraph" w:styleId="Heading4">
    <w:name w:val="heading 4"/>
    <w:basedOn w:val="Normal"/>
    <w:next w:val="Normal"/>
    <w:link w:val="Heading4Char"/>
    <w:uiPriority w:val="9"/>
    <w:semiHidden/>
    <w:unhideWhenUsed/>
    <w:qFormat/>
    <w:rsid w:val="00A55FF2"/>
    <w:pPr>
      <w:keepNext/>
      <w:keepLines/>
      <w:spacing w:before="80" w:after="40" w:line="278" w:lineRule="auto"/>
      <w:outlineLvl w:val="3"/>
    </w:pPr>
    <w:rPr>
      <w:rFonts w:eastAsiaTheme="majorEastAsia" w:cstheme="majorBidi"/>
      <w:i/>
      <w:iCs/>
      <w:color w:val="0F4761" w:themeColor="accent1" w:themeShade="BF"/>
      <w:kern w:val="2"/>
      <w:lang w:val="es-MX"/>
      <w14:ligatures w14:val="standardContextual"/>
    </w:rPr>
  </w:style>
  <w:style w:type="paragraph" w:styleId="Heading5">
    <w:name w:val="heading 5"/>
    <w:basedOn w:val="Normal"/>
    <w:next w:val="Normal"/>
    <w:link w:val="Heading5Char"/>
    <w:uiPriority w:val="9"/>
    <w:semiHidden/>
    <w:unhideWhenUsed/>
    <w:qFormat/>
    <w:rsid w:val="00A55FF2"/>
    <w:pPr>
      <w:keepNext/>
      <w:keepLines/>
      <w:spacing w:before="80" w:after="40" w:line="278" w:lineRule="auto"/>
      <w:outlineLvl w:val="4"/>
    </w:pPr>
    <w:rPr>
      <w:rFonts w:eastAsiaTheme="majorEastAsia" w:cstheme="majorBidi"/>
      <w:color w:val="0F4761" w:themeColor="accent1" w:themeShade="BF"/>
      <w:kern w:val="2"/>
      <w:lang w:val="es-MX"/>
      <w14:ligatures w14:val="standardContextual"/>
    </w:rPr>
  </w:style>
  <w:style w:type="paragraph" w:styleId="Heading6">
    <w:name w:val="heading 6"/>
    <w:basedOn w:val="Normal"/>
    <w:next w:val="Normal"/>
    <w:link w:val="Heading6Char"/>
    <w:uiPriority w:val="9"/>
    <w:semiHidden/>
    <w:unhideWhenUsed/>
    <w:qFormat/>
    <w:rsid w:val="00A55FF2"/>
    <w:pPr>
      <w:keepNext/>
      <w:keepLines/>
      <w:spacing w:before="40" w:after="0" w:line="278" w:lineRule="auto"/>
      <w:outlineLvl w:val="5"/>
    </w:pPr>
    <w:rPr>
      <w:rFonts w:eastAsiaTheme="majorEastAsia" w:cstheme="majorBidi"/>
      <w:i/>
      <w:iCs/>
      <w:color w:val="595959" w:themeColor="text1" w:themeTint="A6"/>
      <w:kern w:val="2"/>
      <w:lang w:val="es-MX"/>
      <w14:ligatures w14:val="standardContextual"/>
    </w:rPr>
  </w:style>
  <w:style w:type="paragraph" w:styleId="Heading7">
    <w:name w:val="heading 7"/>
    <w:basedOn w:val="Normal"/>
    <w:next w:val="Normal"/>
    <w:link w:val="Heading7Char"/>
    <w:uiPriority w:val="9"/>
    <w:semiHidden/>
    <w:unhideWhenUsed/>
    <w:qFormat/>
    <w:rsid w:val="00A55FF2"/>
    <w:pPr>
      <w:keepNext/>
      <w:keepLines/>
      <w:spacing w:before="40" w:after="0" w:line="278" w:lineRule="auto"/>
      <w:outlineLvl w:val="6"/>
    </w:pPr>
    <w:rPr>
      <w:rFonts w:eastAsiaTheme="majorEastAsia" w:cstheme="majorBidi"/>
      <w:color w:val="595959" w:themeColor="text1" w:themeTint="A6"/>
      <w:kern w:val="2"/>
      <w:lang w:val="es-MX"/>
      <w14:ligatures w14:val="standardContextual"/>
    </w:rPr>
  </w:style>
  <w:style w:type="paragraph" w:styleId="Heading8">
    <w:name w:val="heading 8"/>
    <w:basedOn w:val="Normal"/>
    <w:next w:val="Normal"/>
    <w:link w:val="Heading8Char"/>
    <w:uiPriority w:val="9"/>
    <w:semiHidden/>
    <w:unhideWhenUsed/>
    <w:qFormat/>
    <w:rsid w:val="00A55FF2"/>
    <w:pPr>
      <w:keepNext/>
      <w:keepLines/>
      <w:spacing w:after="0" w:line="278" w:lineRule="auto"/>
      <w:outlineLvl w:val="7"/>
    </w:pPr>
    <w:rPr>
      <w:rFonts w:eastAsiaTheme="majorEastAsia" w:cstheme="majorBidi"/>
      <w:i/>
      <w:iCs/>
      <w:color w:val="272727" w:themeColor="text1" w:themeTint="D8"/>
      <w:kern w:val="2"/>
      <w:lang w:val="es-MX"/>
      <w14:ligatures w14:val="standardContextual"/>
    </w:rPr>
  </w:style>
  <w:style w:type="paragraph" w:styleId="Heading9">
    <w:name w:val="heading 9"/>
    <w:basedOn w:val="Normal"/>
    <w:next w:val="Normal"/>
    <w:link w:val="Heading9Char"/>
    <w:uiPriority w:val="9"/>
    <w:semiHidden/>
    <w:unhideWhenUsed/>
    <w:qFormat/>
    <w:rsid w:val="00A55FF2"/>
    <w:pPr>
      <w:keepNext/>
      <w:keepLines/>
      <w:spacing w:after="0" w:line="278" w:lineRule="auto"/>
      <w:outlineLvl w:val="8"/>
    </w:pPr>
    <w:rPr>
      <w:rFonts w:eastAsiaTheme="majorEastAsia" w:cstheme="majorBidi"/>
      <w:color w:val="272727" w:themeColor="text1" w:themeTint="D8"/>
      <w:kern w:val="2"/>
      <w:lang w:val="es-MX"/>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FF2"/>
    <w:rPr>
      <w:rFonts w:eastAsiaTheme="majorEastAsia" w:cstheme="majorBidi"/>
      <w:color w:val="272727" w:themeColor="text1" w:themeTint="D8"/>
    </w:rPr>
  </w:style>
  <w:style w:type="paragraph" w:styleId="Title">
    <w:name w:val="Title"/>
    <w:basedOn w:val="Normal"/>
    <w:next w:val="Normal"/>
    <w:link w:val="TitleChar"/>
    <w:uiPriority w:val="10"/>
    <w:qFormat/>
    <w:rsid w:val="00A55FF2"/>
    <w:pPr>
      <w:spacing w:after="80" w:line="240" w:lineRule="auto"/>
      <w:contextualSpacing/>
    </w:pPr>
    <w:rPr>
      <w:rFonts w:asciiTheme="majorHAnsi" w:eastAsiaTheme="majorEastAsia" w:hAnsiTheme="majorHAnsi" w:cstheme="majorBidi"/>
      <w:spacing w:val="-10"/>
      <w:kern w:val="28"/>
      <w:sz w:val="56"/>
      <w:szCs w:val="56"/>
      <w:lang w:val="es-MX"/>
      <w14:ligatures w14:val="standardContextual"/>
    </w:rPr>
  </w:style>
  <w:style w:type="character" w:customStyle="1" w:styleId="TitleChar">
    <w:name w:val="Title Char"/>
    <w:basedOn w:val="DefaultParagraphFont"/>
    <w:link w:val="Title"/>
    <w:uiPriority w:val="10"/>
    <w:rsid w:val="00A55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FF2"/>
    <w:pPr>
      <w:numPr>
        <w:ilvl w:val="1"/>
      </w:numPr>
      <w:spacing w:line="278" w:lineRule="auto"/>
    </w:pPr>
    <w:rPr>
      <w:rFonts w:eastAsiaTheme="majorEastAsia" w:cstheme="majorBidi"/>
      <w:color w:val="595959" w:themeColor="text1" w:themeTint="A6"/>
      <w:spacing w:val="15"/>
      <w:kern w:val="2"/>
      <w:sz w:val="28"/>
      <w:szCs w:val="28"/>
      <w:lang w:val="es-MX"/>
      <w14:ligatures w14:val="standardContextual"/>
    </w:rPr>
  </w:style>
  <w:style w:type="character" w:customStyle="1" w:styleId="SubtitleChar">
    <w:name w:val="Subtitle Char"/>
    <w:basedOn w:val="DefaultParagraphFont"/>
    <w:link w:val="Subtitle"/>
    <w:uiPriority w:val="11"/>
    <w:rsid w:val="00A55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FF2"/>
    <w:pPr>
      <w:spacing w:before="160" w:line="278" w:lineRule="auto"/>
      <w:jc w:val="center"/>
    </w:pPr>
    <w:rPr>
      <w:i/>
      <w:iCs/>
      <w:color w:val="404040" w:themeColor="text1" w:themeTint="BF"/>
      <w:kern w:val="2"/>
      <w:lang w:val="es-MX"/>
      <w14:ligatures w14:val="standardContextual"/>
    </w:rPr>
  </w:style>
  <w:style w:type="character" w:customStyle="1" w:styleId="QuoteChar">
    <w:name w:val="Quote Char"/>
    <w:basedOn w:val="DefaultParagraphFont"/>
    <w:link w:val="Quote"/>
    <w:uiPriority w:val="29"/>
    <w:rsid w:val="00A55FF2"/>
    <w:rPr>
      <w:i/>
      <w:iCs/>
      <w:color w:val="404040" w:themeColor="text1" w:themeTint="BF"/>
    </w:rPr>
  </w:style>
  <w:style w:type="paragraph" w:styleId="ListParagraph">
    <w:name w:val="List Paragraph"/>
    <w:basedOn w:val="Normal"/>
    <w:uiPriority w:val="34"/>
    <w:qFormat/>
    <w:rsid w:val="00A55FF2"/>
    <w:pPr>
      <w:spacing w:line="278" w:lineRule="auto"/>
      <w:ind w:left="720"/>
      <w:contextualSpacing/>
    </w:pPr>
    <w:rPr>
      <w:kern w:val="2"/>
      <w:lang w:val="es-MX"/>
      <w14:ligatures w14:val="standardContextual"/>
    </w:rPr>
  </w:style>
  <w:style w:type="character" w:styleId="IntenseEmphasis">
    <w:name w:val="Intense Emphasis"/>
    <w:basedOn w:val="DefaultParagraphFont"/>
    <w:uiPriority w:val="21"/>
    <w:qFormat/>
    <w:rsid w:val="00A55FF2"/>
    <w:rPr>
      <w:i/>
      <w:iCs/>
      <w:color w:val="0F4761" w:themeColor="accent1" w:themeShade="BF"/>
    </w:rPr>
  </w:style>
  <w:style w:type="paragraph" w:styleId="IntenseQuote">
    <w:name w:val="Intense Quote"/>
    <w:basedOn w:val="Normal"/>
    <w:next w:val="Normal"/>
    <w:link w:val="IntenseQuoteChar"/>
    <w:uiPriority w:val="30"/>
    <w:qFormat/>
    <w:rsid w:val="00A55FF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lang w:val="es-MX"/>
      <w14:ligatures w14:val="standardContextual"/>
    </w:rPr>
  </w:style>
  <w:style w:type="character" w:customStyle="1" w:styleId="IntenseQuoteChar">
    <w:name w:val="Intense Quote Char"/>
    <w:basedOn w:val="DefaultParagraphFont"/>
    <w:link w:val="IntenseQuote"/>
    <w:uiPriority w:val="30"/>
    <w:rsid w:val="00A55FF2"/>
    <w:rPr>
      <w:i/>
      <w:iCs/>
      <w:color w:val="0F4761" w:themeColor="accent1" w:themeShade="BF"/>
    </w:rPr>
  </w:style>
  <w:style w:type="character" w:styleId="IntenseReference">
    <w:name w:val="Intense Reference"/>
    <w:basedOn w:val="DefaultParagraphFont"/>
    <w:uiPriority w:val="32"/>
    <w:qFormat/>
    <w:rsid w:val="00A55FF2"/>
    <w:rPr>
      <w:b/>
      <w:bCs/>
      <w:smallCaps/>
      <w:color w:val="0F4761" w:themeColor="accent1" w:themeShade="BF"/>
      <w:spacing w:val="5"/>
    </w:rPr>
  </w:style>
  <w:style w:type="paragraph" w:styleId="CommentText">
    <w:name w:val="annotation text"/>
    <w:basedOn w:val="Normal"/>
    <w:link w:val="CommentTextChar"/>
    <w:uiPriority w:val="99"/>
    <w:unhideWhenUsed/>
    <w:rsid w:val="00A55FF2"/>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A55FF2"/>
    <w:rPr>
      <w:sz w:val="20"/>
      <w:szCs w:val="20"/>
      <w:lang w:val="en-US"/>
    </w:rPr>
  </w:style>
  <w:style w:type="character" w:styleId="CommentReference">
    <w:name w:val="annotation reference"/>
    <w:basedOn w:val="DefaultParagraphFont"/>
    <w:uiPriority w:val="99"/>
    <w:semiHidden/>
    <w:unhideWhenUsed/>
    <w:rsid w:val="00A55FF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1243</Words>
  <Characters>7533</Characters>
  <Application>Microsoft Office Word</Application>
  <DocSecurity>0</DocSecurity>
  <Lines>119</Lines>
  <Paragraphs>28</Paragraphs>
  <ScaleCrop>false</ScaleCrop>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Guadalupe Choperena Aguilar</dc:creator>
  <cp:keywords/>
  <dc:description/>
  <cp:lastModifiedBy>David Contreras Loya</cp:lastModifiedBy>
  <cp:revision>2</cp:revision>
  <dcterms:created xsi:type="dcterms:W3CDTF">2026-04-24T16:50:00Z</dcterms:created>
  <dcterms:modified xsi:type="dcterms:W3CDTF">2026-04-25T00:54:00Z</dcterms:modified>
</cp:coreProperties>
</file>