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F38A35">
      <w:pPr>
        <w:rPr>
          <w:rFonts w:hint="eastAsia"/>
          <w:b/>
          <w:bCs/>
        </w:rPr>
      </w:pPr>
      <w:bookmarkStart w:id="0" w:name="_GoBack"/>
      <w:bookmarkEnd w:id="0"/>
      <w:r>
        <w:rPr>
          <w:rFonts w:hint="eastAsia"/>
          <w:b/>
          <w:bCs/>
        </w:rPr>
        <w:t>Supplementary Table S2. Sensitivity analysis results using a stricter persistent kidney function decline definition.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7"/>
        <w:gridCol w:w="1249"/>
        <w:gridCol w:w="1142"/>
        <w:gridCol w:w="3369"/>
      </w:tblGrid>
      <w:tr w14:paraId="750396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7" w:type="dxa"/>
            <w:tcBorders>
              <w:tl2br w:val="nil"/>
              <w:tr2bl w:val="nil"/>
            </w:tcBorders>
            <w:noWrap w:val="0"/>
            <w:vAlign w:val="center"/>
          </w:tcPr>
          <w:p w14:paraId="7EC4BD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Analysis</w:t>
            </w:r>
          </w:p>
          <w:p w14:paraId="1E35BC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/>
                <w:vertAlign w:val="baseli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&lt;fctr&gt;</w:t>
            </w:r>
          </w:p>
        </w:tc>
        <w:tc>
          <w:tcPr>
            <w:tcW w:w="1249" w:type="dxa"/>
            <w:tcBorders>
              <w:tl2br w:val="nil"/>
              <w:tr2bl w:val="nil"/>
            </w:tcBorders>
            <w:noWrap w:val="0"/>
            <w:vAlign w:val="center"/>
          </w:tcPr>
          <w:p w14:paraId="0CC9B6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Metric</w:t>
            </w:r>
          </w:p>
          <w:p w14:paraId="2309D5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/>
                <w:vertAlign w:val="baseli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&lt;chr&gt;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noWrap w:val="0"/>
            <w:vAlign w:val="center"/>
          </w:tcPr>
          <w:p w14:paraId="080CC2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right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Estimate</w:t>
            </w:r>
          </w:p>
          <w:p w14:paraId="452CE7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right"/>
              <w:rPr>
                <w:rFonts w:hint="eastAsia"/>
                <w:vertAlign w:val="baseli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&lt;dbl&gt;</w:t>
            </w:r>
          </w:p>
        </w:tc>
        <w:tc>
          <w:tcPr>
            <w:tcW w:w="3369" w:type="dxa"/>
            <w:tcBorders>
              <w:tl2br w:val="nil"/>
              <w:tr2bl w:val="nil"/>
            </w:tcBorders>
            <w:noWrap w:val="0"/>
            <w:vAlign w:val="center"/>
          </w:tcPr>
          <w:p w14:paraId="107F91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95% CI</w:t>
            </w:r>
          </w:p>
          <w:p w14:paraId="54F632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/>
                <w:vertAlign w:val="baseli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&lt;chr&gt;</w:t>
            </w:r>
          </w:p>
        </w:tc>
      </w:tr>
      <w:tr w14:paraId="6E04E1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7" w:type="dxa"/>
            <w:tcBorders>
              <w:tl2br w:val="nil"/>
              <w:tr2bl w:val="nil"/>
            </w:tcBorders>
            <w:noWrap w:val="0"/>
            <w:vAlign w:val="center"/>
          </w:tcPr>
          <w:p w14:paraId="3961F5D9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eastAsia"/>
                <w:vertAlign w:val="baseli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Primary</w:t>
            </w:r>
          </w:p>
        </w:tc>
        <w:tc>
          <w:tcPr>
            <w:tcW w:w="1249" w:type="dxa"/>
            <w:tcBorders>
              <w:tl2br w:val="nil"/>
              <w:tr2bl w:val="nil"/>
            </w:tcBorders>
            <w:noWrap w:val="0"/>
            <w:vAlign w:val="center"/>
          </w:tcPr>
          <w:p w14:paraId="4481FBC5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eastAsia"/>
                <w:vertAlign w:val="baseli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AUC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noWrap w:val="0"/>
            <w:vAlign w:val="center"/>
          </w:tcPr>
          <w:p w14:paraId="0772115F">
            <w:pPr>
              <w:keepNext w:val="0"/>
              <w:keepLines w:val="0"/>
              <w:widowControl/>
              <w:suppressLineNumbers w:val="0"/>
              <w:spacing w:line="240" w:lineRule="atLeast"/>
              <w:jc w:val="right"/>
              <w:rPr>
                <w:rFonts w:hint="eastAsia"/>
                <w:vertAlign w:val="baseli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0.648</w:t>
            </w:r>
          </w:p>
        </w:tc>
        <w:tc>
          <w:tcPr>
            <w:tcW w:w="3369" w:type="dxa"/>
            <w:tcBorders>
              <w:tl2br w:val="nil"/>
              <w:tr2bl w:val="nil"/>
            </w:tcBorders>
            <w:noWrap w:val="0"/>
            <w:vAlign w:val="center"/>
          </w:tcPr>
          <w:p w14:paraId="7F621940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eastAsia"/>
                <w:vertAlign w:val="baseli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(0.62-0.676)</w:t>
            </w:r>
          </w:p>
        </w:tc>
      </w:tr>
      <w:tr w14:paraId="5902BC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7" w:type="dxa"/>
            <w:tcBorders>
              <w:tl2br w:val="nil"/>
              <w:tr2bl w:val="nil"/>
            </w:tcBorders>
            <w:noWrap w:val="0"/>
            <w:vAlign w:val="center"/>
          </w:tcPr>
          <w:p w14:paraId="5EC254A8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eastAsia"/>
                <w:vertAlign w:val="baseli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Sensitivity</w:t>
            </w:r>
          </w:p>
        </w:tc>
        <w:tc>
          <w:tcPr>
            <w:tcW w:w="1249" w:type="dxa"/>
            <w:tcBorders>
              <w:tl2br w:val="nil"/>
              <w:tr2bl w:val="nil"/>
            </w:tcBorders>
            <w:noWrap w:val="0"/>
            <w:vAlign w:val="center"/>
          </w:tcPr>
          <w:p w14:paraId="4665F02F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eastAsia"/>
                <w:vertAlign w:val="baseli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AUC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noWrap w:val="0"/>
            <w:vAlign w:val="center"/>
          </w:tcPr>
          <w:p w14:paraId="38F458C2">
            <w:pPr>
              <w:keepNext w:val="0"/>
              <w:keepLines w:val="0"/>
              <w:widowControl/>
              <w:suppressLineNumbers w:val="0"/>
              <w:spacing w:line="240" w:lineRule="atLeast"/>
              <w:jc w:val="right"/>
              <w:rPr>
                <w:rFonts w:hint="eastAsia"/>
                <w:vertAlign w:val="baseli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0.641</w:t>
            </w:r>
          </w:p>
        </w:tc>
        <w:tc>
          <w:tcPr>
            <w:tcW w:w="3369" w:type="dxa"/>
            <w:tcBorders>
              <w:tl2br w:val="nil"/>
              <w:tr2bl w:val="nil"/>
            </w:tcBorders>
            <w:noWrap w:val="0"/>
            <w:vAlign w:val="center"/>
          </w:tcPr>
          <w:p w14:paraId="4CA01FBB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eastAsia"/>
                <w:vertAlign w:val="baseli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(0.612-0.67)</w:t>
            </w:r>
          </w:p>
        </w:tc>
      </w:tr>
      <w:tr w14:paraId="76C4AF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7" w:type="dxa"/>
            <w:tcBorders>
              <w:tl2br w:val="nil"/>
              <w:tr2bl w:val="nil"/>
            </w:tcBorders>
            <w:noWrap w:val="0"/>
            <w:vAlign w:val="center"/>
          </w:tcPr>
          <w:p w14:paraId="58E16048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eastAsia"/>
                <w:vertAlign w:val="baseli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Primary</w:t>
            </w:r>
          </w:p>
        </w:tc>
        <w:tc>
          <w:tcPr>
            <w:tcW w:w="1249" w:type="dxa"/>
            <w:tcBorders>
              <w:tl2br w:val="nil"/>
              <w:tr2bl w:val="nil"/>
            </w:tcBorders>
            <w:noWrap w:val="0"/>
            <w:vAlign w:val="center"/>
          </w:tcPr>
          <w:p w14:paraId="73F91F97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eastAsia"/>
                <w:vertAlign w:val="baseli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Sensitivity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noWrap w:val="0"/>
            <w:vAlign w:val="center"/>
          </w:tcPr>
          <w:p w14:paraId="3A50FEFE">
            <w:pPr>
              <w:keepNext w:val="0"/>
              <w:keepLines w:val="0"/>
              <w:widowControl/>
              <w:suppressLineNumbers w:val="0"/>
              <w:spacing w:line="240" w:lineRule="atLeast"/>
              <w:jc w:val="right"/>
              <w:rPr>
                <w:rFonts w:hint="eastAsia"/>
                <w:vertAlign w:val="baseli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0.564</w:t>
            </w:r>
          </w:p>
        </w:tc>
        <w:tc>
          <w:tcPr>
            <w:tcW w:w="3369" w:type="dxa"/>
            <w:tcBorders>
              <w:tl2br w:val="nil"/>
              <w:tr2bl w:val="nil"/>
            </w:tcBorders>
            <w:noWrap w:val="0"/>
            <w:vAlign w:val="center"/>
          </w:tcPr>
          <w:p w14:paraId="1CD23B75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eastAsia"/>
                <w:vertAlign w:val="baseli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(0.535-0.593)</w:t>
            </w:r>
          </w:p>
        </w:tc>
      </w:tr>
      <w:tr w14:paraId="20F972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7" w:type="dxa"/>
            <w:tcBorders>
              <w:tl2br w:val="nil"/>
              <w:tr2bl w:val="nil"/>
            </w:tcBorders>
            <w:noWrap w:val="0"/>
            <w:vAlign w:val="center"/>
          </w:tcPr>
          <w:p w14:paraId="7C2BB452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eastAsia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Sensitivity</w:t>
            </w:r>
          </w:p>
        </w:tc>
        <w:tc>
          <w:tcPr>
            <w:tcW w:w="1249" w:type="dxa"/>
            <w:tcBorders>
              <w:tl2br w:val="nil"/>
              <w:tr2bl w:val="nil"/>
            </w:tcBorders>
            <w:noWrap w:val="0"/>
            <w:vAlign w:val="center"/>
          </w:tcPr>
          <w:p w14:paraId="0865AF43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eastAsia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Sensitivity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noWrap w:val="0"/>
            <w:vAlign w:val="center"/>
          </w:tcPr>
          <w:p w14:paraId="022970FF">
            <w:pPr>
              <w:keepNext w:val="0"/>
              <w:keepLines w:val="0"/>
              <w:widowControl/>
              <w:suppressLineNumbers w:val="0"/>
              <w:spacing w:line="240" w:lineRule="atLeast"/>
              <w:jc w:val="right"/>
              <w:rPr>
                <w:rFonts w:hint="eastAsia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0.541</w:t>
            </w:r>
          </w:p>
        </w:tc>
        <w:tc>
          <w:tcPr>
            <w:tcW w:w="3369" w:type="dxa"/>
            <w:tcBorders>
              <w:tl2br w:val="nil"/>
              <w:tr2bl w:val="nil"/>
            </w:tcBorders>
            <w:noWrap w:val="0"/>
            <w:vAlign w:val="center"/>
          </w:tcPr>
          <w:p w14:paraId="771E482B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eastAsia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(0.512-0.57)</w:t>
            </w:r>
          </w:p>
        </w:tc>
      </w:tr>
      <w:tr w14:paraId="2142CC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7" w:type="dxa"/>
            <w:tcBorders>
              <w:tl2br w:val="nil"/>
              <w:tr2bl w:val="nil"/>
            </w:tcBorders>
            <w:noWrap w:val="0"/>
            <w:vAlign w:val="center"/>
          </w:tcPr>
          <w:p w14:paraId="60A6613A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eastAsia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Primary</w:t>
            </w:r>
          </w:p>
        </w:tc>
        <w:tc>
          <w:tcPr>
            <w:tcW w:w="1249" w:type="dxa"/>
            <w:tcBorders>
              <w:tl2br w:val="nil"/>
              <w:tr2bl w:val="nil"/>
            </w:tcBorders>
            <w:noWrap w:val="0"/>
            <w:vAlign w:val="center"/>
          </w:tcPr>
          <w:p w14:paraId="1F328A19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eastAsia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Specificity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noWrap w:val="0"/>
            <w:vAlign w:val="center"/>
          </w:tcPr>
          <w:p w14:paraId="4205DE63">
            <w:pPr>
              <w:keepNext w:val="0"/>
              <w:keepLines w:val="0"/>
              <w:widowControl/>
              <w:suppressLineNumbers w:val="0"/>
              <w:spacing w:line="240" w:lineRule="atLeast"/>
              <w:jc w:val="right"/>
              <w:rPr>
                <w:rFonts w:hint="eastAsia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0.648</w:t>
            </w:r>
          </w:p>
        </w:tc>
        <w:tc>
          <w:tcPr>
            <w:tcW w:w="3369" w:type="dxa"/>
            <w:tcBorders>
              <w:tl2br w:val="nil"/>
              <w:tr2bl w:val="nil"/>
            </w:tcBorders>
            <w:noWrap w:val="0"/>
            <w:vAlign w:val="center"/>
          </w:tcPr>
          <w:p w14:paraId="48205BD2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eastAsia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(0.618-0.678)</w:t>
            </w:r>
          </w:p>
        </w:tc>
      </w:tr>
      <w:tr w14:paraId="67ABC8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7" w:type="dxa"/>
            <w:tcBorders>
              <w:tl2br w:val="nil"/>
              <w:tr2bl w:val="nil"/>
            </w:tcBorders>
            <w:noWrap w:val="0"/>
            <w:vAlign w:val="center"/>
          </w:tcPr>
          <w:p w14:paraId="68479F26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eastAsia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Sensitivity</w:t>
            </w:r>
          </w:p>
        </w:tc>
        <w:tc>
          <w:tcPr>
            <w:tcW w:w="1249" w:type="dxa"/>
            <w:tcBorders>
              <w:tl2br w:val="nil"/>
              <w:tr2bl w:val="nil"/>
            </w:tcBorders>
            <w:noWrap w:val="0"/>
            <w:vAlign w:val="center"/>
          </w:tcPr>
          <w:p w14:paraId="63ACA968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eastAsia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Specificity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noWrap w:val="0"/>
            <w:vAlign w:val="center"/>
          </w:tcPr>
          <w:p w14:paraId="0252450A">
            <w:pPr>
              <w:keepNext w:val="0"/>
              <w:keepLines w:val="0"/>
              <w:widowControl/>
              <w:suppressLineNumbers w:val="0"/>
              <w:spacing w:line="240" w:lineRule="atLeast"/>
              <w:jc w:val="right"/>
              <w:rPr>
                <w:rFonts w:hint="eastAsia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0.671</w:t>
            </w:r>
          </w:p>
        </w:tc>
        <w:tc>
          <w:tcPr>
            <w:tcW w:w="3369" w:type="dxa"/>
            <w:tcBorders>
              <w:tl2br w:val="nil"/>
              <w:tr2bl w:val="nil"/>
            </w:tcBorders>
            <w:noWrap w:val="0"/>
            <w:vAlign w:val="center"/>
          </w:tcPr>
          <w:p w14:paraId="0B91A7B9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eastAsia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(0.642-0.7)</w:t>
            </w:r>
          </w:p>
        </w:tc>
      </w:tr>
    </w:tbl>
    <w:p w14:paraId="5FA1137D"/>
    <w:p w14:paraId="22874056">
      <w:pPr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Comparison between the primary analysis (single</w:t>
      </w:r>
      <w:r>
        <w:rPr>
          <w:rFonts w:hint="eastAsia"/>
          <w:b w:val="0"/>
          <w:bCs w:val="0"/>
          <w:lang w:val="en-US" w:eastAsia="zh-CN"/>
        </w:rPr>
        <w:t>-</w:t>
      </w:r>
      <w:r>
        <w:rPr>
          <w:rFonts w:hint="eastAsia"/>
          <w:b w:val="0"/>
          <w:bCs w:val="0"/>
        </w:rPr>
        <w:t>time</w:t>
      </w:r>
      <w:r>
        <w:rPr>
          <w:rFonts w:hint="eastAsia"/>
          <w:b w:val="0"/>
          <w:bCs w:val="0"/>
          <w:lang w:val="en-US" w:eastAsia="zh-CN"/>
        </w:rPr>
        <w:t>-</w:t>
      </w:r>
      <w:r>
        <w:rPr>
          <w:rFonts w:hint="eastAsia"/>
          <w:b w:val="0"/>
          <w:bCs w:val="0"/>
        </w:rPr>
        <w:t>point CKD definition) and the sensitivity analysis (persistent decline). Metrics include AUC, sensitivity, specificity, and their 95% confidence intervals. No statistically significant difference was observed (DeLong test P = 0.682).</w:t>
      </w:r>
    </w:p>
    <w:p w14:paraId="3B9FDD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C55743"/>
    <w:rsid w:val="30A83DAF"/>
    <w:rsid w:val="4D8C494F"/>
    <w:rsid w:val="56C67981"/>
    <w:rsid w:val="7BA0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946</Characters>
  <Lines>0</Lines>
  <Paragraphs>0</Paragraphs>
  <TotalTime>0</TotalTime>
  <ScaleCrop>false</ScaleCrop>
  <LinksUpToDate>false</LinksUpToDate>
  <CharactersWithSpaces>1050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2026-05-02T02:49:00Z</dcterms:created>
  <dc:creator>Administrator</dc:creator>
  <cp:lastModifiedBy>蒋磊</cp:lastModifiedBy>
  <dcterms:modified xsi:type="dcterms:W3CDTF">2026-05-09T11:51:53Z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eyJoZGlkIjoiZmIzYzcyNGQ4OWZlNTE4MWM3OTRhOGM5YzYzMmY2MjciLCJ1c2VySWQiOiI2ODIzNjk0OTgifQ==</vt:lpwstr>
  </property>
  <property fmtid="{D5CDD505-2E9C-101B-9397-08002B2CF9AE}" pid="4" name="ICV">
    <vt:lpwstr>6E0FFCEF877C4888BB7CABB4F5BA5EBE_12</vt:lpwstr>
  </property>
</Properties>
</file>