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3A919" w14:textId="68CC69A8" w:rsidR="004565A6" w:rsidRPr="001D16E0" w:rsidRDefault="00E22EDE" w:rsidP="00352164">
      <w:pPr>
        <w:spacing w:line="276" w:lineRule="auto"/>
        <w:ind w:right="333"/>
        <w:jc w:val="center"/>
        <w:rPr>
          <w:rFonts w:ascii="Calibri" w:hAnsi="Calibri" w:cs="Calibri"/>
          <w:sz w:val="20"/>
          <w:szCs w:val="20"/>
        </w:rPr>
      </w:pPr>
      <w:r>
        <w:rPr>
          <w:rFonts w:cs="Sans Serif Collection"/>
          <w:noProof/>
          <w:sz w:val="20"/>
          <w:szCs w:val="20"/>
        </w:rPr>
        <w:drawing>
          <wp:inline distT="0" distB="0" distL="0" distR="0" wp14:anchorId="71B57A66" wp14:editId="7DAD2D88">
            <wp:extent cx="6507480" cy="5875020"/>
            <wp:effectExtent l="0" t="0" r="7620" b="0"/>
            <wp:docPr id="2004396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507480" cy="5875020"/>
                    </a:xfrm>
                    <a:prstGeom prst="rect">
                      <a:avLst/>
                    </a:prstGeom>
                    <a:noFill/>
                    <a:ln>
                      <a:noFill/>
                    </a:ln>
                  </pic:spPr>
                </pic:pic>
              </a:graphicData>
            </a:graphic>
          </wp:inline>
        </w:drawing>
      </w:r>
    </w:p>
    <w:p w14:paraId="4806BF66" w14:textId="6A3B2538" w:rsidR="00E857C4" w:rsidRPr="001D16E0" w:rsidRDefault="00445433" w:rsidP="004565A6">
      <w:pPr>
        <w:spacing w:after="160" w:line="276" w:lineRule="auto"/>
        <w:jc w:val="both"/>
        <w:rPr>
          <w:rFonts w:cs="Sans Serif Collection"/>
          <w:sz w:val="20"/>
          <w:szCs w:val="20"/>
        </w:rPr>
      </w:pPr>
      <w:r w:rsidRPr="005C5D0F">
        <w:rPr>
          <w:rFonts w:cs="Sans Serif Collection"/>
          <w:b/>
          <w:bCs/>
          <w:sz w:val="20"/>
          <w:szCs w:val="20"/>
        </w:rPr>
        <w:t>Supplementary Fig</w:t>
      </w:r>
      <w:r w:rsidRPr="005C5D0F">
        <w:rPr>
          <w:rFonts w:cs="Calibri"/>
          <w:b/>
          <w:bCs/>
          <w:sz w:val="20"/>
          <w:szCs w:val="20"/>
        </w:rPr>
        <w:t>ure</w:t>
      </w:r>
      <w:r w:rsidRPr="005C5D0F">
        <w:rPr>
          <w:rFonts w:cs="Sans Serif Collection"/>
          <w:b/>
          <w:bCs/>
          <w:sz w:val="20"/>
          <w:szCs w:val="20"/>
        </w:rPr>
        <w:t xml:space="preserve"> 1</w:t>
      </w:r>
      <w:r w:rsidR="00BA0AE1" w:rsidRPr="005C5D0F">
        <w:rPr>
          <w:rFonts w:cs="Sans Serif Collection"/>
          <w:b/>
          <w:bCs/>
          <w:sz w:val="20"/>
          <w:szCs w:val="20"/>
        </w:rPr>
        <w:t xml:space="preserve">: </w:t>
      </w:r>
      <w:r w:rsidRPr="001D16E0">
        <w:rPr>
          <w:rFonts w:cs="Sans Serif Collection"/>
          <w:sz w:val="20"/>
          <w:szCs w:val="20"/>
        </w:rPr>
        <w:t>(a)</w:t>
      </w:r>
      <w:r w:rsidRPr="001D16E0">
        <w:rPr>
          <w:rFonts w:cs="Calibri"/>
          <w:sz w:val="20"/>
          <w:szCs w:val="20"/>
        </w:rPr>
        <w:t xml:space="preserve"> </w:t>
      </w:r>
      <w:r w:rsidRPr="001D16E0">
        <w:rPr>
          <w:rFonts w:cs="Sans Serif Collection"/>
          <w:sz w:val="20"/>
          <w:szCs w:val="20"/>
        </w:rPr>
        <w:t xml:space="preserve">Growth kinetics for comparisons of static monolayer, static aggregates, and dynamic aggregates. (b) </w:t>
      </w:r>
      <w:r w:rsidR="00E857C4" w:rsidRPr="001D16E0">
        <w:rPr>
          <w:rFonts w:cs="Sans Serif Collection"/>
          <w:sz w:val="20"/>
          <w:szCs w:val="20"/>
        </w:rPr>
        <w:t>Growth kinetics under dynamic conditions.</w:t>
      </w:r>
      <w:r w:rsidRPr="001D16E0">
        <w:rPr>
          <w:rFonts w:cs="Sans Serif Collection"/>
          <w:sz w:val="20"/>
          <w:szCs w:val="20"/>
        </w:rPr>
        <w:t xml:space="preserve"> (c)</w:t>
      </w:r>
      <w:r w:rsidR="00E857C4" w:rsidRPr="001D16E0">
        <w:rPr>
          <w:rFonts w:cs="Sans Serif Collection"/>
          <w:sz w:val="20"/>
          <w:szCs w:val="20"/>
        </w:rPr>
        <w:t xml:space="preserve"> </w:t>
      </w:r>
      <w:r w:rsidR="00650794" w:rsidRPr="001D16E0">
        <w:rPr>
          <w:rFonts w:cs="Sans Serif Collection"/>
          <w:sz w:val="20"/>
          <w:szCs w:val="20"/>
        </w:rPr>
        <w:t>Morpholog</w:t>
      </w:r>
      <w:r w:rsidR="00E857C4" w:rsidRPr="001D16E0">
        <w:rPr>
          <w:rFonts w:cs="Sans Serif Collection"/>
          <w:sz w:val="20"/>
          <w:szCs w:val="20"/>
        </w:rPr>
        <w:t xml:space="preserve">ical characterization </w:t>
      </w:r>
      <w:r w:rsidR="00650794" w:rsidRPr="001D16E0">
        <w:rPr>
          <w:rFonts w:cs="Sans Serif Collection"/>
          <w:sz w:val="20"/>
          <w:szCs w:val="20"/>
        </w:rPr>
        <w:t xml:space="preserve">under dynamic culture from days 1 to 4. </w:t>
      </w:r>
      <w:r w:rsidR="00E857C4" w:rsidRPr="001D16E0">
        <w:rPr>
          <w:rFonts w:cs="Sans Serif Collection"/>
          <w:sz w:val="20"/>
          <w:szCs w:val="20"/>
        </w:rPr>
        <w:t>Counts for differentially significant protein abundances are shown for (d) platforms and (e) dynamic cultures by RPM.</w:t>
      </w:r>
    </w:p>
    <w:p w14:paraId="49FB9627" w14:textId="53BC41EA" w:rsidR="004565A6" w:rsidRPr="001D16E0" w:rsidRDefault="004565A6" w:rsidP="004565A6">
      <w:pPr>
        <w:spacing w:after="160" w:line="276" w:lineRule="auto"/>
        <w:rPr>
          <w:rFonts w:cs="Sans Serif Collection"/>
          <w:sz w:val="20"/>
          <w:szCs w:val="20"/>
        </w:rPr>
      </w:pPr>
      <w:r w:rsidRPr="001D16E0">
        <w:rPr>
          <w:rFonts w:cs="Sans Serif Collection"/>
          <w:sz w:val="20"/>
          <w:szCs w:val="20"/>
        </w:rPr>
        <w:br w:type="page"/>
      </w:r>
    </w:p>
    <w:p w14:paraId="319EBD5B" w14:textId="0D532F5E" w:rsidR="00457AFD" w:rsidRPr="001D16E0" w:rsidRDefault="00457AFD" w:rsidP="004565A6">
      <w:pPr>
        <w:spacing w:after="160" w:line="276" w:lineRule="auto"/>
        <w:rPr>
          <w:rFonts w:cs="Sans Serif Collection"/>
          <w:sz w:val="20"/>
          <w:szCs w:val="20"/>
        </w:rPr>
        <w:sectPr w:rsidR="00457AFD" w:rsidRPr="001D16E0" w:rsidSect="009028A4">
          <w:pgSz w:w="12240" w:h="15840"/>
          <w:pgMar w:top="992" w:right="992" w:bottom="992" w:left="992" w:header="708" w:footer="708" w:gutter="0"/>
          <w:cols w:space="708"/>
          <w:docGrid w:linePitch="360"/>
        </w:sectPr>
      </w:pPr>
    </w:p>
    <w:p w14:paraId="1D0A0FA7" w14:textId="5B97DF54" w:rsidR="000C36B4" w:rsidRPr="001D16E0" w:rsidRDefault="00D20C88" w:rsidP="00352164">
      <w:pPr>
        <w:spacing w:line="276" w:lineRule="auto"/>
        <w:jc w:val="center"/>
        <w:rPr>
          <w:rFonts w:cs="Sans Serif Collection"/>
          <w:sz w:val="20"/>
          <w:szCs w:val="20"/>
        </w:rPr>
      </w:pPr>
      <w:r>
        <w:rPr>
          <w:rFonts w:cs="Sans Serif Collection"/>
          <w:noProof/>
          <w:sz w:val="20"/>
          <w:szCs w:val="20"/>
        </w:rPr>
        <w:lastRenderedPageBreak/>
        <w:drawing>
          <wp:inline distT="0" distB="0" distL="0" distR="0" wp14:anchorId="45C19157" wp14:editId="0E4DE9EC">
            <wp:extent cx="6324600" cy="5158740"/>
            <wp:effectExtent l="0" t="0" r="0" b="3810"/>
            <wp:docPr id="17368801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24600" cy="5158740"/>
                    </a:xfrm>
                    <a:prstGeom prst="rect">
                      <a:avLst/>
                    </a:prstGeom>
                    <a:noFill/>
                    <a:ln>
                      <a:noFill/>
                    </a:ln>
                  </pic:spPr>
                </pic:pic>
              </a:graphicData>
            </a:graphic>
          </wp:inline>
        </w:drawing>
      </w:r>
    </w:p>
    <w:p w14:paraId="6B2F14BD" w14:textId="50C0C4E2" w:rsidR="000C36B4" w:rsidRPr="001D16E0" w:rsidRDefault="000C36B4" w:rsidP="000C36B4">
      <w:pPr>
        <w:spacing w:line="276" w:lineRule="auto"/>
        <w:jc w:val="both"/>
        <w:rPr>
          <w:rFonts w:cs="Sans Serif Collection"/>
          <w:sz w:val="20"/>
          <w:szCs w:val="20"/>
        </w:rPr>
      </w:pPr>
      <w:r w:rsidRPr="005C5D0F">
        <w:rPr>
          <w:rFonts w:cs="Sans Serif Collection"/>
          <w:b/>
          <w:bCs/>
          <w:sz w:val="20"/>
          <w:szCs w:val="20"/>
        </w:rPr>
        <w:t>Supplementary Fig</w:t>
      </w:r>
      <w:r w:rsidRPr="005C5D0F">
        <w:rPr>
          <w:rFonts w:cs="Calibri"/>
          <w:b/>
          <w:bCs/>
          <w:sz w:val="20"/>
          <w:szCs w:val="20"/>
        </w:rPr>
        <w:t>ure</w:t>
      </w:r>
      <w:r w:rsidRPr="005C5D0F">
        <w:rPr>
          <w:rFonts w:cs="Sans Serif Collection"/>
          <w:b/>
          <w:bCs/>
          <w:sz w:val="20"/>
          <w:szCs w:val="20"/>
        </w:rPr>
        <w:t xml:space="preserve"> 2:</w:t>
      </w:r>
      <w:r w:rsidRPr="001D16E0">
        <w:rPr>
          <w:rFonts w:cs="Sans Serif Collection"/>
          <w:sz w:val="20"/>
          <w:szCs w:val="20"/>
        </w:rPr>
        <w:t xml:space="preserve"> </w:t>
      </w:r>
      <w:r w:rsidR="00D20C88">
        <w:rPr>
          <w:rFonts w:cs="Sans Serif Collection"/>
          <w:sz w:val="20"/>
          <w:szCs w:val="20"/>
        </w:rPr>
        <w:t>Normalized z scores of metabolic abundances, organized by sample for normoxia and hypoxia at (a) day 2 and (b) day 4, and for 120 RPM and 150 RPM at (c) day 2 and (d) day 4.</w:t>
      </w:r>
    </w:p>
    <w:p w14:paraId="7E830239" w14:textId="77777777" w:rsidR="000C36B4" w:rsidRPr="001D16E0" w:rsidRDefault="000C36B4">
      <w:pPr>
        <w:spacing w:after="160"/>
        <w:rPr>
          <w:rFonts w:cs="Sans Serif Collection"/>
          <w:sz w:val="20"/>
          <w:szCs w:val="20"/>
        </w:rPr>
      </w:pPr>
      <w:r w:rsidRPr="001D16E0">
        <w:rPr>
          <w:rFonts w:cs="Sans Serif Collection"/>
          <w:sz w:val="20"/>
          <w:szCs w:val="20"/>
        </w:rPr>
        <w:br w:type="page"/>
      </w:r>
    </w:p>
    <w:p w14:paraId="47907378" w14:textId="5BAEEFF5" w:rsidR="0028578D" w:rsidRPr="0028578D" w:rsidRDefault="00776210" w:rsidP="00B44514">
      <w:pPr>
        <w:spacing w:line="276" w:lineRule="auto"/>
        <w:rPr>
          <w:rFonts w:cs="Sans Serif Collection"/>
          <w:sz w:val="20"/>
          <w:szCs w:val="20"/>
        </w:rPr>
      </w:pPr>
      <w:r>
        <w:rPr>
          <w:rFonts w:cs="Sans Serif Collection"/>
          <w:noProof/>
          <w:sz w:val="20"/>
          <w:szCs w:val="20"/>
        </w:rPr>
        <w:lastRenderedPageBreak/>
        <w:drawing>
          <wp:inline distT="0" distB="0" distL="0" distR="0" wp14:anchorId="796FA80F" wp14:editId="613868A3">
            <wp:extent cx="6324600" cy="5998210"/>
            <wp:effectExtent l="0" t="0" r="0" b="2540"/>
            <wp:docPr id="9595126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24600" cy="5998210"/>
                    </a:xfrm>
                    <a:prstGeom prst="rect">
                      <a:avLst/>
                    </a:prstGeom>
                    <a:noFill/>
                    <a:ln>
                      <a:noFill/>
                    </a:ln>
                  </pic:spPr>
                </pic:pic>
              </a:graphicData>
            </a:graphic>
          </wp:inline>
        </w:drawing>
      </w:r>
    </w:p>
    <w:p w14:paraId="7FBA0F50" w14:textId="0DB9AC8D" w:rsidR="000B16F9" w:rsidRDefault="0098596B" w:rsidP="007506D3">
      <w:pPr>
        <w:spacing w:line="276" w:lineRule="auto"/>
        <w:jc w:val="both"/>
        <w:rPr>
          <w:sz w:val="20"/>
          <w:szCs w:val="20"/>
        </w:rPr>
      </w:pPr>
      <w:r w:rsidRPr="005C5D0F">
        <w:rPr>
          <w:b/>
          <w:bCs/>
          <w:sz w:val="20"/>
          <w:szCs w:val="20"/>
        </w:rPr>
        <w:t>Supplementary Figure 3</w:t>
      </w:r>
      <w:r w:rsidR="00C5224E" w:rsidRPr="005C5D0F">
        <w:rPr>
          <w:b/>
          <w:bCs/>
          <w:sz w:val="20"/>
          <w:szCs w:val="20"/>
        </w:rPr>
        <w:t>:</w:t>
      </w:r>
      <w:r w:rsidR="00696479" w:rsidRPr="005C5D0F">
        <w:rPr>
          <w:b/>
          <w:bCs/>
          <w:sz w:val="20"/>
          <w:szCs w:val="20"/>
        </w:rPr>
        <w:t xml:space="preserve"> </w:t>
      </w:r>
      <w:r w:rsidR="00A93B38">
        <w:rPr>
          <w:sz w:val="20"/>
          <w:szCs w:val="20"/>
        </w:rPr>
        <w:t>Significant DEGs for curated gene modules for (a) ciliary trafficking, structural remodeling, (b) focal adhesion and force response, (c) mitochondrial organization, respiration, (d) metal ion, energetic adaptation, (e) sterol, cholesterol, and mevalonate metabolism, and (f) epithelial polarity, adhesion, and matrix remodeling.</w:t>
      </w:r>
    </w:p>
    <w:p w14:paraId="75222594" w14:textId="3A08A4AA" w:rsidR="0028578D" w:rsidRDefault="0028578D">
      <w:pPr>
        <w:spacing w:after="160"/>
        <w:rPr>
          <w:sz w:val="20"/>
          <w:szCs w:val="20"/>
        </w:rPr>
      </w:pPr>
      <w:r>
        <w:rPr>
          <w:sz w:val="20"/>
          <w:szCs w:val="20"/>
        </w:rPr>
        <w:br w:type="page"/>
      </w:r>
    </w:p>
    <w:p w14:paraId="4FE41F51" w14:textId="55B7944A" w:rsidR="00A1761C" w:rsidRDefault="00686655" w:rsidP="00A1761C">
      <w:pPr>
        <w:spacing w:line="276" w:lineRule="auto"/>
        <w:jc w:val="center"/>
        <w:rPr>
          <w:sz w:val="20"/>
          <w:szCs w:val="20"/>
        </w:rPr>
      </w:pPr>
      <w:r>
        <w:rPr>
          <w:noProof/>
          <w:sz w:val="20"/>
          <w:szCs w:val="20"/>
        </w:rPr>
        <w:lastRenderedPageBreak/>
        <w:drawing>
          <wp:inline distT="0" distB="0" distL="0" distR="0" wp14:anchorId="0D2535BE" wp14:editId="7EC0BFE2">
            <wp:extent cx="6505575" cy="6210300"/>
            <wp:effectExtent l="0" t="0" r="9525" b="0"/>
            <wp:docPr id="610949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05575" cy="6210300"/>
                    </a:xfrm>
                    <a:prstGeom prst="rect">
                      <a:avLst/>
                    </a:prstGeom>
                    <a:noFill/>
                    <a:ln>
                      <a:noFill/>
                    </a:ln>
                  </pic:spPr>
                </pic:pic>
              </a:graphicData>
            </a:graphic>
          </wp:inline>
        </w:drawing>
      </w:r>
    </w:p>
    <w:p w14:paraId="7E82245E" w14:textId="06A4E3DE" w:rsidR="009B16C5" w:rsidRPr="005C5D0F" w:rsidRDefault="009B16C5" w:rsidP="009B16C5">
      <w:pPr>
        <w:spacing w:line="276" w:lineRule="auto"/>
        <w:jc w:val="both"/>
        <w:rPr>
          <w:b/>
          <w:bCs/>
          <w:sz w:val="20"/>
          <w:szCs w:val="20"/>
        </w:rPr>
      </w:pPr>
      <w:r w:rsidRPr="005C5D0F">
        <w:rPr>
          <w:b/>
          <w:bCs/>
          <w:sz w:val="20"/>
          <w:szCs w:val="20"/>
        </w:rPr>
        <w:t xml:space="preserve">Supplementary Figure </w:t>
      </w:r>
      <w:r w:rsidR="00B51020" w:rsidRPr="005C5D0F">
        <w:rPr>
          <w:b/>
          <w:bCs/>
          <w:sz w:val="20"/>
          <w:szCs w:val="20"/>
        </w:rPr>
        <w:t>4</w:t>
      </w:r>
      <w:r w:rsidRPr="005C5D0F">
        <w:rPr>
          <w:b/>
          <w:bCs/>
          <w:sz w:val="20"/>
          <w:szCs w:val="20"/>
        </w:rPr>
        <w:t xml:space="preserve">: </w:t>
      </w:r>
      <w:r w:rsidR="003420A1">
        <w:rPr>
          <w:sz w:val="20"/>
          <w:szCs w:val="20"/>
        </w:rPr>
        <w:t xml:space="preserve">(a) </w:t>
      </w:r>
      <w:r w:rsidR="003420A1">
        <w:rPr>
          <w:sz w:val="20"/>
          <w:szCs w:val="20"/>
        </w:rPr>
        <w:t xml:space="preserve">Convergence with epiblast for </w:t>
      </w:r>
      <w:r w:rsidR="003420A1">
        <w:rPr>
          <w:sz w:val="20"/>
          <w:szCs w:val="20"/>
        </w:rPr>
        <w:t xml:space="preserve">dynamic vs. initial state </w:t>
      </w:r>
      <w:r w:rsidR="003420A1">
        <w:rPr>
          <w:sz w:val="20"/>
          <w:szCs w:val="20"/>
        </w:rPr>
        <w:t>against non-pluripotent lineages.</w:t>
      </w:r>
      <w:r w:rsidR="003420A1">
        <w:rPr>
          <w:sz w:val="20"/>
          <w:szCs w:val="20"/>
        </w:rPr>
        <w:t xml:space="preserve"> </w:t>
      </w:r>
      <w:r w:rsidR="00C9343A">
        <w:rPr>
          <w:sz w:val="20"/>
          <w:szCs w:val="20"/>
        </w:rPr>
        <w:t xml:space="preserve">Significant </w:t>
      </w:r>
      <w:r w:rsidR="00195BBE">
        <w:rPr>
          <w:sz w:val="20"/>
          <w:szCs w:val="20"/>
        </w:rPr>
        <w:t>convergent</w:t>
      </w:r>
      <w:r w:rsidR="003420A1">
        <w:rPr>
          <w:sz w:val="20"/>
          <w:szCs w:val="20"/>
        </w:rPr>
        <w:t xml:space="preserve"> and divergent</w:t>
      </w:r>
      <w:r w:rsidR="00195BBE">
        <w:rPr>
          <w:sz w:val="20"/>
          <w:szCs w:val="20"/>
        </w:rPr>
        <w:t xml:space="preserve"> </w:t>
      </w:r>
      <w:r w:rsidR="00C9343A">
        <w:rPr>
          <w:sz w:val="20"/>
          <w:szCs w:val="20"/>
        </w:rPr>
        <w:t>DEGs</w:t>
      </w:r>
      <w:r w:rsidR="00195BBE">
        <w:rPr>
          <w:sz w:val="20"/>
          <w:szCs w:val="20"/>
        </w:rPr>
        <w:t xml:space="preserve"> under dynamic vs. initial state</w:t>
      </w:r>
      <w:r w:rsidR="00C9343A">
        <w:rPr>
          <w:sz w:val="20"/>
          <w:szCs w:val="20"/>
        </w:rPr>
        <w:t xml:space="preserve"> for curated gene modules for (</w:t>
      </w:r>
      <w:r w:rsidR="00195BBE">
        <w:rPr>
          <w:sz w:val="20"/>
          <w:szCs w:val="20"/>
        </w:rPr>
        <w:t>b</w:t>
      </w:r>
      <w:r w:rsidR="00C9343A">
        <w:rPr>
          <w:sz w:val="20"/>
          <w:szCs w:val="20"/>
        </w:rPr>
        <w:t>)</w:t>
      </w:r>
      <w:r w:rsidR="00195BBE">
        <w:rPr>
          <w:sz w:val="20"/>
          <w:szCs w:val="20"/>
        </w:rPr>
        <w:t xml:space="preserve"> RNA processing and translation, (c) mitochondrial organization, respiration, (d) metal ion, energetic adaptation, (e) sterol, lipid anabolic suppression, (f)</w:t>
      </w:r>
      <w:r w:rsidR="00C9343A">
        <w:rPr>
          <w:sz w:val="20"/>
          <w:szCs w:val="20"/>
        </w:rPr>
        <w:t xml:space="preserve"> </w:t>
      </w:r>
      <w:r w:rsidR="00195BBE">
        <w:rPr>
          <w:sz w:val="20"/>
          <w:szCs w:val="20"/>
        </w:rPr>
        <w:t xml:space="preserve">epithelial polarity, adhesion, and matrix remodeling, and (g) </w:t>
      </w:r>
      <w:r w:rsidR="00C9343A">
        <w:rPr>
          <w:sz w:val="20"/>
          <w:szCs w:val="20"/>
        </w:rPr>
        <w:t>focal adhesion and force response</w:t>
      </w:r>
      <w:r w:rsidR="00195BBE">
        <w:rPr>
          <w:sz w:val="20"/>
          <w:szCs w:val="20"/>
        </w:rPr>
        <w:t>.</w:t>
      </w:r>
      <w:r w:rsidR="00C9343A">
        <w:rPr>
          <w:sz w:val="20"/>
          <w:szCs w:val="20"/>
        </w:rPr>
        <w:t xml:space="preserve"> </w:t>
      </w:r>
      <w:r w:rsidR="00195BBE">
        <w:rPr>
          <w:sz w:val="20"/>
          <w:szCs w:val="20"/>
        </w:rPr>
        <w:t>(h) Convergence with epiblast for 150 RPM vs. 120 RPM against non-pluripotent lineages. (i) DEGs identified to fall within those differentially expressed in early gastrulation.</w:t>
      </w:r>
    </w:p>
    <w:p w14:paraId="3AFD131B" w14:textId="5F56F88E" w:rsidR="00946169" w:rsidRPr="00EC1373" w:rsidRDefault="009B16C5" w:rsidP="005C5D0F">
      <w:pPr>
        <w:spacing w:after="160"/>
        <w:rPr>
          <w:sz w:val="20"/>
          <w:szCs w:val="20"/>
        </w:rPr>
      </w:pPr>
      <w:r>
        <w:rPr>
          <w:sz w:val="20"/>
          <w:szCs w:val="20"/>
        </w:rPr>
        <w:br w:type="page"/>
      </w:r>
    </w:p>
    <w:sectPr w:rsidR="00946169" w:rsidRPr="00EC1373" w:rsidSect="00946169">
      <w:type w:val="continuous"/>
      <w:pgSz w:w="12240" w:h="15840"/>
      <w:pgMar w:top="992" w:right="992" w:bottom="992"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ans Serif Collection">
    <w:panose1 w:val="020B0502040504020204"/>
    <w:charset w:val="00"/>
    <w:family w:val="swiss"/>
    <w:pitch w:val="variable"/>
    <w:sig w:usb0="8007A0C3" w:usb1="02006040" w:usb2="29100001"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60F"/>
    <w:rsid w:val="00001797"/>
    <w:rsid w:val="0006237B"/>
    <w:rsid w:val="000942DB"/>
    <w:rsid w:val="00095C13"/>
    <w:rsid w:val="000A21F7"/>
    <w:rsid w:val="000A2232"/>
    <w:rsid w:val="000B16F9"/>
    <w:rsid w:val="000C36B4"/>
    <w:rsid w:val="000C4809"/>
    <w:rsid w:val="001219B3"/>
    <w:rsid w:val="001321F9"/>
    <w:rsid w:val="00144AE7"/>
    <w:rsid w:val="00181889"/>
    <w:rsid w:val="001843CC"/>
    <w:rsid w:val="00186947"/>
    <w:rsid w:val="001901E3"/>
    <w:rsid w:val="00195BBE"/>
    <w:rsid w:val="001B39F4"/>
    <w:rsid w:val="001D16E0"/>
    <w:rsid w:val="00210FCB"/>
    <w:rsid w:val="0028578D"/>
    <w:rsid w:val="002B6284"/>
    <w:rsid w:val="002C6379"/>
    <w:rsid w:val="002F11AB"/>
    <w:rsid w:val="0030520C"/>
    <w:rsid w:val="00336A91"/>
    <w:rsid w:val="003420A1"/>
    <w:rsid w:val="00352164"/>
    <w:rsid w:val="00397421"/>
    <w:rsid w:val="003B690B"/>
    <w:rsid w:val="004027E5"/>
    <w:rsid w:val="00420641"/>
    <w:rsid w:val="0042654A"/>
    <w:rsid w:val="00445433"/>
    <w:rsid w:val="004565A6"/>
    <w:rsid w:val="00457AFD"/>
    <w:rsid w:val="00457D73"/>
    <w:rsid w:val="004600BA"/>
    <w:rsid w:val="0046739C"/>
    <w:rsid w:val="00475978"/>
    <w:rsid w:val="00493650"/>
    <w:rsid w:val="004B65F7"/>
    <w:rsid w:val="004C1399"/>
    <w:rsid w:val="004C59C1"/>
    <w:rsid w:val="00530258"/>
    <w:rsid w:val="005317FB"/>
    <w:rsid w:val="005625FC"/>
    <w:rsid w:val="00571A00"/>
    <w:rsid w:val="00582E98"/>
    <w:rsid w:val="0059349F"/>
    <w:rsid w:val="005A0382"/>
    <w:rsid w:val="005C5D0F"/>
    <w:rsid w:val="005D4BB6"/>
    <w:rsid w:val="005E5AC9"/>
    <w:rsid w:val="005E61E9"/>
    <w:rsid w:val="006103D5"/>
    <w:rsid w:val="006131B4"/>
    <w:rsid w:val="00634033"/>
    <w:rsid w:val="00650794"/>
    <w:rsid w:val="00650DAD"/>
    <w:rsid w:val="0065543E"/>
    <w:rsid w:val="00680228"/>
    <w:rsid w:val="00686655"/>
    <w:rsid w:val="00696479"/>
    <w:rsid w:val="006A324C"/>
    <w:rsid w:val="006B4346"/>
    <w:rsid w:val="006C3529"/>
    <w:rsid w:val="00737D0C"/>
    <w:rsid w:val="007506D3"/>
    <w:rsid w:val="007509FD"/>
    <w:rsid w:val="00751819"/>
    <w:rsid w:val="00755AE5"/>
    <w:rsid w:val="0076597F"/>
    <w:rsid w:val="00776210"/>
    <w:rsid w:val="00787279"/>
    <w:rsid w:val="007E4AC8"/>
    <w:rsid w:val="008A6F2A"/>
    <w:rsid w:val="008B0A7C"/>
    <w:rsid w:val="008C6C05"/>
    <w:rsid w:val="009028A4"/>
    <w:rsid w:val="0090660F"/>
    <w:rsid w:val="009131D8"/>
    <w:rsid w:val="0094576E"/>
    <w:rsid w:val="00946169"/>
    <w:rsid w:val="00957E9A"/>
    <w:rsid w:val="00973D7E"/>
    <w:rsid w:val="00982B9B"/>
    <w:rsid w:val="0098596B"/>
    <w:rsid w:val="009A288C"/>
    <w:rsid w:val="009A3F52"/>
    <w:rsid w:val="009B16C5"/>
    <w:rsid w:val="009C5AA7"/>
    <w:rsid w:val="009E6827"/>
    <w:rsid w:val="00A1761C"/>
    <w:rsid w:val="00A270A3"/>
    <w:rsid w:val="00A517E3"/>
    <w:rsid w:val="00A93B38"/>
    <w:rsid w:val="00A9749D"/>
    <w:rsid w:val="00A97C37"/>
    <w:rsid w:val="00AD7371"/>
    <w:rsid w:val="00AE4EFE"/>
    <w:rsid w:val="00B33133"/>
    <w:rsid w:val="00B44514"/>
    <w:rsid w:val="00B51020"/>
    <w:rsid w:val="00B51539"/>
    <w:rsid w:val="00B67F02"/>
    <w:rsid w:val="00BA0AE1"/>
    <w:rsid w:val="00C23E74"/>
    <w:rsid w:val="00C5224E"/>
    <w:rsid w:val="00C9343A"/>
    <w:rsid w:val="00CD1655"/>
    <w:rsid w:val="00D05D00"/>
    <w:rsid w:val="00D20C88"/>
    <w:rsid w:val="00D376E6"/>
    <w:rsid w:val="00D61BF6"/>
    <w:rsid w:val="00D624CB"/>
    <w:rsid w:val="00D65F62"/>
    <w:rsid w:val="00D83F1E"/>
    <w:rsid w:val="00DA17AD"/>
    <w:rsid w:val="00DC1FE8"/>
    <w:rsid w:val="00DD7AE5"/>
    <w:rsid w:val="00DE258E"/>
    <w:rsid w:val="00DE43EA"/>
    <w:rsid w:val="00DF6CD9"/>
    <w:rsid w:val="00E21A23"/>
    <w:rsid w:val="00E22EDE"/>
    <w:rsid w:val="00E560EB"/>
    <w:rsid w:val="00E61970"/>
    <w:rsid w:val="00E623C4"/>
    <w:rsid w:val="00E857C4"/>
    <w:rsid w:val="00E863AC"/>
    <w:rsid w:val="00E90788"/>
    <w:rsid w:val="00E94BBF"/>
    <w:rsid w:val="00EC1373"/>
    <w:rsid w:val="00ED26C1"/>
    <w:rsid w:val="00F13755"/>
    <w:rsid w:val="00F62D3B"/>
    <w:rsid w:val="00FB3392"/>
    <w:rsid w:val="00FB79BF"/>
    <w:rsid w:val="00FC26A1"/>
    <w:rsid w:val="00FF0AF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7D754"/>
  <w15:chartTrackingRefBased/>
  <w15:docId w15:val="{3D2B8669-415F-45EA-9691-7BEEFF16A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AFD"/>
    <w:pPr>
      <w:spacing w:after="0"/>
    </w:pPr>
  </w:style>
  <w:style w:type="paragraph" w:styleId="Heading1">
    <w:name w:val="heading 1"/>
    <w:basedOn w:val="Normal"/>
    <w:next w:val="Normal"/>
    <w:link w:val="Heading1Char"/>
    <w:uiPriority w:val="9"/>
    <w:qFormat/>
    <w:rsid w:val="009066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66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66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66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66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66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66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66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66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6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66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66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66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66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66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66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66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660F"/>
    <w:rPr>
      <w:rFonts w:eastAsiaTheme="majorEastAsia" w:cstheme="majorBidi"/>
      <w:color w:val="272727" w:themeColor="text1" w:themeTint="D8"/>
    </w:rPr>
  </w:style>
  <w:style w:type="paragraph" w:styleId="Title">
    <w:name w:val="Title"/>
    <w:basedOn w:val="Normal"/>
    <w:next w:val="Normal"/>
    <w:link w:val="TitleChar"/>
    <w:uiPriority w:val="10"/>
    <w:qFormat/>
    <w:rsid w:val="009066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66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66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66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660F"/>
    <w:pPr>
      <w:spacing w:before="160"/>
      <w:jc w:val="center"/>
    </w:pPr>
    <w:rPr>
      <w:i/>
      <w:iCs/>
      <w:color w:val="404040" w:themeColor="text1" w:themeTint="BF"/>
    </w:rPr>
  </w:style>
  <w:style w:type="character" w:customStyle="1" w:styleId="QuoteChar">
    <w:name w:val="Quote Char"/>
    <w:basedOn w:val="DefaultParagraphFont"/>
    <w:link w:val="Quote"/>
    <w:uiPriority w:val="29"/>
    <w:rsid w:val="0090660F"/>
    <w:rPr>
      <w:i/>
      <w:iCs/>
      <w:color w:val="404040" w:themeColor="text1" w:themeTint="BF"/>
    </w:rPr>
  </w:style>
  <w:style w:type="paragraph" w:styleId="ListParagraph">
    <w:name w:val="List Paragraph"/>
    <w:basedOn w:val="Normal"/>
    <w:uiPriority w:val="34"/>
    <w:qFormat/>
    <w:rsid w:val="0090660F"/>
    <w:pPr>
      <w:ind w:left="720"/>
      <w:contextualSpacing/>
    </w:pPr>
  </w:style>
  <w:style w:type="character" w:styleId="IntenseEmphasis">
    <w:name w:val="Intense Emphasis"/>
    <w:basedOn w:val="DefaultParagraphFont"/>
    <w:uiPriority w:val="21"/>
    <w:qFormat/>
    <w:rsid w:val="0090660F"/>
    <w:rPr>
      <w:i/>
      <w:iCs/>
      <w:color w:val="0F4761" w:themeColor="accent1" w:themeShade="BF"/>
    </w:rPr>
  </w:style>
  <w:style w:type="paragraph" w:styleId="IntenseQuote">
    <w:name w:val="Intense Quote"/>
    <w:basedOn w:val="Normal"/>
    <w:next w:val="Normal"/>
    <w:link w:val="IntenseQuoteChar"/>
    <w:uiPriority w:val="30"/>
    <w:qFormat/>
    <w:rsid w:val="009066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660F"/>
    <w:rPr>
      <w:i/>
      <w:iCs/>
      <w:color w:val="0F4761" w:themeColor="accent1" w:themeShade="BF"/>
    </w:rPr>
  </w:style>
  <w:style w:type="character" w:styleId="IntenseReference">
    <w:name w:val="Intense Reference"/>
    <w:basedOn w:val="DefaultParagraphFont"/>
    <w:uiPriority w:val="32"/>
    <w:qFormat/>
    <w:rsid w:val="009066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466</TotalTime>
  <Pages>4</Pages>
  <Words>207</Words>
  <Characters>1381</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Colter</dc:creator>
  <cp:keywords/>
  <dc:description/>
  <cp:lastModifiedBy>James Colter</cp:lastModifiedBy>
  <cp:revision>84</cp:revision>
  <dcterms:created xsi:type="dcterms:W3CDTF">2026-09-19T20:23:00Z</dcterms:created>
  <dcterms:modified xsi:type="dcterms:W3CDTF">2026-10-04T15:51:00Z</dcterms:modified>
</cp:coreProperties>
</file>