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18BBD" w14:textId="71098569" w:rsidR="00445433" w:rsidRDefault="00650794" w:rsidP="004C1399">
      <w:pPr>
        <w:spacing w:line="360" w:lineRule="auto"/>
        <w:ind w:right="333"/>
        <w:jc w:val="center"/>
        <w:rPr>
          <w:rFonts w:ascii="Calibri" w:hAnsi="Calibri" w:cs="Calibri"/>
          <w:sz w:val="14"/>
          <w:szCs w:val="14"/>
        </w:rPr>
      </w:pPr>
      <w:r>
        <w:rPr>
          <w:noProof/>
        </w:rPr>
        <w:drawing>
          <wp:inline distT="0" distB="0" distL="0" distR="0" wp14:anchorId="4834FD62" wp14:editId="0350584E">
            <wp:extent cx="5695950" cy="7490930"/>
            <wp:effectExtent l="0" t="0" r="0" b="0"/>
            <wp:docPr id="13858447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00" cy="7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BF66" w14:textId="6AD7EAE4" w:rsidR="00FC26A1" w:rsidRDefault="00445433" w:rsidP="00445433">
      <w:pPr>
        <w:spacing w:line="360" w:lineRule="auto"/>
        <w:jc w:val="both"/>
        <w:rPr>
          <w:rFonts w:cs="Sans Serif Collection"/>
        </w:rPr>
      </w:pPr>
      <w:r w:rsidRPr="00BA0AE1">
        <w:rPr>
          <w:rFonts w:cs="Sans Serif Collection"/>
          <w:b/>
          <w:bCs/>
        </w:rPr>
        <w:t>Supplementary Fig</w:t>
      </w:r>
      <w:r w:rsidRPr="00BA0AE1">
        <w:rPr>
          <w:rFonts w:cs="Calibri"/>
          <w:b/>
          <w:bCs/>
        </w:rPr>
        <w:t>ure</w:t>
      </w:r>
      <w:r w:rsidRPr="00BA0AE1">
        <w:rPr>
          <w:rFonts w:cs="Sans Serif Collection"/>
          <w:b/>
          <w:bCs/>
        </w:rPr>
        <w:t xml:space="preserve"> 1</w:t>
      </w:r>
      <w:r w:rsidR="00BA0AE1" w:rsidRPr="00BA0AE1">
        <w:rPr>
          <w:rFonts w:cs="Sans Serif Collection"/>
          <w:b/>
          <w:bCs/>
        </w:rPr>
        <w:t xml:space="preserve">: </w:t>
      </w:r>
      <w:r>
        <w:rPr>
          <w:rFonts w:cs="Sans Serif Collection"/>
        </w:rPr>
        <w:t>Growth kinetics and extended proteomics data. (a)</w:t>
      </w:r>
      <w:r w:rsidRPr="009028A4">
        <w:rPr>
          <w:rFonts w:cs="Calibri"/>
        </w:rPr>
        <w:t xml:space="preserve"> </w:t>
      </w:r>
      <w:r>
        <w:rPr>
          <w:rFonts w:cs="Sans Serif Collection"/>
        </w:rPr>
        <w:t xml:space="preserve">Growth kinetics for comparisons of static monolayer, static aggregates, and dynamic aggregates. (b) Metascape highlighted terms comparing dynamic aggregates with static monolayer. (c) Growth kinetics for dynamic cultures. (d) </w:t>
      </w:r>
      <w:r w:rsidR="00650794">
        <w:rPr>
          <w:rFonts w:cs="Sans Serif Collection"/>
        </w:rPr>
        <w:t xml:space="preserve"> Morphology under dynamic culture from days 1 to 4. </w:t>
      </w:r>
      <w:r w:rsidR="00457D73">
        <w:rPr>
          <w:rFonts w:cs="Sans Serif Collection"/>
        </w:rPr>
        <w:t xml:space="preserve">(e) </w:t>
      </w:r>
      <w:r w:rsidR="007509FD">
        <w:rPr>
          <w:rFonts w:cs="Sans Serif Collection"/>
        </w:rPr>
        <w:t>Metascape analysis showing s</w:t>
      </w:r>
      <w:r w:rsidR="00457D73">
        <w:rPr>
          <w:rFonts w:cs="Sans Serif Collection"/>
        </w:rPr>
        <w:t xml:space="preserve">ignificant terms </w:t>
      </w:r>
      <w:r w:rsidR="00650794">
        <w:rPr>
          <w:rFonts w:cs="Sans Serif Collection"/>
        </w:rPr>
        <w:t>above and below range relative to within range.</w:t>
      </w:r>
    </w:p>
    <w:p w14:paraId="7E901DC7" w14:textId="178D4105" w:rsidR="00457AFD" w:rsidRDefault="00946169" w:rsidP="00FC26A1">
      <w:pPr>
        <w:spacing w:line="360" w:lineRule="auto"/>
        <w:ind w:right="333"/>
        <w:jc w:val="center"/>
        <w:rPr>
          <w:rFonts w:ascii="Calibri" w:hAnsi="Calibri" w:cs="Calibri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623D94FE" wp14:editId="365F5BC5">
            <wp:extent cx="6547281" cy="6705600"/>
            <wp:effectExtent l="0" t="0" r="6350" b="0"/>
            <wp:docPr id="350657415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57415" name="Picture 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2" cy="67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4EBA" w14:textId="218954B6" w:rsidR="00457AFD" w:rsidRPr="00457AFD" w:rsidRDefault="00457AFD" w:rsidP="00946169">
      <w:pPr>
        <w:spacing w:line="360" w:lineRule="auto"/>
        <w:jc w:val="center"/>
        <w:rPr>
          <w:rFonts w:ascii="Calibri" w:hAnsi="Calibri" w:cs="Calibri"/>
          <w:sz w:val="14"/>
          <w:szCs w:val="14"/>
        </w:rPr>
        <w:sectPr w:rsidR="00457AFD" w:rsidRPr="00457AFD" w:rsidSect="009028A4">
          <w:pgSz w:w="12240" w:h="15840"/>
          <w:pgMar w:top="992" w:right="992" w:bottom="992" w:left="992" w:header="708" w:footer="708" w:gutter="0"/>
          <w:cols w:space="708"/>
          <w:docGrid w:linePitch="360"/>
        </w:sectPr>
      </w:pPr>
    </w:p>
    <w:p w14:paraId="71B03D56" w14:textId="6B89064A" w:rsidR="00946169" w:rsidRPr="00445433" w:rsidRDefault="00D05D00" w:rsidP="00445433">
      <w:pPr>
        <w:spacing w:line="360" w:lineRule="auto"/>
        <w:jc w:val="both"/>
        <w:rPr>
          <w:rFonts w:cs="Sans Serif Collection"/>
        </w:rPr>
      </w:pPr>
      <w:r w:rsidRPr="005E61E9">
        <w:rPr>
          <w:rFonts w:cs="Sans Serif Collection"/>
          <w:b/>
          <w:bCs/>
        </w:rPr>
        <w:t>Supplementary</w:t>
      </w:r>
      <w:r w:rsidR="00457AFD" w:rsidRPr="005E61E9">
        <w:rPr>
          <w:rFonts w:cs="Sans Serif Collection"/>
          <w:b/>
          <w:bCs/>
        </w:rPr>
        <w:t xml:space="preserve"> Fig</w:t>
      </w:r>
      <w:r w:rsidR="00457AFD" w:rsidRPr="005E61E9">
        <w:rPr>
          <w:rFonts w:cs="Calibri"/>
          <w:b/>
          <w:bCs/>
        </w:rPr>
        <w:t>ure</w:t>
      </w:r>
      <w:r w:rsidR="00457AFD" w:rsidRPr="005E61E9">
        <w:rPr>
          <w:rFonts w:cs="Sans Serif Collection"/>
          <w:b/>
          <w:bCs/>
        </w:rPr>
        <w:t xml:space="preserve"> </w:t>
      </w:r>
      <w:r w:rsidRPr="005E61E9">
        <w:rPr>
          <w:rFonts w:cs="Sans Serif Collection"/>
          <w:b/>
          <w:bCs/>
        </w:rPr>
        <w:t>2</w:t>
      </w:r>
      <w:r w:rsidR="00BA0AE1">
        <w:rPr>
          <w:rFonts w:cs="Sans Serif Collection"/>
          <w:b/>
          <w:bCs/>
        </w:rPr>
        <w:t>:</w:t>
      </w:r>
      <w:r w:rsidR="00457AFD" w:rsidRPr="005E61E9">
        <w:rPr>
          <w:rFonts w:cs="Calibri"/>
          <w:b/>
          <w:bCs/>
        </w:rPr>
        <w:t xml:space="preserve"> </w:t>
      </w:r>
      <w:r w:rsidR="00457AFD" w:rsidRPr="009028A4">
        <w:rPr>
          <w:rFonts w:cs="Sans Serif Collection"/>
        </w:rPr>
        <w:t>Metabolic analysis coupling both intra- and extracellular metabolites meeting differential threshol</w:t>
      </w:r>
      <w:r w:rsidR="00457AFD" w:rsidRPr="009028A4">
        <w:rPr>
          <w:rFonts w:cs="Calibri"/>
        </w:rPr>
        <w:t>ds</w:t>
      </w:r>
      <w:r w:rsidR="00457AFD" w:rsidRPr="009028A4">
        <w:rPr>
          <w:rFonts w:cs="Sans Serif Collection"/>
        </w:rPr>
        <w:t>.</w:t>
      </w:r>
    </w:p>
    <w:p w14:paraId="36E2DD25" w14:textId="67421F87" w:rsidR="00946169" w:rsidRDefault="00946169" w:rsidP="00946169">
      <w:pPr>
        <w:spacing w:line="360" w:lineRule="auto"/>
        <w:jc w:val="center"/>
        <w:rPr>
          <w:rFonts w:ascii="Sans Serif Collection" w:hAnsi="Sans Serif Collection" w:cs="Sans Serif Collection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40DC344F" wp14:editId="41C9B50B">
            <wp:extent cx="6512560" cy="4030980"/>
            <wp:effectExtent l="0" t="0" r="2540" b="7620"/>
            <wp:docPr id="434018268" name="Picture 2" descr="A group of colorful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18268" name="Picture 2" descr="A group of colorful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B014" w14:textId="77777777" w:rsidR="00946169" w:rsidRDefault="00946169" w:rsidP="00946169">
      <w:pPr>
        <w:spacing w:line="360" w:lineRule="auto"/>
        <w:jc w:val="center"/>
        <w:rPr>
          <w:rFonts w:ascii="Calibri" w:hAnsi="Calibri" w:cs="Calibri"/>
          <w:sz w:val="14"/>
          <w:szCs w:val="14"/>
        </w:rPr>
      </w:pPr>
    </w:p>
    <w:p w14:paraId="2451CEBA" w14:textId="77777777" w:rsidR="00946169" w:rsidRPr="00DE5BF6" w:rsidRDefault="00946169" w:rsidP="00946169">
      <w:pPr>
        <w:spacing w:line="360" w:lineRule="auto"/>
        <w:jc w:val="both"/>
        <w:rPr>
          <w:rFonts w:cs="Calibri"/>
        </w:rPr>
        <w:sectPr w:rsidR="00946169" w:rsidRPr="00DE5BF6" w:rsidSect="00946169">
          <w:type w:val="continuous"/>
          <w:pgSz w:w="12240" w:h="15840"/>
          <w:pgMar w:top="992" w:right="992" w:bottom="992" w:left="992" w:header="708" w:footer="708" w:gutter="0"/>
          <w:cols w:space="708"/>
          <w:docGrid w:linePitch="360"/>
        </w:sectPr>
      </w:pPr>
    </w:p>
    <w:p w14:paraId="717478C7" w14:textId="59438709" w:rsidR="00946169" w:rsidRDefault="00D05D00" w:rsidP="00946169">
      <w:pPr>
        <w:spacing w:line="360" w:lineRule="auto"/>
        <w:jc w:val="both"/>
        <w:rPr>
          <w:rFonts w:cs="Sans Serif Collection"/>
        </w:rPr>
      </w:pPr>
      <w:r w:rsidRPr="005D4BB6">
        <w:rPr>
          <w:rFonts w:cs="Sans Serif Collection"/>
          <w:b/>
          <w:bCs/>
        </w:rPr>
        <w:t>Supplementary Fig</w:t>
      </w:r>
      <w:r w:rsidRPr="005D4BB6">
        <w:rPr>
          <w:rFonts w:cs="Calibri"/>
          <w:b/>
          <w:bCs/>
        </w:rPr>
        <w:t>ure</w:t>
      </w:r>
      <w:r w:rsidRPr="005D4BB6">
        <w:rPr>
          <w:rFonts w:cs="Sans Serif Collection"/>
          <w:b/>
          <w:bCs/>
        </w:rPr>
        <w:t xml:space="preserve"> 3</w:t>
      </w:r>
      <w:r w:rsidR="00BA0AE1">
        <w:rPr>
          <w:rFonts w:cs="Sans Serif Collection"/>
          <w:b/>
          <w:bCs/>
        </w:rPr>
        <w:t>:</w:t>
      </w:r>
      <w:r w:rsidR="00946169" w:rsidRPr="00DE5BF6">
        <w:rPr>
          <w:rFonts w:cs="Sans Serif Collection"/>
        </w:rPr>
        <w:t xml:space="preserve"> Classification of preimplantation and early gastrulating embryo reference datasets. (a) Temporally color-mapped single cell data from Petropoulos et al., 2016. (b) Observation of clusters isolated by overlaying </w:t>
      </w:r>
      <w:r w:rsidR="005D4BB6">
        <w:rPr>
          <w:rFonts w:cs="Sans Serif Collection"/>
        </w:rPr>
        <w:t xml:space="preserve">the </w:t>
      </w:r>
      <w:r w:rsidR="00946169" w:rsidRPr="00DE5BF6">
        <w:rPr>
          <w:rFonts w:cs="Sans Serif Collection"/>
        </w:rPr>
        <w:t>relative strength of expression across selected markers for trophectoderm, hypoblast, and epiblast. (c) K</w:t>
      </w:r>
      <w:r w:rsidR="006B4346">
        <w:rPr>
          <w:rFonts w:cs="Sans Serif Collection"/>
        </w:rPr>
        <w:t>-</w:t>
      </w:r>
      <w:r w:rsidR="00946169" w:rsidRPr="00DE5BF6">
        <w:rPr>
          <w:rFonts w:cs="Sans Serif Collection"/>
        </w:rPr>
        <w:t>means clustering and classification of groups by cell type in the Petropoulos et al. dataset. (d) Classification of early gastrulating cell types in Tyser et al., 2021.</w:t>
      </w:r>
    </w:p>
    <w:p w14:paraId="09F5A51A" w14:textId="2FCB9D8E" w:rsidR="00946169" w:rsidRDefault="00946169">
      <w:pPr>
        <w:spacing w:after="160"/>
        <w:rPr>
          <w:rFonts w:cs="Sans Serif Collection"/>
        </w:rPr>
      </w:pPr>
      <w:r>
        <w:rPr>
          <w:rFonts w:cs="Sans Serif Collection"/>
        </w:rPr>
        <w:br w:type="page"/>
      </w:r>
    </w:p>
    <w:p w14:paraId="4178ADDA" w14:textId="657E564F" w:rsidR="00946169" w:rsidRDefault="00946169" w:rsidP="00946169">
      <w:pPr>
        <w:spacing w:line="360" w:lineRule="auto"/>
        <w:jc w:val="center"/>
        <w:rPr>
          <w:rFonts w:ascii="Sans Serif Collection" w:hAnsi="Sans Serif Collection" w:cs="Sans Serif Collection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26039ECE" wp14:editId="62D934C1">
            <wp:extent cx="6512560" cy="5922010"/>
            <wp:effectExtent l="0" t="0" r="2540" b="2540"/>
            <wp:docPr id="1733520678" name="Picture 3" descr="A collage of diagrams and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20678" name="Picture 3" descr="A collage of diagrams and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5E09" w14:textId="77777777" w:rsidR="00946169" w:rsidRDefault="00946169" w:rsidP="00946169">
      <w:pPr>
        <w:spacing w:line="360" w:lineRule="auto"/>
        <w:jc w:val="center"/>
        <w:rPr>
          <w:rFonts w:ascii="Calibri" w:hAnsi="Calibri" w:cs="Calibri"/>
          <w:sz w:val="14"/>
          <w:szCs w:val="14"/>
        </w:rPr>
      </w:pPr>
    </w:p>
    <w:p w14:paraId="4ECE50F1" w14:textId="77777777" w:rsidR="00946169" w:rsidRPr="00DE5BF6" w:rsidRDefault="00946169" w:rsidP="00946169">
      <w:pPr>
        <w:spacing w:line="360" w:lineRule="auto"/>
        <w:jc w:val="both"/>
        <w:rPr>
          <w:rFonts w:cs="Calibri"/>
        </w:rPr>
        <w:sectPr w:rsidR="00946169" w:rsidRPr="00DE5BF6" w:rsidSect="00946169">
          <w:type w:val="continuous"/>
          <w:pgSz w:w="12240" w:h="15840"/>
          <w:pgMar w:top="992" w:right="992" w:bottom="992" w:left="992" w:header="708" w:footer="708" w:gutter="0"/>
          <w:cols w:space="708"/>
          <w:docGrid w:linePitch="360"/>
        </w:sectPr>
      </w:pPr>
    </w:p>
    <w:p w14:paraId="5C0406F0" w14:textId="327CA4B4" w:rsidR="00946169" w:rsidRPr="00DE5BF6" w:rsidRDefault="00D05D00" w:rsidP="00946169">
      <w:pPr>
        <w:spacing w:line="360" w:lineRule="auto"/>
        <w:jc w:val="both"/>
        <w:rPr>
          <w:rFonts w:cs="Sans Serif Collection"/>
        </w:rPr>
      </w:pPr>
      <w:r w:rsidRPr="006131B4">
        <w:rPr>
          <w:rFonts w:cs="Sans Serif Collection"/>
          <w:b/>
          <w:bCs/>
        </w:rPr>
        <w:t>Supplementary Fig</w:t>
      </w:r>
      <w:r w:rsidRPr="006131B4">
        <w:rPr>
          <w:rFonts w:cs="Calibri"/>
          <w:b/>
          <w:bCs/>
        </w:rPr>
        <w:t>ure</w:t>
      </w:r>
      <w:r w:rsidRPr="006131B4">
        <w:rPr>
          <w:rFonts w:cs="Sans Serif Collection"/>
          <w:b/>
          <w:bCs/>
        </w:rPr>
        <w:t xml:space="preserve"> 4</w:t>
      </w:r>
      <w:r w:rsidR="002F11AB">
        <w:rPr>
          <w:rFonts w:cs="Sans Serif Collection"/>
          <w:b/>
          <w:bCs/>
        </w:rPr>
        <w:t>:</w:t>
      </w:r>
      <w:r w:rsidR="00946169" w:rsidRPr="00181AD5">
        <w:rPr>
          <w:rFonts w:cs="Sans Serif Collection"/>
        </w:rPr>
        <w:t xml:space="preserve"> Deep learning approach and performance outcomes utilizing </w:t>
      </w:r>
      <w:r w:rsidR="006131B4">
        <w:rPr>
          <w:rFonts w:cs="Sans Serif Collection"/>
        </w:rPr>
        <w:t xml:space="preserve">a </w:t>
      </w:r>
      <w:r w:rsidR="00946169" w:rsidRPr="00181AD5">
        <w:rPr>
          <w:rFonts w:cs="Sans Serif Collection"/>
        </w:rPr>
        <w:t>graph structured organization of cell state across omics domains. (a) Temporal graph convolutional network model implementation for single and multiple modality implementations. (b) Two-dimensional visualization of KNN clusters organized into graph representations across conditions and timepoints. (c) Training loss of the mu</w:t>
      </w:r>
      <w:r w:rsidR="00946169">
        <w:rPr>
          <w:rFonts w:cs="Sans Serif Collection"/>
        </w:rPr>
        <w:t>lti-domain</w:t>
      </w:r>
      <w:r w:rsidR="00946169" w:rsidRPr="00181AD5">
        <w:rPr>
          <w:rFonts w:cs="Sans Serif Collection"/>
        </w:rPr>
        <w:t xml:space="preserve"> deep learning architecture (80/20 train-test split). Note that datasets were augmented as described in the methods (n=56). (d) Resultant validation loss across 10 randomized folds.</w:t>
      </w:r>
    </w:p>
    <w:p w14:paraId="31681286" w14:textId="77777777" w:rsidR="00946169" w:rsidRPr="00DE5BF6" w:rsidRDefault="00946169" w:rsidP="00946169">
      <w:pPr>
        <w:spacing w:line="360" w:lineRule="auto"/>
        <w:jc w:val="both"/>
        <w:rPr>
          <w:rFonts w:cs="Sans Serif Collection"/>
        </w:rPr>
      </w:pPr>
    </w:p>
    <w:p w14:paraId="2FA7961B" w14:textId="0E5055ED" w:rsidR="00946169" w:rsidRDefault="00946169">
      <w:pPr>
        <w:spacing w:after="160"/>
        <w:rPr>
          <w:rFonts w:cs="Calibri"/>
        </w:rPr>
      </w:pPr>
      <w:r>
        <w:rPr>
          <w:rFonts w:cs="Calibri"/>
        </w:rPr>
        <w:br w:type="page"/>
      </w:r>
    </w:p>
    <w:p w14:paraId="5DAA8D33" w14:textId="08887BDD" w:rsidR="00946169" w:rsidRDefault="00A9749D" w:rsidP="00946169">
      <w:pPr>
        <w:spacing w:line="360" w:lineRule="auto"/>
        <w:jc w:val="center"/>
        <w:rPr>
          <w:rFonts w:ascii="Sans Serif Collection" w:hAnsi="Sans Serif Collection" w:cs="Sans Serif Collection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374EFC07" wp14:editId="15E59862">
            <wp:extent cx="6512560" cy="3691890"/>
            <wp:effectExtent l="0" t="0" r="2540" b="3810"/>
            <wp:docPr id="586915022" name="Picture 5" descr="A diagram of a variety of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15022" name="Picture 5" descr="A diagram of a variety of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B4F7" w14:textId="0385A917" w:rsidR="00946169" w:rsidRPr="00095064" w:rsidRDefault="00D05D00" w:rsidP="00946169">
      <w:pPr>
        <w:spacing w:line="360" w:lineRule="auto"/>
        <w:jc w:val="both"/>
      </w:pPr>
      <w:r w:rsidRPr="006131B4">
        <w:rPr>
          <w:rFonts w:cs="Sans Serif Collection"/>
          <w:b/>
          <w:bCs/>
        </w:rPr>
        <w:t>Supplementary Fig</w:t>
      </w:r>
      <w:r w:rsidRPr="006131B4">
        <w:rPr>
          <w:rFonts w:cs="Calibri"/>
          <w:b/>
          <w:bCs/>
        </w:rPr>
        <w:t>ure</w:t>
      </w:r>
      <w:r w:rsidRPr="006131B4">
        <w:rPr>
          <w:rFonts w:cs="Sans Serif Collection"/>
          <w:b/>
          <w:bCs/>
        </w:rPr>
        <w:t xml:space="preserve"> 5</w:t>
      </w:r>
      <w:r w:rsidR="00001797">
        <w:rPr>
          <w:b/>
          <w:bCs/>
        </w:rPr>
        <w:t>:</w:t>
      </w:r>
      <w:r w:rsidR="00946169">
        <w:t xml:space="preserve"> </w:t>
      </w:r>
      <w:r w:rsidR="00420641">
        <w:t>D</w:t>
      </w:r>
      <w:r w:rsidR="00946169">
        <w:t>istribution and propagation of predicted outcomes to hallmark signatures across the condition space. (a) Simulation of underrepresentation of variance by sampling distribution size and trial for a normal population distribution with unit variance. (b) Propagation outcomes (DGSEA and DMEA) across the experimental condition space.</w:t>
      </w:r>
    </w:p>
    <w:p w14:paraId="3AFD131B" w14:textId="77777777" w:rsidR="00946169" w:rsidRPr="009028A4" w:rsidRDefault="00946169" w:rsidP="00946169">
      <w:pPr>
        <w:spacing w:line="360" w:lineRule="auto"/>
        <w:jc w:val="both"/>
        <w:rPr>
          <w:rFonts w:cs="Calibri"/>
        </w:rPr>
      </w:pPr>
    </w:p>
    <w:sectPr w:rsidR="00946169" w:rsidRPr="009028A4" w:rsidSect="00946169">
      <w:type w:val="continuous"/>
      <w:pgSz w:w="12240" w:h="15840"/>
      <w:pgMar w:top="992" w:right="992" w:bottom="992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s Serif Collection">
    <w:panose1 w:val="020B0502040504020204"/>
    <w:charset w:val="00"/>
    <w:family w:val="swiss"/>
    <w:pitch w:val="variable"/>
    <w:sig w:usb0="8007A0C3" w:usb1="02006040" w:usb2="29100001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0F"/>
    <w:rsid w:val="00001797"/>
    <w:rsid w:val="001321F9"/>
    <w:rsid w:val="00186947"/>
    <w:rsid w:val="002B6284"/>
    <w:rsid w:val="002F11AB"/>
    <w:rsid w:val="0030520C"/>
    <w:rsid w:val="00420641"/>
    <w:rsid w:val="00445433"/>
    <w:rsid w:val="00457AFD"/>
    <w:rsid w:val="00457D73"/>
    <w:rsid w:val="00475978"/>
    <w:rsid w:val="004C1399"/>
    <w:rsid w:val="005D4BB6"/>
    <w:rsid w:val="005E5AC9"/>
    <w:rsid w:val="005E61E9"/>
    <w:rsid w:val="006131B4"/>
    <w:rsid w:val="00650794"/>
    <w:rsid w:val="006B4346"/>
    <w:rsid w:val="007509FD"/>
    <w:rsid w:val="00755AE5"/>
    <w:rsid w:val="008B0A7C"/>
    <w:rsid w:val="009028A4"/>
    <w:rsid w:val="0090660F"/>
    <w:rsid w:val="00946169"/>
    <w:rsid w:val="00982B9B"/>
    <w:rsid w:val="00A9749D"/>
    <w:rsid w:val="00B51539"/>
    <w:rsid w:val="00BA0AE1"/>
    <w:rsid w:val="00D05D00"/>
    <w:rsid w:val="00D83F1E"/>
    <w:rsid w:val="00DA17AD"/>
    <w:rsid w:val="00DC1FE8"/>
    <w:rsid w:val="00DD7AE5"/>
    <w:rsid w:val="00FC26A1"/>
    <w:rsid w:val="00FF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7D754"/>
  <w15:chartTrackingRefBased/>
  <w15:docId w15:val="{3D2B8669-415F-45EA-9691-7BEEFF16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AFD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6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66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66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660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660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660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660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66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66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66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6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66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66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66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66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66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6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6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6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6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6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66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66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66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66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66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66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Colter</dc:creator>
  <cp:keywords/>
  <dc:description/>
  <cp:lastModifiedBy>James Colter</cp:lastModifiedBy>
  <cp:revision>26</cp:revision>
  <dcterms:created xsi:type="dcterms:W3CDTF">2025-04-16T16:23:00Z</dcterms:created>
  <dcterms:modified xsi:type="dcterms:W3CDTF">2026-05-02T16:02:00Z</dcterms:modified>
</cp:coreProperties>
</file>