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240" w:after="12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t>Impact Feature Space: Representing Head-Motion Waveforms from Wearable Sensors. Jyrki Launes, M.D., Ph.D.*; Kati Peltonen, Ph.D.; Matti Vartiainen, Ph.D.; Laura Hokkanen, Ph.D.</w:t>
      </w:r>
    </w:p>
    <w:p>
      <w:pPr>
        <w:pStyle w:val="Heading1"/>
        <w:spacing w:before="240" w:after="12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t>Supplementary Discussion</w:t>
      </w:r>
    </w:p>
    <w:p>
      <w:pPr>
        <w:pStyle w:val="Heading2"/>
        <w:spacing w:before="200" w:after="100"/>
        <w:rPr/>
      </w:pPr>
      <w:r>
        <w:rPr>
          <w:rFonts w:eastAsia="Times New Roman" w:cs="Times New Roman" w:ascii="Times New Roman" w:hAnsi="Times New Roman"/>
          <w:b/>
          <w:bCs/>
          <w:i/>
          <w:iCs/>
          <w:sz w:val="24"/>
          <w:szCs w:val="24"/>
        </w:rPr>
        <w:t>Positioning of the Impact Feature Space Concept in the Existing Literature</w:t>
      </w:r>
    </w:p>
    <w:p>
      <w:pPr>
        <w:pStyle w:val="Normal"/>
        <w:spacing w:lineRule="auto" w:line="276" w:before="0" w:after="160"/>
        <w:jc w:val="both"/>
        <w:rPr/>
      </w:pPr>
      <w:r>
        <w:rPr>
          <w:rFonts w:eastAsia="Times New Roman" w:cs="Times New Roman"/>
          <w:sz w:val="24"/>
          <w:szCs w:val="24"/>
        </w:rPr>
        <w:t>Existing research using wearable head-impact sensors has primarily analysed impacts through individual kinematic variables or through feature sets used as inputs to classification and regression tasks. Although multiple waveform-derived variables are often computed, previous studies have generally not examined the structure of the multidimensional representation formed by these variables as an analytical object in its own right. The present supplement reviews the relevant literature in order to establish the gap that the Impact Feature Space (IFS) concept is intended to address, and to clarify how the IFS differs from related, but conceptually distinct, approaches.</w:t>
      </w:r>
    </w:p>
    <w:p>
      <w:pPr>
        <w:pStyle w:val="Normal"/>
        <w:spacing w:lineRule="auto" w:line="276" w:before="0" w:after="160"/>
        <w:jc w:val="both"/>
        <w:rPr/>
      </w:pPr>
      <w:r>
        <w:rPr>
          <w:rFonts w:eastAsia="Times New Roman" w:cs="Times New Roman"/>
          <w:sz w:val="24"/>
          <w:szCs w:val="24"/>
        </w:rPr>
        <w:t>Research using wearable sensors to measure head impacts has traditionally summarised impact events using a limited set of kinematic variables derived from inertial measurements. These variables typically include peak linear acceleration, peak rotational acceleration, and related summary measures such as impact duration or direction. Numerous studies using instrumented mouthguards or helmet sensors compute multiple such variables and compare their distributions across players, sessions, or impact conditions (Camarillo et al., 2013; Beckwith et al., 2012). Similarly, injury risk models frequently combine linear and rotational kinematic variables when estimating concussion probability (Rowson &amp; Duma, 2013). Although these studies extract several variables from the recorded signals, the analytical emphasis generally remains on the interpretation of individual variables or injury metrics rather than on the structure formed by the collection of variables itself.</w:t>
      </w:r>
    </w:p>
    <w:p>
      <w:pPr>
        <w:pStyle w:val="Normal"/>
        <w:spacing w:lineRule="auto" w:line="276" w:before="0" w:after="160"/>
        <w:jc w:val="both"/>
        <w:rPr/>
      </w:pPr>
      <w:r>
        <w:rPr>
          <w:rFonts w:eastAsia="Times New Roman" w:cs="Times New Roman"/>
          <w:sz w:val="24"/>
          <w:szCs w:val="24"/>
        </w:rPr>
        <w:t>Machine-learning studies have expanded the number of variables extracted from head-impact signals by constructing feature vectors that are used as inputs to classification or regression models. Sensor validation and event-detection studies often compute multiple derived signal features and use them to distinguish head impacts from non-impact events or artefacts (Wu et al., 2016; Kuo et al., 2018). More recent work has extended this approach substantially: Zhan et al. (2023) extracted 96 spectral density features from linear acceleration and angular velocity signals across multiple frequency windows and used them as inputs to a random forest classifier for head impact type, subsequently building type-specific regression models for brain strain metrics including maximum principal strain and cumulative strain damage measure. In these analyses, the feature vectors function primarily as technical inputs to predictive models, and the primary objective is classification or regression performance rather than interpretation of the multidimensional representation itself. Consequently, the derived variables are treated as computational intermediates rather than as elements of a structured biomechanical description of impact events: the feature vector defines the model input domain, but the properties of that domain — its dimensionality, geometry, and distributional structure — are not themselves the object of analysis.</w:t>
      </w:r>
    </w:p>
    <w:p>
      <w:pPr>
        <w:pStyle w:val="Normal"/>
        <w:spacing w:lineRule="auto" w:line="276" w:before="0" w:after="160"/>
        <w:jc w:val="both"/>
        <w:rPr/>
      </w:pPr>
      <w:r>
        <w:rPr>
          <w:rFonts w:eastAsia="Times New Roman" w:cs="Times New Roman"/>
          <w:sz w:val="24"/>
          <w:szCs w:val="24"/>
        </w:rPr>
        <w:t>A smaller number of studies have applied multivariate statistical techniques, including clustering, to explore patterns in impact kinematics. This line of work applies K-means or related algorithms to temporal or spectral features extracted from head rotation kinematics across large multi-source datasets, demonstrating that data-driven impact subtypes can improve brain strain estimation relative to source-based classification (Zhan et al., 2023). These analyses necessarily operate within a multidimensional feature domain and confirm that the structure of this domain contains information beyond what individual variables convey. However, in clustering-based subtyping approaches the multidimensional domain functions as a substrate for partitioning events into discrete groups: the output of the analysis is the group membership of each impact, not the geometry or intrinsic properties of the space in which the impacts are embedded. The IFS concept differs in analytical orientation. Rather than using the multidimensional representation to derive group labels or regression targets, it treats the representation itself as the primary object of analysis, enabling questions about the geometry, density, and structure of the impact distribution that cannot be reduced to cluster membership or regression performance. The distributional geometry of the IFS can be interrogated directly; its dimensionality can be examined to determine how many independent sources of impact variation are present; and regions of the space can be mapped onto clinical or sport-specific variables to identify biomechanical signatures that span multiple feature dimensions simultaneously.</w:t>
      </w:r>
    </w:p>
    <w:p>
      <w:pPr>
        <w:pStyle w:val="Normal"/>
        <w:spacing w:lineRule="auto" w:line="276" w:before="0" w:after="160"/>
        <w:jc w:val="both"/>
        <w:rPr/>
      </w:pPr>
      <w:r>
        <w:rPr>
          <w:rFonts w:eastAsia="Times New Roman" w:cs="Times New Roman"/>
          <w:sz w:val="24"/>
          <w:szCs w:val="24"/>
        </w:rPr>
        <w:t>Several investigations have also examined waveform properties beyond peak magnitude, including temporal characteristics of the acceleration signal or aspects of its frequency content. These studies recognise that peak acceleration alone may not fully describe the mechanical characteristics of head impacts and that impacts with similar peak magnitudes can exhibit substantially different temporal profiles or rotational dynamics (Beckwith et al., 2012; Wu et al., 2016). The spectral domain has been similarly explored: Zhan et al. (2023) demonstrated that different head impact types exhibit characteristic spectral density distributions that are not recoverable from peak kinematic descriptors alone. In most cases, however, such waveform-derived quantities — whether temporal or spectral — are introduced as additional variables alongside traditional peak metrics and evaluated in terms of their contribution to a downstream predictive model, rather than being integrated into a unified representation of impact events whose structure is examined directly.</w:t>
      </w:r>
    </w:p>
    <w:p>
      <w:pPr>
        <w:pStyle w:val="Normal"/>
        <w:spacing w:lineRule="auto" w:line="276" w:before="0" w:after="160"/>
        <w:jc w:val="both"/>
        <w:rPr/>
      </w:pPr>
      <w:r>
        <w:rPr>
          <w:rFonts w:eastAsia="Times New Roman" w:cs="Times New Roman"/>
          <w:sz w:val="24"/>
          <w:szCs w:val="24"/>
        </w:rPr>
        <w:t>Systematic reviews of wearable head-impact sensing research confirm that impacts in field studies are typically summarised using a small set of peak kinematic measures and event counts (O'Connor et al., 2017; Le Flao et al., 2022; Basinas et al., 2022). More recent syntheses of sensor-based studies in contact sports report similar analytical practices, with peak linear acceleration, peak rotational acceleration, and impact location remaining the most commonly reported descriptors (De Sousa-De Sousa et al., 2025). While these measures provide useful summaries of impact magnitude, they capture only a limited portion of the information contained in the recorded kinematic time series. Impacts with similar peak magnitudes may nevertheless exhibit markedly different temporal profiles, rotational dynamics, or spectral characteristics, and these differences are not accessible through conventional summary variable approaches.</w:t>
      </w:r>
    </w:p>
    <w:p>
      <w:pPr>
        <w:pStyle w:val="Normal"/>
        <w:spacing w:lineRule="auto" w:line="276" w:before="0" w:after="160"/>
        <w:jc w:val="both"/>
        <w:rPr/>
      </w:pPr>
      <w:r>
        <w:rPr>
          <w:rFonts w:eastAsia="Times New Roman" w:cs="Times New Roman"/>
          <w:sz w:val="24"/>
          <w:szCs w:val="24"/>
        </w:rPr>
        <w:t>The concept of Impact Feature Space (IFS) introduced in the present study addresses this limitation by explicitly representing each recorded impact as a point in a multidimensional coordinate system defined by waveform-derived variables. Within this representation, traditional peak metrics correspond to a low-dimensional projection of the underlying signal description. In contrast to conventional feature-extraction approaches — including both classification-oriented machine-learning methods and clustering-based subtyping strategies — the IFS concept treats the multidimensional representation itself as the analytical object. The analytical focus therefore shifts from individual summary variables or downstream model performance to the structure, dimensionality, and distributional geometry of the impact representation, allowing impact events to be analysed as points in a structured mathematical space rather than as isolated peak metrics or as inputs to a predictive pipeline.</w:t>
      </w:r>
    </w:p>
    <w:p>
      <w:pPr>
        <w:pStyle w:val="Normal"/>
        <w:spacing w:lineRule="auto" w:line="276" w:before="0" w:after="160"/>
        <w:jc w:val="both"/>
        <w:rPr/>
      </w:pPr>
      <w:r>
        <w:rPr>
          <w:rFonts w:eastAsia="Times New Roman" w:cs="Times New Roman"/>
          <w:sz w:val="24"/>
          <w:szCs w:val="24"/>
        </w:rPr>
        <w:t>This reorientation has specific analytical consequences that are not available from prior approaches. Impacts that are proximate within the IFS share waveform characteristics across the full feature domain simultaneously, not merely in one or two summary variables, so that similarity in the space has a direct biomechanical interpretation. Regions of the space can be mapped onto clinical or sport-specific variables — such as injury status, playing position, or contact mechanism — to identify biomechanical signatures that span multiple feature dimensions simultaneously. The dimensionality of the populated region of the space can be examined to determine how many independent sources of impact variation are present in a given dataset. Critically, impacts with similar peak kinematics but different temporal or spectral structure occupy distinct positions in the IFS and are therefore analytically distinguishable, whereas they are indistinguishable from their peak kinematic descriptors alone. This is a structural property of the representation itself, and one that is not recoverable by applying clustering or regression to the same features, because those operations treat the feature values as inputs to a model rather than as coordinates in a space whose geometry is the object of inquiry.</w:t>
      </w:r>
    </w:p>
    <w:p>
      <w:pPr>
        <w:pStyle w:val="Normal"/>
        <w:spacing w:lineRule="auto" w:line="276" w:before="0" w:after="160"/>
        <w:jc w:val="both"/>
        <w:rPr/>
      </w:pPr>
      <w:r>
        <w:rPr>
          <w:rFonts w:eastAsia="Times New Roman" w:cs="Times New Roman"/>
          <w:sz w:val="24"/>
          <w:szCs w:val="24"/>
        </w:rPr>
        <w:t>The IFS concept does not depend on a fixed or predefined set of waveform-derived variables. In prior machine-learning approaches, feature selection is typically governed by model performance: features are selected or retained on the basis of their contribution to classification accuracy or regression fit. In the IFS framework, the variable set is instead defined by the analytical question and the mechanical properties of interest, meaning that the representation can be adapted to the sensor platform, the sport-specific impact mechanisms under investigation, or the clinical outcome of concern, without requiring that the selected features optimise a downstream prediction target. This flexibility reflects the broader conceptual distinction: in existing approaches the feature space is a means to an end, whereas in the IFS it is the end itself.</w:t>
      </w:r>
    </w:p>
    <w:p>
      <w:pPr>
        <w:pStyle w:val="Normal"/>
        <w:spacing w:before="0" w:after="80"/>
        <w:rPr/>
      </w:pPr>
      <w:r>
        <w:rPr/>
      </w:r>
    </w:p>
    <w:p>
      <w:pPr>
        <w:pStyle w:val="Heading2"/>
        <w:spacing w:before="200" w:after="100"/>
        <w:rPr/>
      </w:pPr>
      <w:r>
        <w:rPr>
          <w:rFonts w:eastAsia="Times New Roman" w:cs="Times New Roman" w:ascii="Times New Roman" w:hAnsi="Times New Roman"/>
          <w:b/>
          <w:bCs/>
          <w:i/>
          <w:iCs/>
          <w:sz w:val="24"/>
          <w:szCs w:val="24"/>
        </w:rPr>
        <w:t>References</w:t>
      </w:r>
    </w:p>
    <w:p>
      <w:pPr>
        <w:pStyle w:val="Normal"/>
        <w:spacing w:lineRule="auto" w:line="276" w:before="0" w:after="100"/>
        <w:ind w:hanging="720" w:start="720"/>
        <w:jc w:val="both"/>
        <w:rPr/>
      </w:pPr>
      <w:r>
        <w:rPr>
          <w:rFonts w:eastAsia="Times New Roman" w:cs="Times New Roman"/>
          <w:sz w:val="24"/>
          <w:szCs w:val="24"/>
        </w:rPr>
        <w:t>Basinas, I., Sævarsson, S. K., &amp; McCarthy, C. (2022). A systematic review of head impacts and acceleration associated with soccer. International Journal of Environmental Research and Public Health, 19, 5488.</w:t>
      </w:r>
    </w:p>
    <w:p>
      <w:pPr>
        <w:pStyle w:val="Normal"/>
        <w:spacing w:lineRule="auto" w:line="276" w:before="0" w:after="100"/>
        <w:ind w:hanging="720" w:start="720"/>
        <w:jc w:val="both"/>
        <w:rPr/>
      </w:pPr>
      <w:r>
        <w:rPr>
          <w:rFonts w:eastAsia="Times New Roman" w:cs="Times New Roman"/>
          <w:sz w:val="24"/>
          <w:szCs w:val="24"/>
        </w:rPr>
        <w:t>Beckwith, J. G., Greenwald, R. M., &amp; Chu, J. J. (2012). Measuring head kinematics in football: Correlation between the head impact telemetry system and Hybrid III headform. Annals of Biomedical Engineering, 40(1), 237–248.</w:t>
      </w:r>
    </w:p>
    <w:p>
      <w:pPr>
        <w:pStyle w:val="Normal"/>
        <w:spacing w:lineRule="auto" w:line="276" w:before="0" w:after="100"/>
        <w:ind w:hanging="720" w:start="720"/>
        <w:jc w:val="both"/>
        <w:rPr/>
      </w:pPr>
      <w:r>
        <w:rPr>
          <w:rFonts w:eastAsia="Times New Roman" w:cs="Times New Roman"/>
          <w:sz w:val="24"/>
          <w:szCs w:val="24"/>
        </w:rPr>
        <w:t>Camarillo, D. B., Shull, P. B., Mattson, J., Shultz, R., &amp; Garza, D. (2013). An instrumented mouthguard for measuring linear and angular head impact kinematics in American football. Annals of Biomedical Engineering, 41(9), 1939–1949.</w:t>
      </w:r>
    </w:p>
    <w:p>
      <w:pPr>
        <w:pStyle w:val="Normal"/>
        <w:spacing w:lineRule="auto" w:line="276" w:before="0" w:after="100"/>
        <w:ind w:hanging="720" w:start="720"/>
        <w:jc w:val="both"/>
        <w:rPr/>
      </w:pPr>
      <w:r>
        <w:rPr>
          <w:rFonts w:eastAsia="Times New Roman" w:cs="Times New Roman"/>
          <w:sz w:val="24"/>
          <w:szCs w:val="24"/>
        </w:rPr>
        <w:t>De Sousa-De Sousa, L., Espinosa, H. G., Maté-Muñoz, J. L., et al. (2025). Unlocking the impact: A systematic review and meta-analysis of biomechanical insights into rugby head impacts using wearable sensor technology. Sports Medicine.</w:t>
      </w:r>
    </w:p>
    <w:p>
      <w:pPr>
        <w:pStyle w:val="Normal"/>
        <w:spacing w:lineRule="auto" w:line="276" w:before="0" w:after="100"/>
        <w:ind w:hanging="720" w:start="720"/>
        <w:jc w:val="both"/>
        <w:rPr/>
      </w:pPr>
      <w:r>
        <w:rPr>
          <w:rFonts w:eastAsia="Times New Roman" w:cs="Times New Roman"/>
          <w:sz w:val="24"/>
          <w:szCs w:val="24"/>
        </w:rPr>
        <w:t>Kuo, C., Wu, L. C., Loza, J., Senif, D., Anderson, C., Camarillo, D. B., &amp; Duma, S. M. (2018). Comparison of video-based and sensor-based head impact exposure. Annals of Biomedical Engineering, 46(4), 541–552.</w:t>
      </w:r>
    </w:p>
    <w:p>
      <w:pPr>
        <w:pStyle w:val="Normal"/>
        <w:spacing w:lineRule="auto" w:line="276" w:before="0" w:after="100"/>
        <w:ind w:hanging="720" w:start="720"/>
        <w:jc w:val="both"/>
        <w:rPr/>
      </w:pPr>
      <w:r>
        <w:rPr>
          <w:rFonts w:eastAsia="Times New Roman" w:cs="Times New Roman"/>
          <w:sz w:val="24"/>
          <w:szCs w:val="24"/>
        </w:rPr>
        <w:t>Le Flao, E., Siegmund, G. P., &amp; Borotkanics, R. (2022). Head impact research using inertial sensors in sport: A systematic review of methods, demographics, and factors contributing to exposure. Sports Medicine, 52(3), 481–504.</w:t>
      </w:r>
    </w:p>
    <w:p>
      <w:pPr>
        <w:pStyle w:val="Normal"/>
        <w:spacing w:lineRule="auto" w:line="276" w:before="0" w:after="100"/>
        <w:ind w:hanging="720" w:start="720"/>
        <w:jc w:val="both"/>
        <w:rPr/>
      </w:pPr>
      <w:r>
        <w:rPr>
          <w:rFonts w:eastAsia="Times New Roman" w:cs="Times New Roman"/>
          <w:sz w:val="24"/>
          <w:szCs w:val="24"/>
        </w:rPr>
        <w:t>O'Connor, K. L., Rowson, S., Duma, S. M., &amp; Broglio, S. P. (2017). Head-impact-measurement devices: A systematic review. Journal of Athletic Training, 52(3), 206–227.</w:t>
      </w:r>
    </w:p>
    <w:p>
      <w:pPr>
        <w:pStyle w:val="Normal"/>
        <w:spacing w:lineRule="auto" w:line="276" w:before="0" w:after="100"/>
        <w:ind w:hanging="720" w:start="720"/>
        <w:jc w:val="both"/>
        <w:rPr/>
      </w:pPr>
      <w:r>
        <w:rPr>
          <w:rFonts w:eastAsia="Times New Roman" w:cs="Times New Roman"/>
          <w:sz w:val="24"/>
          <w:szCs w:val="24"/>
        </w:rPr>
        <w:t>Rowson, S., &amp; Duma, S. M. (2013). Brain injury prediction: Assessing the combined probability of concussion using linear and rotational head acceleration. Annals of Biomedical Engineering, 41(5), 873–882.</w:t>
      </w:r>
    </w:p>
    <w:p>
      <w:pPr>
        <w:pStyle w:val="Normal"/>
        <w:spacing w:lineRule="auto" w:line="276" w:before="0" w:after="100"/>
        <w:ind w:hanging="720" w:start="720"/>
        <w:jc w:val="both"/>
        <w:rPr/>
      </w:pPr>
      <w:r>
        <w:rPr>
          <w:rFonts w:eastAsia="Times New Roman" w:cs="Times New Roman"/>
          <w:sz w:val="24"/>
          <w:szCs w:val="24"/>
        </w:rPr>
        <w:t>Wu, L. C., Nangia, V., Bui, K., Hammoor, B., Kurt, M., Hernandez, F., &amp; Camarillo, D. B. (2016). In vivo evaluation of wearable head impact sensors. Annals of Biomedical Engineering, 44(4), 1234–1245.</w:t>
      </w:r>
    </w:p>
    <w:p>
      <w:pPr>
        <w:pStyle w:val="Normal"/>
        <w:spacing w:lineRule="auto" w:line="276" w:before="0" w:after="100"/>
        <w:ind w:hanging="720" w:start="720"/>
        <w:jc w:val="both"/>
        <w:rPr/>
      </w:pPr>
      <w:r>
        <w:rPr>
          <w:rFonts w:eastAsia="Times New Roman" w:cs="Times New Roman"/>
          <w:sz w:val="24"/>
          <w:szCs w:val="24"/>
        </w:rPr>
        <w:t>Zhan, X., Li, Y., Liu, Y., Cecchi, N. J., Raymond, S. J., Zhou, Z., Alizadeh, H. V., Ruan, J., Barbat, S., Tiernan, S., Gevaert, O., Zeineh, M. M., Grant, G. A., &amp; Camarillo, D. B. (2023). Machine-learning-based head impact subtyping based on the spectral densities of the measurable head kinematics. Journal of Sport and Health Science, 12(5), 619–629.</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4"/>
        <w:szCs w:val="24"/>
        <w:lang w:val="fi-FI" w:eastAsia="zh-CN" w:bidi="hi-IN"/>
      </w:rPr>
    </w:rPrDefault>
    <w:pPrDefault>
      <w:pPr>
        <w:suppressAutoHyphens w:val="true"/>
      </w:pPr>
    </w:pPrDefault>
  </w:docDefaults>
  <w:style w:type="paragraph" w:styleId="Normal">
    <w:name w:val="Normal"/>
    <w:qFormat/>
    <w:pPr>
      <w:widowControl/>
      <w:bidi w:val="0"/>
      <w:spacing w:before="0" w:after="0"/>
      <w:jc w:val="start"/>
    </w:pPr>
    <w:rPr>
      <w:rFonts w:ascii="Times New Roman" w:hAnsi="Times New Roman" w:eastAsia="Times New Roman" w:cs="Times New Roman"/>
      <w:color w:val="auto"/>
      <w:kern w:val="0"/>
      <w:sz w:val="24"/>
      <w:szCs w:val="24"/>
      <w:lang w:val="fi-FI" w:eastAsia="zh-CN" w:bidi="hi-IN"/>
    </w:rPr>
  </w:style>
  <w:style w:type="paragraph" w:styleId="Heading1">
    <w:name w:val="heading 1"/>
    <w:basedOn w:val="Heading"/>
    <w:qFormat/>
    <w:pPr/>
    <w:rPr>
      <w:color w:val="2E74B5"/>
      <w:sz w:val="32"/>
      <w:szCs w:val="32"/>
    </w:rPr>
  </w:style>
  <w:style w:type="paragraph" w:styleId="Heading2">
    <w:name w:val="heading 2"/>
    <w:basedOn w:val="Heading"/>
    <w:qFormat/>
    <w:pPr/>
    <w:rPr>
      <w:color w:val="2E74B5"/>
      <w:sz w:val="26"/>
      <w:szCs w:val="26"/>
    </w:rPr>
  </w:style>
  <w:style w:type="paragraph" w:styleId="Heading3">
    <w:name w:val="heading 3"/>
    <w:basedOn w:val="Heading"/>
    <w:qFormat/>
    <w:pPr/>
    <w:rPr>
      <w:color w:val="1F4D78"/>
      <w:sz w:val="24"/>
      <w:szCs w:val="24"/>
    </w:rPr>
  </w:style>
  <w:style w:type="paragraph" w:styleId="Heading4">
    <w:name w:val="heading 4"/>
    <w:basedOn w:val="Heading"/>
    <w:qFormat/>
    <w:pPr/>
    <w:rPr>
      <w:i/>
      <w:iCs/>
      <w:color w:val="2E74B5"/>
    </w:rPr>
  </w:style>
  <w:style w:type="paragraph" w:styleId="Heading5">
    <w:name w:val="heading 5"/>
    <w:basedOn w:val="Heading"/>
    <w:qFormat/>
    <w:pPr/>
    <w:rPr>
      <w:color w:val="2E74B5"/>
    </w:rPr>
  </w:style>
  <w:style w:type="paragraph" w:styleId="Heading6">
    <w:name w:val="heading 6"/>
    <w:basedOn w:val="Heading"/>
    <w:qFormat/>
    <w:pPr/>
    <w:rPr>
      <w:color w:val="1F4D78"/>
    </w:rPr>
  </w:style>
  <w:style w:type="character" w:styleId="Hyperlink">
    <w:name w:val="Hyperlink"/>
    <w:uiPriority w:val="99"/>
    <w:unhideWhenUsed/>
    <w:rPr>
      <w:color w:val="0563C1"/>
      <w:u w:val="single"/>
    </w:rPr>
  </w:style>
  <w:style w:type="character"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styleId="FootnoteTextChar">
    <w:name w:val="Footnote Text Char"/>
    <w:link w:val="FootnoteText"/>
    <w:uiPriority w:val="99"/>
    <w:semiHidden/>
    <w:unhideWhenUsed/>
    <w:qFormat/>
    <w:rPr>
      <w:sz w:val="20"/>
      <w:szCs w:val="20"/>
    </w:rPr>
  </w:style>
  <w:style w:type="character"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styleId="EndnoteTextChar">
    <w:name w:val="Endnote Text Char"/>
    <w:link w:val="EndnoteText"/>
    <w:uiPriority w:val="99"/>
    <w:semiHidden/>
    <w:unhideWhenUsed/>
    <w:qFormat/>
    <w:rPr>
      <w:sz w:val="20"/>
      <w:szCs w:val="20"/>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Heading"/>
    <w:qFormat/>
    <w:pPr/>
    <w:rPr>
      <w:sz w:val="56"/>
      <w:szCs w:val="56"/>
    </w:rPr>
  </w:style>
  <w:style w:type="paragraph" w:styleId="StrongEmphasis">
    <w:name w:val="Strong Emphasis"/>
    <w:qFormat/>
    <w:pPr>
      <w:widowControl/>
      <w:bidi w:val="0"/>
      <w:spacing w:before="0" w:after="0"/>
      <w:jc w:val="start"/>
    </w:pPr>
    <w:rPr>
      <w:rFonts w:ascii="Times New Roman" w:hAnsi="Times New Roman" w:eastAsia="Times New Roman" w:cs="Times New Roman"/>
      <w:b/>
      <w:bCs/>
      <w:color w:val="auto"/>
      <w:kern w:val="0"/>
      <w:sz w:val="24"/>
      <w:szCs w:val="24"/>
      <w:lang w:val="fi-FI" w:eastAsia="zh-CN" w:bidi="hi-IN"/>
    </w:rPr>
  </w:style>
  <w:style w:type="paragraph" w:styleId="ListParagraph">
    <w:name w:val="List Paragraph"/>
    <w:qFormat/>
    <w:pPr>
      <w:widowControl/>
      <w:bidi w:val="0"/>
      <w:spacing w:before="0" w:after="0"/>
      <w:jc w:val="start"/>
    </w:pPr>
    <w:rPr>
      <w:rFonts w:ascii="Times New Roman" w:hAnsi="Times New Roman" w:eastAsia="Times New Roman" w:cs="Times New Roman"/>
      <w:color w:val="auto"/>
      <w:kern w:val="0"/>
      <w:sz w:val="24"/>
      <w:szCs w:val="24"/>
      <w:lang w:val="fi-FI"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LibreOffice/25.8.2.2$Windows_X86_64 LibreOffice_project/d401f2107ccab8f924a8e2df40f573aab7605b6f</Application>
  <AppVersion>15.0000</AppVersion>
  <Pages>4</Pages>
  <Words>1744</Words>
  <Characters>10691</Characters>
  <CharactersWithSpaces>12412</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2026-04-26T20:22:57Z</dcterms:created>
  <dc:creator>Un-named</dc:creator>
  <dc:description/>
  <dc:language>fi-FI</dc:language>
  <cp:lastModifiedBy>Jyrki Launes</cp:lastModifiedBy>
  <dcterms:modified xsi:type="dcterms:W3CDTF">2026-05-08T12:29:50Z</dcterms:modified>
  <cp:revision>2</cp:revision>
  <dc:subject/>
  <dc:title/>
</cp:coreProperties>
</file>