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4B3B" w14:textId="3D21818C" w:rsidR="007A0755" w:rsidRPr="009E04AD" w:rsidRDefault="00EE6F59" w:rsidP="00D22FA2">
      <w:pPr>
        <w:pStyle w:val="SupplementaryMaterial"/>
        <w:adjustRightInd w:val="0"/>
        <w:snapToGrid w:val="0"/>
        <w:spacing w:before="0" w:after="0" w:line="480" w:lineRule="auto"/>
        <w:rPr>
          <w:i w:val="0"/>
          <w:iCs/>
          <w:sz w:val="28"/>
          <w:szCs w:val="28"/>
        </w:rPr>
      </w:pPr>
      <w:r w:rsidRPr="009E04AD">
        <w:rPr>
          <w:i w:val="0"/>
          <w:iCs/>
          <w:sz w:val="28"/>
          <w:szCs w:val="28"/>
        </w:rPr>
        <w:t>Appendix</w:t>
      </w:r>
    </w:p>
    <w:p w14:paraId="048AAD93" w14:textId="77777777" w:rsidR="00444EC0" w:rsidRPr="000207CA" w:rsidRDefault="00444EC0" w:rsidP="00D22FA2">
      <w:pPr>
        <w:adjustRightInd w:val="0"/>
        <w:snapToGrid w:val="0"/>
        <w:spacing w:line="480" w:lineRule="auto"/>
        <w:rPr>
          <w:lang w:val="en-US"/>
        </w:rPr>
      </w:pPr>
    </w:p>
    <w:p w14:paraId="57319274" w14:textId="59FA45D7" w:rsidR="00444EC0" w:rsidRPr="000207CA" w:rsidRDefault="00444EC0" w:rsidP="00D22FA2">
      <w:pPr>
        <w:pStyle w:val="ListParagraph"/>
        <w:numPr>
          <w:ilvl w:val="0"/>
          <w:numId w:val="2"/>
        </w:numPr>
        <w:adjustRightInd w:val="0"/>
        <w:snapToGrid w:val="0"/>
        <w:spacing w:after="0" w:line="480" w:lineRule="auto"/>
        <w:ind w:left="0" w:firstLine="0"/>
        <w:contextualSpacing w:val="0"/>
        <w:rPr>
          <w:rFonts w:cs="Times New Roman"/>
          <w:b/>
          <w:bCs/>
          <w:sz w:val="24"/>
          <w:szCs w:val="24"/>
          <w:lang w:val="en-US"/>
        </w:rPr>
      </w:pPr>
      <w:r w:rsidRPr="000207CA">
        <w:rPr>
          <w:rFonts w:cs="Times New Roman"/>
          <w:b/>
          <w:bCs/>
          <w:sz w:val="24"/>
          <w:szCs w:val="24"/>
          <w:lang w:val="en-US"/>
        </w:rPr>
        <w:t>Supplementary Methods</w:t>
      </w:r>
    </w:p>
    <w:p w14:paraId="0396304C" w14:textId="03427DB5" w:rsidR="00A97C15" w:rsidRPr="000207CA" w:rsidRDefault="00A97C15" w:rsidP="00D22FA2">
      <w:pPr>
        <w:adjustRightInd w:val="0"/>
        <w:snapToGrid w:val="0"/>
        <w:spacing w:line="480" w:lineRule="auto"/>
        <w:ind w:firstLine="720"/>
        <w:rPr>
          <w:lang w:val="en-US"/>
        </w:rPr>
      </w:pPr>
      <w:r w:rsidRPr="000207CA">
        <w:rPr>
          <w:lang w:val="en-US"/>
        </w:rPr>
        <w:t>Our methodological approach for Group I</w:t>
      </w:r>
      <w:r w:rsidR="00176234">
        <w:rPr>
          <w:lang w:val="en-US"/>
        </w:rPr>
        <w:t xml:space="preserve">ndependent </w:t>
      </w:r>
      <w:r w:rsidRPr="000207CA">
        <w:rPr>
          <w:lang w:val="en-US"/>
        </w:rPr>
        <w:t>C</w:t>
      </w:r>
      <w:r w:rsidR="00176234">
        <w:rPr>
          <w:lang w:val="en-US"/>
        </w:rPr>
        <w:t xml:space="preserve">omponent </w:t>
      </w:r>
      <w:r w:rsidRPr="000207CA">
        <w:rPr>
          <w:lang w:val="en-US"/>
        </w:rPr>
        <w:t>A</w:t>
      </w:r>
      <w:r w:rsidR="00176234">
        <w:rPr>
          <w:lang w:val="en-US"/>
        </w:rPr>
        <w:t>nalysis (Group ICA)</w:t>
      </w:r>
      <w:r w:rsidRPr="000207CA">
        <w:rPr>
          <w:lang w:val="en-US"/>
        </w:rPr>
        <w:t xml:space="preserve"> and multivariate statistical analysis was based on a previous study of our group that aimed for discriminating effects of </w:t>
      </w:r>
      <w:proofErr w:type="spellStart"/>
      <w:r w:rsidRPr="000207CA">
        <w:rPr>
          <w:lang w:val="en-US"/>
        </w:rPr>
        <w:t>mTBI</w:t>
      </w:r>
      <w:proofErr w:type="spellEnd"/>
      <w:r w:rsidRPr="000207CA">
        <w:rPr>
          <w:lang w:val="en-US"/>
        </w:rPr>
        <w:t xml:space="preserve"> and age in a group of adults with a broader age range (Bittencourt-Villalpando et al., 2021). This approach is described here again (using quotation marks) for readability purposes. Parameters that were adjusted for the present study are described outside of quotation marks.</w:t>
      </w:r>
    </w:p>
    <w:p w14:paraId="5F2BDBF3" w14:textId="5CB98224" w:rsidR="00A97C15" w:rsidRPr="00CA1BCB" w:rsidRDefault="007A0755" w:rsidP="00D22FA2">
      <w:pPr>
        <w:pStyle w:val="ListParagraph"/>
        <w:numPr>
          <w:ilvl w:val="1"/>
          <w:numId w:val="2"/>
        </w:numPr>
        <w:adjustRightInd w:val="0"/>
        <w:snapToGrid w:val="0"/>
        <w:spacing w:after="0" w:line="480" w:lineRule="auto"/>
        <w:ind w:left="0" w:firstLine="0"/>
        <w:contextualSpacing w:val="0"/>
        <w:rPr>
          <w:rFonts w:cs="Times New Roman"/>
          <w:b/>
          <w:bCs/>
          <w:i/>
          <w:iCs/>
          <w:sz w:val="24"/>
          <w:szCs w:val="24"/>
          <w:lang w:val="en-US"/>
        </w:rPr>
      </w:pPr>
      <w:r w:rsidRPr="00CA1BCB">
        <w:rPr>
          <w:rFonts w:cs="Times New Roman"/>
          <w:b/>
          <w:bCs/>
          <w:i/>
          <w:iCs/>
          <w:sz w:val="24"/>
          <w:szCs w:val="24"/>
          <w:lang w:val="en-US"/>
        </w:rPr>
        <w:t>Group Independent Component Analysis</w:t>
      </w:r>
    </w:p>
    <w:p w14:paraId="16630922" w14:textId="12E6EBB9" w:rsidR="00A97C15" w:rsidRPr="000207CA" w:rsidRDefault="007A0755" w:rsidP="00D22FA2">
      <w:pPr>
        <w:adjustRightInd w:val="0"/>
        <w:snapToGrid w:val="0"/>
        <w:spacing w:line="480" w:lineRule="auto"/>
        <w:ind w:firstLine="720"/>
        <w:rPr>
          <w:lang w:val="en-US"/>
        </w:rPr>
      </w:pPr>
      <w:r w:rsidRPr="000207CA">
        <w:rPr>
          <w:lang w:val="en-US"/>
        </w:rPr>
        <w:t xml:space="preserve"> “The Group ICA fMRI Toolbox (GIFT</w:t>
      </w:r>
      <w:r w:rsidRPr="000207CA">
        <w:rPr>
          <w:rStyle w:val="FootnoteReference"/>
        </w:rPr>
        <w:footnoteReference w:id="1"/>
      </w:r>
      <w:r w:rsidRPr="000207CA">
        <w:rPr>
          <w:lang w:val="en-US"/>
        </w:rPr>
        <w:t xml:space="preserve">; version 4.0b) was used to perform group-level spatial independent component analysis </w:t>
      </w:r>
      <w:r w:rsidRPr="000207CA">
        <w:rPr>
          <w:noProof/>
          <w:lang w:val="en-US"/>
        </w:rPr>
        <w:t>(Calhoun et al., 2001)</w:t>
      </w:r>
      <w:r w:rsidRPr="000207CA">
        <w:rPr>
          <w:lang w:val="en-US"/>
        </w:rPr>
        <w:t xml:space="preserve">. The preprocessed fMRI data from” 45 participants “were decomposed into independent components (ICs) using group-information guided independent component analysis (GIG-ICA) </w:t>
      </w:r>
      <w:r w:rsidRPr="000207CA">
        <w:rPr>
          <w:noProof/>
          <w:lang w:val="en-US"/>
        </w:rPr>
        <w:t>(Du and Fan, 2013)</w:t>
      </w:r>
      <w:r w:rsidRPr="000207CA">
        <w:rPr>
          <w:lang w:val="en-US"/>
        </w:rPr>
        <w:t>. The number of ICs (</w:t>
      </w:r>
      <w:r w:rsidRPr="000207CA">
        <w:rPr>
          <w:i/>
          <w:iCs/>
          <w:lang w:val="en-US"/>
        </w:rPr>
        <w:t>N</w:t>
      </w:r>
      <w:r w:rsidRPr="000207CA">
        <w:rPr>
          <w:i/>
          <w:iCs/>
          <w:vertAlign w:val="subscript"/>
          <w:lang w:val="en-US"/>
        </w:rPr>
        <w:t>c</w:t>
      </w:r>
      <w:r w:rsidRPr="000207CA">
        <w:rPr>
          <w:lang w:val="en-US"/>
        </w:rPr>
        <w:t xml:space="preserve">) was estimated using the minimum description length (MDL) criterion </w:t>
      </w:r>
      <w:r w:rsidRPr="000207CA">
        <w:rPr>
          <w:noProof/>
          <w:lang w:val="en-US"/>
        </w:rPr>
        <w:t>(Li et al., 2007)</w:t>
      </w:r>
      <w:r w:rsidRPr="000207CA">
        <w:rPr>
          <w:lang w:val="en-US"/>
        </w:rPr>
        <w:t xml:space="preserve">. Subject-specific data reduction using two-step principal component analysis (PCA) first reduced the data to” 100 principal components “followed by group data reduction retaining </w:t>
      </w:r>
      <w:r w:rsidRPr="000207CA">
        <w:rPr>
          <w:i/>
          <w:iCs/>
          <w:lang w:val="en-US"/>
        </w:rPr>
        <w:t>N</w:t>
      </w:r>
      <w:r w:rsidRPr="000207CA">
        <w:rPr>
          <w:i/>
          <w:iCs/>
          <w:vertAlign w:val="subscript"/>
          <w:lang w:val="en-US"/>
        </w:rPr>
        <w:t>c</w:t>
      </w:r>
      <w:r w:rsidRPr="000207CA" w:rsidDel="004731B8">
        <w:rPr>
          <w:lang w:val="en-US"/>
        </w:rPr>
        <w:t xml:space="preserve"> </w:t>
      </w:r>
      <w:r w:rsidRPr="000207CA">
        <w:rPr>
          <w:lang w:val="en-US"/>
        </w:rPr>
        <w:t xml:space="preserve">ICs. The Infomax ICA algorithm </w:t>
      </w:r>
      <w:r w:rsidRPr="000207CA">
        <w:rPr>
          <w:noProof/>
          <w:lang w:val="en-US"/>
        </w:rPr>
        <w:t>(Bell and Sejnowski, 1995)</w:t>
      </w:r>
      <w:r w:rsidRPr="000207CA">
        <w:rPr>
          <w:lang w:val="en-US"/>
        </w:rPr>
        <w:t xml:space="preserve"> </w:t>
      </w:r>
      <w:bookmarkStart w:id="0" w:name="_Hlk53331352"/>
      <w:r w:rsidRPr="000207CA">
        <w:rPr>
          <w:lang w:val="en-US"/>
        </w:rPr>
        <w:t>was repeated 20 times using the built-in ICASSO</w:t>
      </w:r>
      <w:r w:rsidRPr="000207CA">
        <w:rPr>
          <w:rStyle w:val="FootnoteReference"/>
        </w:rPr>
        <w:footnoteReference w:id="2"/>
      </w:r>
      <w:r w:rsidRPr="000207CA">
        <w:rPr>
          <w:lang w:val="en-US"/>
        </w:rPr>
        <w:t xml:space="preserve"> tool, which is used to estimate the stability and quality of the ICs</w:t>
      </w:r>
      <w:bookmarkStart w:id="1" w:name="_Hlk53329162"/>
      <w:r w:rsidRPr="000207CA">
        <w:rPr>
          <w:lang w:val="en-US"/>
        </w:rPr>
        <w:t xml:space="preserve">. Additional parameters for ICASSO were bootstrapping with randomized initial condition, minimum cluster size of 16 components (0.8*20 ICA repetitions) and maximum cluster size of 20 components (same value as the number of ICA repetitions) </w:t>
      </w:r>
      <w:bookmarkEnd w:id="1"/>
      <w:r w:rsidRPr="000207CA">
        <w:rPr>
          <w:noProof/>
          <w:lang w:val="en-US"/>
        </w:rPr>
        <w:t>(Himberg et al., 2004)</w:t>
      </w:r>
      <w:r w:rsidRPr="000207CA">
        <w:rPr>
          <w:lang w:val="en-US"/>
        </w:rPr>
        <w:t>. The quality of components was quantified as the quality index (</w:t>
      </w:r>
      <w:proofErr w:type="spellStart"/>
      <w:r w:rsidRPr="000207CA">
        <w:rPr>
          <w:i/>
          <w:iCs/>
          <w:lang w:val="en-US"/>
        </w:rPr>
        <w:t>I</w:t>
      </w:r>
      <w:r w:rsidRPr="000207CA">
        <w:rPr>
          <w:i/>
          <w:iCs/>
          <w:vertAlign w:val="subscript"/>
          <w:lang w:val="en-US"/>
        </w:rPr>
        <w:t>q</w:t>
      </w:r>
      <w:proofErr w:type="spellEnd"/>
      <w:r w:rsidRPr="000207CA">
        <w:rPr>
          <w:lang w:val="en-US"/>
        </w:rPr>
        <w:t xml:space="preserve">; range 0 to 1) and </w:t>
      </w:r>
      <w:r w:rsidRPr="000207CA">
        <w:rPr>
          <w:lang w:val="en-US"/>
        </w:rPr>
        <w:lastRenderedPageBreak/>
        <w:t xml:space="preserve">the minimum </w:t>
      </w:r>
      <w:proofErr w:type="spellStart"/>
      <w:r w:rsidRPr="000207CA">
        <w:rPr>
          <w:i/>
          <w:iCs/>
          <w:lang w:val="en-US"/>
        </w:rPr>
        <w:t>I</w:t>
      </w:r>
      <w:r w:rsidRPr="000207CA">
        <w:rPr>
          <w:i/>
          <w:iCs/>
          <w:vertAlign w:val="subscript"/>
          <w:lang w:val="en-US"/>
        </w:rPr>
        <w:t>q</w:t>
      </w:r>
      <w:proofErr w:type="spellEnd"/>
      <w:r w:rsidRPr="000207CA">
        <w:rPr>
          <w:lang w:val="en-US"/>
        </w:rPr>
        <w:t xml:space="preserve"> for inclusion of the component in the analysis was set at 0.9. </w:t>
      </w:r>
      <w:bookmarkEnd w:id="0"/>
      <w:r w:rsidRPr="000207CA">
        <w:rPr>
          <w:lang w:val="en-US"/>
        </w:rPr>
        <w:t xml:space="preserve">The </w:t>
      </w:r>
      <w:r w:rsidRPr="000207CA">
        <w:rPr>
          <w:i/>
          <w:iCs/>
          <w:lang w:val="en-US"/>
        </w:rPr>
        <w:t>N</w:t>
      </w:r>
      <w:r w:rsidRPr="000207CA">
        <w:rPr>
          <w:i/>
          <w:iCs/>
          <w:vertAlign w:val="subscript"/>
          <w:lang w:val="en-US"/>
        </w:rPr>
        <w:t>c</w:t>
      </w:r>
      <w:r w:rsidRPr="000207CA" w:rsidDel="004731B8">
        <w:rPr>
          <w:lang w:val="en-US"/>
        </w:rPr>
        <w:t xml:space="preserve"> </w:t>
      </w:r>
      <w:r w:rsidRPr="000207CA">
        <w:rPr>
          <w:lang w:val="en-US"/>
        </w:rPr>
        <w:t xml:space="preserve">ICs from the best performing run were used as templates for subject-specific back-reconstruction using GIG-ICA </w:t>
      </w:r>
      <w:r w:rsidRPr="000207CA">
        <w:rPr>
          <w:noProof/>
          <w:lang w:val="en-US"/>
        </w:rPr>
        <w:t>(Du et al., 2014; Du and Fan, 2013)</w:t>
      </w:r>
      <w:r w:rsidRPr="000207CA">
        <w:rPr>
          <w:lang w:val="en-US"/>
        </w:rPr>
        <w:t xml:space="preserve">. We identified the ICs considered to be ICNs, as opposed to physiological artefacts, by visually inspecting their aggregate spatial maps and their average power spectra. The identification of ICNs was done by authors MBV and </w:t>
      </w:r>
      <w:proofErr w:type="spellStart"/>
      <w:r w:rsidRPr="000207CA">
        <w:rPr>
          <w:lang w:val="en-US"/>
        </w:rPr>
        <w:t>HJvdH</w:t>
      </w:r>
      <w:proofErr w:type="spellEnd"/>
      <w:r w:rsidRPr="000207CA">
        <w:rPr>
          <w:lang w:val="en-US"/>
        </w:rPr>
        <w:t xml:space="preserve">, independently. In accordance with previously published literature, the classification of components as ICNs was based on the following criteria: a) exhibiting peak activations primarily in gray matter, b) low spatial overlap with known vascular, ventricular motion and susceptibility artefacts and c) time courses dominated by low frequency fluctuations </w:t>
      </w:r>
      <w:r w:rsidRPr="000207CA">
        <w:rPr>
          <w:noProof/>
          <w:lang w:val="en-US"/>
        </w:rPr>
        <w:t>(Cordes et al., 2000)</w:t>
      </w:r>
      <w:r w:rsidRPr="000207CA">
        <w:rPr>
          <w:lang w:val="en-US"/>
        </w:rPr>
        <w:t xml:space="preserve">. Differences were discussed until consensus was reached” </w:t>
      </w:r>
      <w:r w:rsidRPr="000207CA">
        <w:rPr>
          <w:noProof/>
          <w:lang w:val="en-US"/>
        </w:rPr>
        <w:t>(Bittencourt-Villalpando et al., 2021)</w:t>
      </w:r>
      <w:r w:rsidRPr="000207CA">
        <w:rPr>
          <w:lang w:val="en-US"/>
        </w:rPr>
        <w:t>.</w:t>
      </w:r>
    </w:p>
    <w:p w14:paraId="1362737F" w14:textId="77777777" w:rsidR="00A97C15" w:rsidRPr="00CA1BCB" w:rsidRDefault="00A97C15" w:rsidP="00D22FA2">
      <w:pPr>
        <w:pStyle w:val="ListParagraph"/>
        <w:numPr>
          <w:ilvl w:val="1"/>
          <w:numId w:val="2"/>
        </w:numPr>
        <w:adjustRightInd w:val="0"/>
        <w:snapToGrid w:val="0"/>
        <w:spacing w:after="0" w:line="480" w:lineRule="auto"/>
        <w:ind w:left="0" w:firstLine="0"/>
        <w:contextualSpacing w:val="0"/>
        <w:rPr>
          <w:rFonts w:cs="Times New Roman"/>
          <w:b/>
          <w:bCs/>
          <w:i/>
          <w:iCs/>
          <w:sz w:val="24"/>
          <w:szCs w:val="24"/>
          <w:lang w:val="en-US"/>
        </w:rPr>
      </w:pPr>
      <w:r w:rsidRPr="00CA1BCB">
        <w:rPr>
          <w:rFonts w:cs="Times New Roman"/>
          <w:b/>
          <w:bCs/>
          <w:i/>
          <w:iCs/>
          <w:sz w:val="24"/>
          <w:szCs w:val="24"/>
          <w:lang w:val="en-US"/>
        </w:rPr>
        <w:t xml:space="preserve">Connectivity assessment </w:t>
      </w:r>
    </w:p>
    <w:p w14:paraId="42F57C05" w14:textId="124F4DE4" w:rsidR="00A97C15" w:rsidRPr="000207CA" w:rsidRDefault="00A97C15" w:rsidP="00D22FA2">
      <w:pPr>
        <w:pStyle w:val="ListParagraph"/>
        <w:adjustRightInd w:val="0"/>
        <w:snapToGrid w:val="0"/>
        <w:spacing w:after="0" w:line="480" w:lineRule="auto"/>
        <w:ind w:firstLine="720"/>
        <w:contextualSpacing w:val="0"/>
        <w:rPr>
          <w:rFonts w:cs="Times New Roman"/>
          <w:sz w:val="24"/>
          <w:szCs w:val="24"/>
          <w:lang w:val="en-US"/>
        </w:rPr>
      </w:pPr>
      <w:r w:rsidRPr="000207CA">
        <w:rPr>
          <w:rFonts w:cs="Times New Roman"/>
          <w:sz w:val="24"/>
          <w:szCs w:val="24"/>
          <w:lang w:val="en-US"/>
        </w:rPr>
        <w:t>“All measures of connectivity were calculated using the MANCOVAN toolbox</w:t>
      </w:r>
      <w:r w:rsidRPr="000207CA">
        <w:rPr>
          <w:rStyle w:val="FootnoteReference"/>
          <w:sz w:val="24"/>
          <w:szCs w:val="24"/>
        </w:rPr>
        <w:footnoteReference w:id="3"/>
      </w:r>
      <w:r w:rsidRPr="000207CA">
        <w:rPr>
          <w:rFonts w:cs="Times New Roman"/>
          <w:sz w:val="24"/>
          <w:szCs w:val="24"/>
          <w:lang w:val="en-US"/>
        </w:rPr>
        <w:t xml:space="preserve"> </w:t>
      </w:r>
      <w:r w:rsidRPr="000207CA">
        <w:rPr>
          <w:rFonts w:cs="Times New Roman"/>
          <w:noProof/>
          <w:sz w:val="24"/>
          <w:szCs w:val="24"/>
          <w:lang w:val="en-US"/>
        </w:rPr>
        <w:t>(Allen et al., 2011)</w:t>
      </w:r>
      <w:r w:rsidRPr="000207CA">
        <w:rPr>
          <w:rFonts w:cs="Times New Roman"/>
          <w:sz w:val="24"/>
          <w:szCs w:val="24"/>
          <w:lang w:val="en-US"/>
        </w:rPr>
        <w:t xml:space="preserve"> that is implemented in GIFT. </w:t>
      </w:r>
    </w:p>
    <w:p w14:paraId="5EA39E16" w14:textId="77777777" w:rsidR="00A97C15" w:rsidRPr="000207CA" w:rsidRDefault="00A97C15" w:rsidP="00D22FA2">
      <w:pPr>
        <w:pStyle w:val="ListParagraph"/>
        <w:adjustRightInd w:val="0"/>
        <w:snapToGrid w:val="0"/>
        <w:spacing w:after="0" w:line="480" w:lineRule="auto"/>
        <w:ind w:firstLine="720"/>
        <w:contextualSpacing w:val="0"/>
        <w:rPr>
          <w:rFonts w:cs="Times New Roman"/>
          <w:sz w:val="24"/>
          <w:szCs w:val="24"/>
          <w:lang w:val="en-US"/>
        </w:rPr>
      </w:pPr>
      <w:r w:rsidRPr="000207CA">
        <w:rPr>
          <w:rFonts w:cs="Times New Roman"/>
          <w:sz w:val="24"/>
          <w:szCs w:val="24"/>
          <w:lang w:val="en-US"/>
        </w:rPr>
        <w:t xml:space="preserve">FNC was estimated as the Pearson’s correlation of pairs of TCs </w:t>
      </w:r>
      <w:r w:rsidRPr="000207CA">
        <w:rPr>
          <w:rFonts w:cs="Times New Roman"/>
          <w:noProof/>
          <w:sz w:val="24"/>
          <w:szCs w:val="24"/>
          <w:lang w:val="en-US"/>
        </w:rPr>
        <w:t>(Allen et al., 2011; Jafri et al., 2008)</w:t>
      </w:r>
      <w:r w:rsidRPr="000207CA">
        <w:rPr>
          <w:rFonts w:cs="Times New Roman"/>
          <w:sz w:val="24"/>
          <w:szCs w:val="24"/>
          <w:lang w:val="en-US"/>
        </w:rPr>
        <w:t xml:space="preserve">. Subject-specific TCs were detrended and </w:t>
      </w:r>
      <w:proofErr w:type="spellStart"/>
      <w:r w:rsidRPr="000207CA">
        <w:rPr>
          <w:rFonts w:cs="Times New Roman"/>
          <w:sz w:val="24"/>
          <w:szCs w:val="24"/>
          <w:lang w:val="en-US"/>
        </w:rPr>
        <w:t>despiked</w:t>
      </w:r>
      <w:proofErr w:type="spellEnd"/>
      <w:r w:rsidRPr="000207CA">
        <w:rPr>
          <w:rFonts w:cs="Times New Roman"/>
          <w:sz w:val="24"/>
          <w:szCs w:val="24"/>
          <w:lang w:val="en-US"/>
        </w:rPr>
        <w:t xml:space="preserve"> using 3dDespike</w:t>
      </w:r>
      <w:r w:rsidRPr="000207CA">
        <w:rPr>
          <w:rStyle w:val="FootnoteReference"/>
          <w:sz w:val="24"/>
          <w:szCs w:val="24"/>
        </w:rPr>
        <w:footnoteReference w:id="4"/>
      </w:r>
      <w:r w:rsidRPr="000207CA">
        <w:rPr>
          <w:rFonts w:cs="Times New Roman"/>
          <w:sz w:val="24"/>
          <w:szCs w:val="24"/>
          <w:lang w:val="en-US"/>
        </w:rPr>
        <w:t xml:space="preserve">, then filtered using a fifth-order Butterworth low-pass filter with a high-frequency cut-off of 0.15 Hz. Subsequently, the variance associated with the motion parameter covariates was regressed out. For FNC statistical analysis, correlations were transformed to z-scores using Fisher’s transformation: </w:t>
      </w:r>
      <w:r w:rsidRPr="000207CA">
        <w:rPr>
          <w:rFonts w:cs="Times New Roman"/>
          <w:i/>
          <w:iCs/>
          <w:sz w:val="24"/>
          <w:szCs w:val="24"/>
          <w:lang w:val="en-US"/>
        </w:rPr>
        <w:t>z</w:t>
      </w:r>
      <w:r w:rsidRPr="000207CA">
        <w:rPr>
          <w:rFonts w:cs="Times New Roman"/>
          <w:sz w:val="24"/>
          <w:szCs w:val="24"/>
          <w:lang w:val="en-US"/>
        </w:rPr>
        <w:t>=</w:t>
      </w:r>
      <w:proofErr w:type="spellStart"/>
      <w:proofErr w:type="gramStart"/>
      <w:r w:rsidRPr="000207CA">
        <w:rPr>
          <w:rFonts w:cs="Times New Roman"/>
          <w:sz w:val="24"/>
          <w:szCs w:val="24"/>
          <w:lang w:val="en-US"/>
        </w:rPr>
        <w:t>atanh</w:t>
      </w:r>
      <w:proofErr w:type="spellEnd"/>
      <w:r w:rsidRPr="000207CA">
        <w:rPr>
          <w:rFonts w:cs="Times New Roman"/>
          <w:sz w:val="24"/>
          <w:szCs w:val="24"/>
          <w:lang w:val="en-US"/>
        </w:rPr>
        <w:t>(</w:t>
      </w:r>
      <w:proofErr w:type="gramEnd"/>
      <w:r w:rsidRPr="000207CA">
        <w:rPr>
          <w:rFonts w:cs="Times New Roman"/>
          <w:sz w:val="24"/>
          <w:szCs w:val="24"/>
          <w:lang w:val="en-US"/>
        </w:rPr>
        <w:t xml:space="preserve">FNC), as implemented in the MANCOVAN toolbox </w:t>
      </w:r>
      <w:r w:rsidRPr="000207CA">
        <w:rPr>
          <w:rFonts w:cs="Times New Roman"/>
          <w:noProof/>
          <w:sz w:val="24"/>
          <w:szCs w:val="24"/>
          <w:lang w:val="en-US"/>
        </w:rPr>
        <w:t>(Allen et al., 2011)</w:t>
      </w:r>
      <w:r w:rsidRPr="000207CA">
        <w:rPr>
          <w:rFonts w:cs="Times New Roman"/>
          <w:sz w:val="24"/>
          <w:szCs w:val="24"/>
          <w:lang w:val="en-US"/>
        </w:rPr>
        <w:t>.</w:t>
      </w:r>
      <w:r w:rsidRPr="000207CA" w:rsidDel="00E73534">
        <w:rPr>
          <w:rFonts w:cs="Times New Roman"/>
          <w:sz w:val="24"/>
          <w:szCs w:val="24"/>
          <w:lang w:val="en-US"/>
        </w:rPr>
        <w:t xml:space="preserve"> </w:t>
      </w:r>
    </w:p>
    <w:p w14:paraId="2AD95187" w14:textId="77777777" w:rsidR="000207CA" w:rsidRDefault="00A97C15" w:rsidP="00D22FA2">
      <w:pPr>
        <w:pStyle w:val="ListParagraph"/>
        <w:adjustRightInd w:val="0"/>
        <w:snapToGrid w:val="0"/>
        <w:spacing w:after="0" w:line="480" w:lineRule="auto"/>
        <w:ind w:firstLine="720"/>
        <w:contextualSpacing w:val="0"/>
        <w:rPr>
          <w:rFonts w:cs="Times New Roman"/>
          <w:noProof/>
          <w:sz w:val="24"/>
          <w:szCs w:val="24"/>
          <w:lang w:val="en-US"/>
        </w:rPr>
      </w:pPr>
      <w:r w:rsidRPr="000207CA">
        <w:rPr>
          <w:rFonts w:cs="Times New Roman"/>
          <w:sz w:val="24"/>
          <w:szCs w:val="24"/>
          <w:lang w:val="en-US"/>
        </w:rPr>
        <w:t xml:space="preserve">The ICN SMs were </w:t>
      </w:r>
      <w:proofErr w:type="spellStart"/>
      <w:r w:rsidRPr="000207CA">
        <w:rPr>
          <w:rFonts w:cs="Times New Roman"/>
          <w:sz w:val="24"/>
          <w:szCs w:val="24"/>
          <w:lang w:val="en-US"/>
        </w:rPr>
        <w:t>thresholded</w:t>
      </w:r>
      <w:proofErr w:type="spellEnd"/>
      <w:r w:rsidRPr="000207CA">
        <w:rPr>
          <w:rFonts w:cs="Times New Roman"/>
          <w:sz w:val="24"/>
          <w:szCs w:val="24"/>
          <w:lang w:val="en-US"/>
        </w:rPr>
        <w:t xml:space="preserve"> based on </w:t>
      </w:r>
      <w:proofErr w:type="spellStart"/>
      <w:r w:rsidRPr="000207CA">
        <w:rPr>
          <w:rFonts w:cs="Times New Roman"/>
          <w:sz w:val="24"/>
          <w:szCs w:val="24"/>
          <w:lang w:val="en-US"/>
        </w:rPr>
        <w:t>voxelwise</w:t>
      </w:r>
      <w:proofErr w:type="spellEnd"/>
      <w:r w:rsidRPr="000207CA">
        <w:rPr>
          <w:rFonts w:cs="Times New Roman"/>
          <w:sz w:val="24"/>
          <w:szCs w:val="24"/>
          <w:lang w:val="en-US"/>
        </w:rPr>
        <w:t xml:space="preserve"> t-statistics to limit the statistical analysis to voxels with strong and </w:t>
      </w:r>
      <w:proofErr w:type="gramStart"/>
      <w:r w:rsidRPr="000207CA">
        <w:rPr>
          <w:rFonts w:cs="Times New Roman"/>
          <w:sz w:val="24"/>
          <w:szCs w:val="24"/>
          <w:lang w:val="en-US"/>
        </w:rPr>
        <w:t>consisted</w:t>
      </w:r>
      <w:proofErr w:type="gramEnd"/>
      <w:r w:rsidRPr="000207CA">
        <w:rPr>
          <w:rFonts w:cs="Times New Roman"/>
          <w:sz w:val="24"/>
          <w:szCs w:val="24"/>
          <w:lang w:val="en-US"/>
        </w:rPr>
        <w:t xml:space="preserve"> activation across participants, as explained in </w:t>
      </w:r>
      <w:r w:rsidRPr="000207CA">
        <w:rPr>
          <w:rFonts w:cs="Times New Roman"/>
          <w:noProof/>
          <w:sz w:val="24"/>
          <w:szCs w:val="24"/>
          <w:lang w:val="en-US"/>
        </w:rPr>
        <w:lastRenderedPageBreak/>
        <w:t>Allen et al., (2011)</w:t>
      </w:r>
      <w:r w:rsidRPr="000207CA">
        <w:rPr>
          <w:rFonts w:cs="Times New Roman"/>
          <w:sz w:val="24"/>
          <w:szCs w:val="24"/>
          <w:lang w:val="en-US"/>
        </w:rPr>
        <w:t xml:space="preserve">. The threshold for voxel selection per SM was set at </w:t>
      </w:r>
      <m:oMath>
        <m:r>
          <w:rPr>
            <w:rFonts w:ascii="Cambria Math" w:hAnsi="Cambria Math" w:cs="Times New Roman"/>
            <w:sz w:val="24"/>
            <w:szCs w:val="24"/>
            <w:lang w:val="en-US"/>
          </w:rPr>
          <m:t>t&gt;μ+4σ</m:t>
        </m:r>
      </m:oMath>
      <w:r w:rsidRPr="000207CA">
        <w:rPr>
          <w:rFonts w:eastAsiaTheme="minorEastAsia" w:cs="Times New Roman"/>
          <w:sz w:val="24"/>
          <w:szCs w:val="24"/>
          <w:lang w:val="en-US"/>
        </w:rPr>
        <w:t xml:space="preserve"> across t-values (in the respective SM)</w:t>
      </w:r>
      <w:r w:rsidRPr="000207CA">
        <w:rPr>
          <w:rFonts w:cs="Times New Roman"/>
          <w:sz w:val="24"/>
          <w:szCs w:val="24"/>
          <w:lang w:val="en-US"/>
        </w:rPr>
        <w:t xml:space="preserve">. GIG-ICA automatically generates Z-scored ICs </w:t>
      </w:r>
      <w:r w:rsidRPr="000207CA">
        <w:rPr>
          <w:rFonts w:cs="Times New Roman"/>
          <w:noProof/>
          <w:sz w:val="24"/>
          <w:szCs w:val="24"/>
          <w:lang w:val="en-US"/>
        </w:rPr>
        <w:t>(Du and Fan, 2013)</w:t>
      </w:r>
      <w:r w:rsidRPr="000207CA">
        <w:rPr>
          <w:rFonts w:cs="Times New Roman"/>
          <w:sz w:val="24"/>
          <w:szCs w:val="24"/>
          <w:lang w:val="en-US"/>
        </w:rPr>
        <w:t xml:space="preserve">” </w:t>
      </w:r>
      <w:r w:rsidRPr="000207CA">
        <w:rPr>
          <w:rFonts w:cs="Times New Roman"/>
          <w:noProof/>
          <w:sz w:val="24"/>
          <w:szCs w:val="24"/>
          <w:lang w:val="en-US"/>
        </w:rPr>
        <w:t>(Bittencourt-Villalpando et al., 20</w:t>
      </w:r>
      <w:r w:rsidR="009E04AD">
        <w:rPr>
          <w:rFonts w:cs="Times New Roman"/>
          <w:noProof/>
          <w:sz w:val="24"/>
          <w:szCs w:val="24"/>
          <w:lang w:val="en-US"/>
        </w:rPr>
        <w:t>21)</w:t>
      </w:r>
      <w:r w:rsidR="0080652F">
        <w:rPr>
          <w:rFonts w:cs="Times New Roman"/>
          <w:noProof/>
          <w:sz w:val="24"/>
          <w:szCs w:val="24"/>
          <w:lang w:val="en-US"/>
        </w:rPr>
        <w:t>.</w:t>
      </w:r>
    </w:p>
    <w:p w14:paraId="2B053626" w14:textId="44C142CA" w:rsidR="00176234" w:rsidRDefault="00444EC0" w:rsidP="00D22FA2">
      <w:pPr>
        <w:pStyle w:val="ListParagraph"/>
        <w:numPr>
          <w:ilvl w:val="0"/>
          <w:numId w:val="2"/>
        </w:numPr>
        <w:adjustRightInd w:val="0"/>
        <w:snapToGrid w:val="0"/>
        <w:spacing w:after="0" w:line="480" w:lineRule="auto"/>
        <w:ind w:left="0" w:firstLine="0"/>
        <w:contextualSpacing w:val="0"/>
        <w:rPr>
          <w:rFonts w:cs="Times New Roman"/>
          <w:b/>
          <w:bCs/>
          <w:sz w:val="24"/>
          <w:szCs w:val="24"/>
          <w:lang w:val="en-US"/>
        </w:rPr>
      </w:pPr>
      <w:r w:rsidRPr="000207CA">
        <w:rPr>
          <w:rFonts w:cs="Times New Roman"/>
          <w:b/>
          <w:bCs/>
          <w:sz w:val="24"/>
          <w:szCs w:val="24"/>
          <w:lang w:val="en-US"/>
        </w:rPr>
        <w:t>Supplementary Results</w:t>
      </w:r>
    </w:p>
    <w:p w14:paraId="452C2A88" w14:textId="4C978FAB" w:rsidR="00176234" w:rsidRPr="00D17A49" w:rsidRDefault="00176234" w:rsidP="00D22FA2">
      <w:pPr>
        <w:pStyle w:val="ListParagraph"/>
        <w:adjustRightInd w:val="0"/>
        <w:snapToGrid w:val="0"/>
        <w:spacing w:after="0" w:line="480" w:lineRule="auto"/>
        <w:ind w:firstLine="720"/>
        <w:contextualSpacing w:val="0"/>
        <w:rPr>
          <w:rFonts w:cs="Times New Roman"/>
          <w:b/>
          <w:bCs/>
          <w:sz w:val="24"/>
          <w:szCs w:val="24"/>
          <w:lang w:val="en-US"/>
        </w:rPr>
      </w:pPr>
      <w:r w:rsidRPr="00D17A49">
        <w:rPr>
          <w:bCs/>
          <w:sz w:val="24"/>
          <w:szCs w:val="24"/>
          <w:lang w:val="en-US"/>
        </w:rPr>
        <w:t>An overview of the prevalence of individual complaints per group (older adults with mild traumatic brain injury; OA-</w:t>
      </w:r>
      <w:proofErr w:type="spellStart"/>
      <w:r w:rsidRPr="00D17A49">
        <w:rPr>
          <w:bCs/>
          <w:sz w:val="24"/>
          <w:szCs w:val="24"/>
          <w:lang w:val="en-US"/>
        </w:rPr>
        <w:t>mTBI</w:t>
      </w:r>
      <w:proofErr w:type="spellEnd"/>
      <w:r w:rsidRPr="00D17A49">
        <w:rPr>
          <w:bCs/>
          <w:sz w:val="24"/>
          <w:szCs w:val="24"/>
          <w:lang w:val="en-US"/>
        </w:rPr>
        <w:t xml:space="preserve"> or older adults-healthy controls; OA-HC) </w:t>
      </w:r>
      <w:r w:rsidRPr="00D17A49">
        <w:rPr>
          <w:sz w:val="24"/>
          <w:szCs w:val="24"/>
          <w:lang w:val="en-US"/>
        </w:rPr>
        <w:t>and the prevalence of post-traumatic symptoms within the OA-</w:t>
      </w:r>
      <w:proofErr w:type="spellStart"/>
      <w:r w:rsidRPr="00D17A49">
        <w:rPr>
          <w:sz w:val="24"/>
          <w:szCs w:val="24"/>
          <w:lang w:val="en-US"/>
        </w:rPr>
        <w:t>mTBI</w:t>
      </w:r>
      <w:proofErr w:type="spellEnd"/>
      <w:r w:rsidRPr="00D17A49">
        <w:rPr>
          <w:sz w:val="24"/>
          <w:szCs w:val="24"/>
          <w:lang w:val="en-US"/>
        </w:rPr>
        <w:t xml:space="preserve"> group</w:t>
      </w:r>
      <w:r w:rsidRPr="00D17A49">
        <w:rPr>
          <w:bCs/>
          <w:sz w:val="24"/>
          <w:szCs w:val="24"/>
          <w:lang w:val="en-US"/>
        </w:rPr>
        <w:t xml:space="preserve"> can be found in </w:t>
      </w:r>
      <w:r w:rsidRPr="00D17A49">
        <w:rPr>
          <w:sz w:val="24"/>
          <w:szCs w:val="24"/>
          <w:lang w:val="en-US"/>
        </w:rPr>
        <w:t>Figs. S1 and S2 below, respectively.</w:t>
      </w:r>
      <w:r w:rsidR="00AF4692" w:rsidRPr="00D17A49">
        <w:rPr>
          <w:sz w:val="24"/>
          <w:szCs w:val="24"/>
          <w:lang w:val="en-US"/>
        </w:rPr>
        <w:t xml:space="preserve"> Post-traumatic symptoms are defined as complaints that were new or had their severity increased after </w:t>
      </w:r>
      <w:proofErr w:type="spellStart"/>
      <w:r w:rsidR="00AF4692" w:rsidRPr="00D17A49">
        <w:rPr>
          <w:sz w:val="24"/>
          <w:szCs w:val="24"/>
          <w:lang w:val="en-US"/>
        </w:rPr>
        <w:t>mTBI</w:t>
      </w:r>
      <w:proofErr w:type="spellEnd"/>
      <w:r w:rsidR="00AF4692" w:rsidRPr="00D17A49">
        <w:rPr>
          <w:sz w:val="24"/>
          <w:szCs w:val="24"/>
          <w:lang w:val="en-US"/>
        </w:rPr>
        <w:t>.</w:t>
      </w:r>
    </w:p>
    <w:p w14:paraId="22407F62" w14:textId="2D84F003" w:rsidR="00D22FA2" w:rsidRPr="00CA1BCB" w:rsidRDefault="00C6044B" w:rsidP="00D22FA2">
      <w:pPr>
        <w:pStyle w:val="ListParagraph"/>
        <w:numPr>
          <w:ilvl w:val="1"/>
          <w:numId w:val="2"/>
        </w:numPr>
        <w:adjustRightInd w:val="0"/>
        <w:snapToGrid w:val="0"/>
        <w:spacing w:after="0" w:line="480" w:lineRule="auto"/>
        <w:ind w:left="0" w:firstLine="0"/>
        <w:contextualSpacing w:val="0"/>
        <w:rPr>
          <w:rFonts w:cs="Times New Roman"/>
          <w:b/>
          <w:bCs/>
          <w:i/>
          <w:iCs/>
          <w:sz w:val="24"/>
          <w:szCs w:val="24"/>
          <w:lang w:val="en-US"/>
        </w:rPr>
      </w:pPr>
      <w:r w:rsidRPr="00CA1BCB">
        <w:rPr>
          <w:rFonts w:cs="Times New Roman"/>
          <w:b/>
          <w:bCs/>
          <w:i/>
          <w:iCs/>
          <w:sz w:val="24"/>
          <w:szCs w:val="24"/>
          <w:lang w:val="en-US"/>
        </w:rPr>
        <w:t>Complaints and post-traumatic symptoms</w:t>
      </w:r>
    </w:p>
    <w:p w14:paraId="40EE73C4" w14:textId="4E466748" w:rsidR="00C6044B" w:rsidRPr="000207CA" w:rsidRDefault="00EE6F59" w:rsidP="00D22FA2">
      <w:pPr>
        <w:pStyle w:val="ListParagraph"/>
        <w:keepNext/>
        <w:adjustRightInd w:val="0"/>
        <w:snapToGrid w:val="0"/>
        <w:spacing w:after="0" w:line="480" w:lineRule="auto"/>
        <w:contextualSpacing w:val="0"/>
        <w:jc w:val="center"/>
        <w:rPr>
          <w:sz w:val="24"/>
          <w:szCs w:val="24"/>
          <w:lang w:val="en-US"/>
        </w:rPr>
      </w:pPr>
      <w:r>
        <w:rPr>
          <w:noProof/>
        </w:rPr>
        <w:drawing>
          <wp:inline distT="0" distB="0" distL="0" distR="0" wp14:anchorId="122BA785" wp14:editId="7886D013">
            <wp:extent cx="5731510" cy="3171190"/>
            <wp:effectExtent l="0" t="0" r="0" b="381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8"/>
                    <a:stretch>
                      <a:fillRect/>
                    </a:stretch>
                  </pic:blipFill>
                  <pic:spPr>
                    <a:xfrm>
                      <a:off x="0" y="0"/>
                      <a:ext cx="5731510" cy="3171190"/>
                    </a:xfrm>
                    <a:prstGeom prst="rect">
                      <a:avLst/>
                    </a:prstGeom>
                  </pic:spPr>
                </pic:pic>
              </a:graphicData>
            </a:graphic>
          </wp:inline>
        </w:drawing>
      </w:r>
    </w:p>
    <w:p w14:paraId="16DBF09C" w14:textId="3AF268E6" w:rsidR="00C6044B" w:rsidRPr="00D22FA2" w:rsidRDefault="00C6044B" w:rsidP="00D22FA2">
      <w:pPr>
        <w:pStyle w:val="Caption"/>
        <w:adjustRightInd w:val="0"/>
        <w:snapToGrid w:val="0"/>
        <w:spacing w:after="0" w:line="276" w:lineRule="auto"/>
        <w:rPr>
          <w:b w:val="0"/>
          <w:bCs w:val="0"/>
          <w:sz w:val="24"/>
          <w:szCs w:val="24"/>
          <w:lang w:val="en-US"/>
        </w:rPr>
      </w:pPr>
      <w:bookmarkStart w:id="2" w:name="_Ref66890036"/>
      <w:bookmarkStart w:id="3" w:name="_Ref66890030"/>
      <w:r w:rsidRPr="00D22FA2">
        <w:rPr>
          <w:sz w:val="24"/>
          <w:szCs w:val="24"/>
          <w:lang w:val="en-US"/>
        </w:rPr>
        <w:t xml:space="preserve">Figure </w:t>
      </w:r>
      <w:bookmarkEnd w:id="2"/>
      <w:r w:rsidR="000207CA" w:rsidRPr="00D22FA2">
        <w:rPr>
          <w:sz w:val="24"/>
          <w:szCs w:val="24"/>
          <w:lang w:val="en-US"/>
        </w:rPr>
        <w:t>S</w:t>
      </w:r>
      <w:r w:rsidRPr="00D22FA2">
        <w:rPr>
          <w:noProof/>
          <w:sz w:val="24"/>
          <w:szCs w:val="24"/>
          <w:lang w:val="en-US"/>
        </w:rPr>
        <w:t xml:space="preserve">1 </w:t>
      </w:r>
      <w:r w:rsidRPr="00D22FA2">
        <w:rPr>
          <w:sz w:val="24"/>
          <w:szCs w:val="24"/>
          <w:lang w:val="en-US"/>
        </w:rPr>
        <w:t>– Overview of the prevalence of complaints (%) per group</w:t>
      </w:r>
      <w:r w:rsidRPr="00D22FA2">
        <w:rPr>
          <w:b w:val="0"/>
          <w:bCs w:val="0"/>
          <w:sz w:val="24"/>
          <w:szCs w:val="24"/>
          <w:lang w:val="en-US"/>
        </w:rPr>
        <w:t xml:space="preserve"> (OA-</w:t>
      </w:r>
      <w:proofErr w:type="spellStart"/>
      <w:r w:rsidRPr="00D22FA2">
        <w:rPr>
          <w:b w:val="0"/>
          <w:bCs w:val="0"/>
          <w:sz w:val="24"/>
          <w:szCs w:val="24"/>
          <w:lang w:val="en-US"/>
        </w:rPr>
        <w:t>mTBI</w:t>
      </w:r>
      <w:proofErr w:type="spellEnd"/>
      <w:r w:rsidRPr="00D22FA2">
        <w:rPr>
          <w:b w:val="0"/>
          <w:bCs w:val="0"/>
          <w:sz w:val="24"/>
          <w:szCs w:val="24"/>
          <w:lang w:val="en-US"/>
        </w:rPr>
        <w:t xml:space="preserve">: older adults with </w:t>
      </w:r>
      <w:proofErr w:type="spellStart"/>
      <w:r w:rsidRPr="00D22FA2">
        <w:rPr>
          <w:b w:val="0"/>
          <w:bCs w:val="0"/>
          <w:sz w:val="24"/>
          <w:szCs w:val="24"/>
          <w:lang w:val="en-US"/>
        </w:rPr>
        <w:t>mTBI</w:t>
      </w:r>
      <w:proofErr w:type="spellEnd"/>
      <w:r w:rsidRPr="00D22FA2">
        <w:rPr>
          <w:b w:val="0"/>
          <w:bCs w:val="0"/>
          <w:sz w:val="24"/>
          <w:szCs w:val="24"/>
          <w:lang w:val="en-US"/>
        </w:rPr>
        <w:t xml:space="preserve">; OA-HC: older adults-healthy controls). </w:t>
      </w:r>
      <w:bookmarkStart w:id="4" w:name="_Hlk60678750"/>
      <w:r w:rsidRPr="00D22FA2">
        <w:rPr>
          <w:b w:val="0"/>
          <w:bCs w:val="0"/>
          <w:sz w:val="24"/>
          <w:szCs w:val="24"/>
          <w:lang w:val="en-US"/>
        </w:rPr>
        <w:t xml:space="preserve">Complaints ordered by prevalence in the older adults with </w:t>
      </w:r>
      <w:proofErr w:type="spellStart"/>
      <w:r w:rsidRPr="00D22FA2">
        <w:rPr>
          <w:b w:val="0"/>
          <w:bCs w:val="0"/>
          <w:sz w:val="24"/>
          <w:szCs w:val="24"/>
          <w:lang w:val="en-US"/>
        </w:rPr>
        <w:t>mTBI</w:t>
      </w:r>
      <w:proofErr w:type="spellEnd"/>
      <w:r w:rsidRPr="00D22FA2">
        <w:rPr>
          <w:b w:val="0"/>
          <w:bCs w:val="0"/>
          <w:sz w:val="24"/>
          <w:szCs w:val="24"/>
          <w:lang w:val="en-US"/>
        </w:rPr>
        <w:t xml:space="preserve"> group from highest to lowest. </w:t>
      </w:r>
      <w:bookmarkEnd w:id="4"/>
      <w:r w:rsidRPr="00D22FA2">
        <w:rPr>
          <w:b w:val="0"/>
          <w:bCs w:val="0"/>
          <w:sz w:val="24"/>
          <w:szCs w:val="24"/>
          <w:lang w:val="en-US"/>
        </w:rPr>
        <w:t>Asterisks indicated significant differences between groups (Chi-square tests; *p&lt;0.05, FDR-corrected; †p&lt;0.05, uncorrected).</w:t>
      </w:r>
      <w:bookmarkEnd w:id="3"/>
    </w:p>
    <w:p w14:paraId="0EAA5250" w14:textId="3D6ED438" w:rsidR="00C6044B" w:rsidRPr="000207CA" w:rsidRDefault="00EE6F59" w:rsidP="00D22FA2">
      <w:pPr>
        <w:keepNext/>
        <w:adjustRightInd w:val="0"/>
        <w:snapToGrid w:val="0"/>
        <w:spacing w:line="480" w:lineRule="auto"/>
        <w:jc w:val="center"/>
      </w:pPr>
      <w:r>
        <w:rPr>
          <w:noProof/>
        </w:rPr>
        <w:lastRenderedPageBreak/>
        <w:drawing>
          <wp:inline distT="0" distB="0" distL="0" distR="0" wp14:anchorId="4AEDF9A5" wp14:editId="5FD02EA0">
            <wp:extent cx="5731510" cy="3084195"/>
            <wp:effectExtent l="0" t="0" r="0" b="1905"/>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9"/>
                    <a:stretch>
                      <a:fillRect/>
                    </a:stretch>
                  </pic:blipFill>
                  <pic:spPr>
                    <a:xfrm>
                      <a:off x="0" y="0"/>
                      <a:ext cx="5731510" cy="3084195"/>
                    </a:xfrm>
                    <a:prstGeom prst="rect">
                      <a:avLst/>
                    </a:prstGeom>
                  </pic:spPr>
                </pic:pic>
              </a:graphicData>
            </a:graphic>
          </wp:inline>
        </w:drawing>
      </w:r>
    </w:p>
    <w:p w14:paraId="5951606E" w14:textId="034BDF99" w:rsidR="00AF4692" w:rsidRDefault="00C6044B" w:rsidP="00D17A49">
      <w:pPr>
        <w:pStyle w:val="Caption"/>
        <w:adjustRightInd w:val="0"/>
        <w:snapToGrid w:val="0"/>
        <w:spacing w:after="0" w:line="276" w:lineRule="auto"/>
        <w:rPr>
          <w:b w:val="0"/>
          <w:bCs w:val="0"/>
          <w:sz w:val="24"/>
          <w:szCs w:val="24"/>
          <w:lang w:val="en-US"/>
        </w:rPr>
      </w:pPr>
      <w:r w:rsidRPr="000207CA">
        <w:rPr>
          <w:sz w:val="24"/>
          <w:szCs w:val="24"/>
          <w:lang w:val="en-US"/>
        </w:rPr>
        <w:t xml:space="preserve">Figure </w:t>
      </w:r>
      <w:r w:rsidR="000207CA">
        <w:rPr>
          <w:sz w:val="24"/>
          <w:szCs w:val="24"/>
          <w:lang w:val="en-US"/>
        </w:rPr>
        <w:t>S</w:t>
      </w:r>
      <w:r w:rsidRPr="000207CA">
        <w:rPr>
          <w:sz w:val="24"/>
          <w:szCs w:val="24"/>
          <w:lang w:val="en-US"/>
        </w:rPr>
        <w:t>2 – Overview of the prevalence of post-traumatic symptoms (</w:t>
      </w:r>
      <w:proofErr w:type="gramStart"/>
      <w:r w:rsidR="001E2CF1" w:rsidRPr="000207CA">
        <w:rPr>
          <w:sz w:val="24"/>
          <w:szCs w:val="24"/>
          <w:lang w:val="en-US"/>
        </w:rPr>
        <w:t>i.e.</w:t>
      </w:r>
      <w:proofErr w:type="gramEnd"/>
      <w:r w:rsidR="00A06E1B" w:rsidRPr="000207CA">
        <w:rPr>
          <w:sz w:val="24"/>
          <w:szCs w:val="24"/>
          <w:lang w:val="en-US"/>
        </w:rPr>
        <w:t xml:space="preserve"> complaints that were new or had their severity increased after </w:t>
      </w:r>
      <w:proofErr w:type="spellStart"/>
      <w:r w:rsidR="00A06E1B" w:rsidRPr="000207CA">
        <w:rPr>
          <w:sz w:val="24"/>
          <w:szCs w:val="24"/>
          <w:lang w:val="en-US"/>
        </w:rPr>
        <w:t>mTBI</w:t>
      </w:r>
      <w:proofErr w:type="spellEnd"/>
      <w:r w:rsidR="00A06E1B" w:rsidRPr="000207CA">
        <w:rPr>
          <w:sz w:val="24"/>
          <w:szCs w:val="24"/>
          <w:lang w:val="en-US"/>
        </w:rPr>
        <w:t>;</w:t>
      </w:r>
      <w:r w:rsidR="001E2CF1" w:rsidRPr="000207CA">
        <w:rPr>
          <w:sz w:val="24"/>
          <w:szCs w:val="24"/>
          <w:lang w:val="en-US"/>
        </w:rPr>
        <w:t xml:space="preserve"> </w:t>
      </w:r>
      <w:r w:rsidRPr="000207CA">
        <w:rPr>
          <w:sz w:val="24"/>
          <w:szCs w:val="24"/>
          <w:lang w:val="en-US"/>
        </w:rPr>
        <w:t>%) for</w:t>
      </w:r>
      <w:r w:rsidRPr="000207CA">
        <w:rPr>
          <w:b w:val="0"/>
          <w:bCs w:val="0"/>
          <w:sz w:val="24"/>
          <w:szCs w:val="24"/>
          <w:lang w:val="en-US"/>
        </w:rPr>
        <w:t xml:space="preserve"> </w:t>
      </w:r>
      <w:r w:rsidRPr="000207CA">
        <w:rPr>
          <w:sz w:val="24"/>
          <w:szCs w:val="24"/>
          <w:lang w:val="en-US"/>
        </w:rPr>
        <w:t xml:space="preserve">older adults with </w:t>
      </w:r>
      <w:proofErr w:type="spellStart"/>
      <w:r w:rsidRPr="000207CA">
        <w:rPr>
          <w:sz w:val="24"/>
          <w:szCs w:val="24"/>
          <w:lang w:val="en-US"/>
        </w:rPr>
        <w:t>mTBI</w:t>
      </w:r>
      <w:proofErr w:type="spellEnd"/>
      <w:r w:rsidRPr="000207CA">
        <w:rPr>
          <w:b w:val="0"/>
          <w:bCs w:val="0"/>
          <w:sz w:val="24"/>
          <w:szCs w:val="24"/>
          <w:lang w:val="en-US"/>
        </w:rPr>
        <w:t xml:space="preserve"> (OA-</w:t>
      </w:r>
      <w:proofErr w:type="spellStart"/>
      <w:r w:rsidRPr="000207CA">
        <w:rPr>
          <w:b w:val="0"/>
          <w:bCs w:val="0"/>
          <w:sz w:val="24"/>
          <w:szCs w:val="24"/>
          <w:lang w:val="en-US"/>
        </w:rPr>
        <w:t>mTBI</w:t>
      </w:r>
      <w:proofErr w:type="spellEnd"/>
      <w:r w:rsidRPr="000207CA">
        <w:rPr>
          <w:b w:val="0"/>
          <w:bCs w:val="0"/>
          <w:sz w:val="24"/>
          <w:szCs w:val="24"/>
          <w:lang w:val="en-US"/>
        </w:rPr>
        <w:t>). Post-traumatic symptoms ordered by prevalence in the OA-</w:t>
      </w:r>
      <w:proofErr w:type="spellStart"/>
      <w:r w:rsidRPr="000207CA">
        <w:rPr>
          <w:b w:val="0"/>
          <w:bCs w:val="0"/>
          <w:sz w:val="24"/>
          <w:szCs w:val="24"/>
          <w:lang w:val="en-US"/>
        </w:rPr>
        <w:t>mTBI</w:t>
      </w:r>
      <w:proofErr w:type="spellEnd"/>
      <w:r w:rsidRPr="000207CA">
        <w:rPr>
          <w:b w:val="0"/>
          <w:bCs w:val="0"/>
          <w:sz w:val="24"/>
          <w:szCs w:val="24"/>
          <w:lang w:val="en-US"/>
        </w:rPr>
        <w:t xml:space="preserve"> group from highest to lowest.</w:t>
      </w:r>
    </w:p>
    <w:p w14:paraId="10CD9BBE" w14:textId="77777777" w:rsidR="00D17A49" w:rsidRPr="00D17A49" w:rsidRDefault="00D17A49" w:rsidP="00D17A49">
      <w:pPr>
        <w:rPr>
          <w:lang w:val="en-US"/>
        </w:rPr>
      </w:pPr>
    </w:p>
    <w:p w14:paraId="7E64B903" w14:textId="594D5DCE" w:rsidR="00D014F5" w:rsidRPr="00CA1BCB" w:rsidRDefault="00D014F5" w:rsidP="00D22FA2">
      <w:pPr>
        <w:pStyle w:val="ListParagraph"/>
        <w:numPr>
          <w:ilvl w:val="1"/>
          <w:numId w:val="2"/>
        </w:numPr>
        <w:adjustRightInd w:val="0"/>
        <w:snapToGrid w:val="0"/>
        <w:spacing w:after="0" w:line="480" w:lineRule="auto"/>
        <w:ind w:left="0" w:firstLine="0"/>
        <w:contextualSpacing w:val="0"/>
        <w:rPr>
          <w:rFonts w:cs="Times New Roman"/>
          <w:b/>
          <w:bCs/>
          <w:i/>
          <w:iCs/>
          <w:sz w:val="24"/>
          <w:szCs w:val="24"/>
          <w:lang w:val="en-US"/>
        </w:rPr>
      </w:pPr>
      <w:r w:rsidRPr="00CA1BCB">
        <w:rPr>
          <w:rFonts w:cs="Times New Roman"/>
          <w:b/>
          <w:bCs/>
          <w:i/>
          <w:iCs/>
          <w:sz w:val="24"/>
          <w:szCs w:val="24"/>
          <w:lang w:val="en-US"/>
        </w:rPr>
        <w:t>Group ICA and RSNs</w:t>
      </w:r>
    </w:p>
    <w:p w14:paraId="18AA4E00" w14:textId="2E2F55AF" w:rsidR="00906633" w:rsidRPr="000207CA" w:rsidRDefault="00D014F5" w:rsidP="00D22FA2">
      <w:pPr>
        <w:adjustRightInd w:val="0"/>
        <w:snapToGrid w:val="0"/>
        <w:spacing w:line="480" w:lineRule="auto"/>
        <w:ind w:firstLine="720"/>
        <w:rPr>
          <w:lang w:val="en-US"/>
        </w:rPr>
      </w:pPr>
      <w:r w:rsidRPr="000207CA">
        <w:rPr>
          <w:lang w:val="en-US"/>
        </w:rPr>
        <w:t xml:space="preserve">The group ICA resulted in Nc = 15 ICs, which were all identified as ICNs (C = 15) and grouped into </w:t>
      </w:r>
      <w:r w:rsidR="001E2CF1" w:rsidRPr="000207CA">
        <w:rPr>
          <w:lang w:val="en-US"/>
        </w:rPr>
        <w:t xml:space="preserve">five </w:t>
      </w:r>
      <w:r w:rsidRPr="000207CA">
        <w:rPr>
          <w:lang w:val="en-US"/>
        </w:rPr>
        <w:t xml:space="preserve">functional domains (see Fig. </w:t>
      </w:r>
      <w:r w:rsidR="00176234">
        <w:rPr>
          <w:lang w:val="en-US"/>
        </w:rPr>
        <w:t>S3</w:t>
      </w:r>
      <w:r w:rsidRPr="000207CA">
        <w:rPr>
          <w:lang w:val="en-US"/>
        </w:rPr>
        <w:t>). The final set included two ICNs for the Default-Mode (DM), five for the cognitive-control (Cog-C), three for the visu</w:t>
      </w:r>
      <w:r w:rsidR="002F1BB0" w:rsidRPr="000207CA">
        <w:rPr>
          <w:lang w:val="en-US"/>
        </w:rPr>
        <w:t>al(</w:t>
      </w:r>
      <w:r w:rsidRPr="000207CA">
        <w:rPr>
          <w:lang w:val="en-US"/>
        </w:rPr>
        <w:t>-cerebellar</w:t>
      </w:r>
      <w:r w:rsidR="002F1BB0" w:rsidRPr="000207CA">
        <w:rPr>
          <w:lang w:val="en-US"/>
        </w:rPr>
        <w:t>)</w:t>
      </w:r>
      <w:r w:rsidRPr="000207CA">
        <w:rPr>
          <w:lang w:val="en-US"/>
        </w:rPr>
        <w:t xml:space="preserve"> (Vis-CB), </w:t>
      </w:r>
      <w:r w:rsidR="002F1BB0" w:rsidRPr="000207CA">
        <w:rPr>
          <w:lang w:val="en-US"/>
        </w:rPr>
        <w:t xml:space="preserve">two for the sensorimotor (SMO), and three for a mixed domain. The mixed domain consists of three ICNs with high activation in more than one functional domain, namely ICN13 (cognitive-control and language domains; Cog-C/Lan), ICN 14 (sensorimotor, language and limbic domains; SMO/Lan/Lim), and ICN15 (auditory and cognitive-control domains; </w:t>
      </w:r>
      <w:proofErr w:type="spellStart"/>
      <w:r w:rsidR="002F1BB0" w:rsidRPr="000207CA">
        <w:rPr>
          <w:lang w:val="en-US"/>
        </w:rPr>
        <w:t>Aud</w:t>
      </w:r>
      <w:proofErr w:type="spellEnd"/>
      <w:r w:rsidR="002F1BB0" w:rsidRPr="000207CA">
        <w:rPr>
          <w:lang w:val="en-US"/>
        </w:rPr>
        <w:t>/Cog-C).</w:t>
      </w:r>
    </w:p>
    <w:p w14:paraId="70FF8F8B" w14:textId="79906434" w:rsidR="00D014F5" w:rsidRPr="00A91071" w:rsidRDefault="0080652F" w:rsidP="0080652F">
      <w:r w:rsidRPr="0080652F">
        <w:lastRenderedPageBreak/>
        <w:drawing>
          <wp:inline distT="0" distB="0" distL="0" distR="0" wp14:anchorId="242497C6" wp14:editId="1917FF9C">
            <wp:extent cx="5731510" cy="3276600"/>
            <wp:effectExtent l="0" t="0" r="0" b="0"/>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pic:nvPicPr>
                  <pic:blipFill>
                    <a:blip r:embed="rId10" cstate="print">
                      <a:extLst>
                        <a:ext uri="{28A0092B-C50C-407E-A947-70E740481C1C}">
                          <a14:useLocalDpi xmlns:a14="http://schemas.microsoft.com/office/drawing/2010/main"/>
                        </a:ext>
                      </a:extLst>
                    </a:blip>
                    <a:stretch>
                      <a:fillRect/>
                    </a:stretch>
                  </pic:blipFill>
                  <pic:spPr>
                    <a:xfrm>
                      <a:off x="0" y="0"/>
                      <a:ext cx="5731510" cy="3276600"/>
                    </a:xfrm>
                    <a:prstGeom prst="rect">
                      <a:avLst/>
                    </a:prstGeom>
                  </pic:spPr>
                </pic:pic>
              </a:graphicData>
            </a:graphic>
          </wp:inline>
        </w:drawing>
      </w:r>
    </w:p>
    <w:p w14:paraId="34FB31E7" w14:textId="3ADC937B" w:rsidR="00444EC0" w:rsidRDefault="00D014F5" w:rsidP="00D22FA2">
      <w:pPr>
        <w:pStyle w:val="Caption"/>
        <w:adjustRightInd w:val="0"/>
        <w:snapToGrid w:val="0"/>
        <w:spacing w:after="0" w:line="360" w:lineRule="auto"/>
        <w:rPr>
          <w:rFonts w:cs="Times New Roman"/>
          <w:b w:val="0"/>
          <w:bCs w:val="0"/>
          <w:sz w:val="24"/>
          <w:szCs w:val="24"/>
          <w:lang w:val="en-US"/>
        </w:rPr>
      </w:pPr>
      <w:bookmarkStart w:id="5" w:name="_Ref62067006"/>
      <w:r w:rsidRPr="000207CA">
        <w:rPr>
          <w:sz w:val="24"/>
          <w:szCs w:val="24"/>
          <w:lang w:val="en-US"/>
        </w:rPr>
        <w:t xml:space="preserve">Figure </w:t>
      </w:r>
      <w:bookmarkEnd w:id="5"/>
      <w:r w:rsidR="000207CA">
        <w:rPr>
          <w:sz w:val="24"/>
          <w:szCs w:val="24"/>
          <w:lang w:val="en-US"/>
        </w:rPr>
        <w:t>S</w:t>
      </w:r>
      <w:r w:rsidR="00C6044B" w:rsidRPr="000207CA">
        <w:rPr>
          <w:noProof/>
          <w:sz w:val="24"/>
          <w:szCs w:val="24"/>
          <w:lang w:val="en-US"/>
        </w:rPr>
        <w:t>3</w:t>
      </w:r>
      <w:r w:rsidRPr="000207CA">
        <w:rPr>
          <w:rFonts w:cs="Times New Roman"/>
          <w:sz w:val="24"/>
          <w:szCs w:val="24"/>
          <w:lang w:val="en-US"/>
        </w:rPr>
        <w:t xml:space="preserve"> </w:t>
      </w:r>
      <w:r w:rsidRPr="000207CA">
        <w:rPr>
          <w:rFonts w:cs="Times New Roman"/>
          <w:b w:val="0"/>
          <w:bCs w:val="0"/>
          <w:sz w:val="24"/>
          <w:szCs w:val="24"/>
          <w:lang w:val="en-US"/>
        </w:rPr>
        <w:t>-</w:t>
      </w:r>
      <w:r w:rsidRPr="000207CA">
        <w:rPr>
          <w:rFonts w:cs="Times New Roman"/>
          <w:sz w:val="24"/>
          <w:szCs w:val="24"/>
          <w:lang w:val="en-US"/>
        </w:rPr>
        <w:t xml:space="preserve"> </w:t>
      </w:r>
      <w:r w:rsidRPr="000207CA">
        <w:rPr>
          <w:rFonts w:cs="Times New Roman"/>
          <w:b w:val="0"/>
          <w:bCs w:val="0"/>
          <w:sz w:val="24"/>
          <w:szCs w:val="24"/>
          <w:lang w:val="en-US"/>
        </w:rPr>
        <w:t xml:space="preserve">Spatial maps of the 15 intrinsic connectivity networks (ICNs) identified as belonging to functional domains, </w:t>
      </w:r>
      <w:proofErr w:type="spellStart"/>
      <w:r w:rsidRPr="000207CA">
        <w:rPr>
          <w:rFonts w:cs="Times New Roman"/>
          <w:b w:val="0"/>
          <w:bCs w:val="0"/>
          <w:sz w:val="24"/>
          <w:szCs w:val="24"/>
          <w:lang w:val="en-US"/>
        </w:rPr>
        <w:t>thresholded</w:t>
      </w:r>
      <w:proofErr w:type="spellEnd"/>
      <w:r w:rsidRPr="000207CA">
        <w:rPr>
          <w:rFonts w:cs="Times New Roman"/>
          <w:b w:val="0"/>
          <w:bCs w:val="0"/>
          <w:sz w:val="24"/>
          <w:szCs w:val="24"/>
          <w:lang w:val="en-US"/>
        </w:rPr>
        <w:t xml:space="preserve"> at z-score &gt; 3.</w:t>
      </w:r>
      <w:r w:rsidR="001E2CF1" w:rsidRPr="000207CA">
        <w:rPr>
          <w:rFonts w:cs="Times New Roman"/>
          <w:b w:val="0"/>
          <w:bCs w:val="0"/>
          <w:sz w:val="24"/>
          <w:szCs w:val="24"/>
          <w:lang w:val="en-US"/>
        </w:rPr>
        <w:t xml:space="preserve"> Cog-C: cognitive-control; SMO: Sensorimotor. </w:t>
      </w:r>
    </w:p>
    <w:p w14:paraId="3B129CCB" w14:textId="77777777" w:rsidR="00D17A49" w:rsidRPr="00D17A49" w:rsidRDefault="00D17A49" w:rsidP="00D17A49">
      <w:pPr>
        <w:rPr>
          <w:lang w:val="en-US"/>
        </w:rPr>
      </w:pPr>
    </w:p>
    <w:p w14:paraId="5B8050F2" w14:textId="26ABFC77" w:rsidR="00444EC0" w:rsidRPr="00CA1BCB" w:rsidRDefault="00444EC0" w:rsidP="00D22FA2">
      <w:pPr>
        <w:pStyle w:val="ListParagraph"/>
        <w:numPr>
          <w:ilvl w:val="1"/>
          <w:numId w:val="2"/>
        </w:numPr>
        <w:adjustRightInd w:val="0"/>
        <w:snapToGrid w:val="0"/>
        <w:spacing w:after="0" w:line="480" w:lineRule="auto"/>
        <w:ind w:left="0" w:firstLine="0"/>
        <w:contextualSpacing w:val="0"/>
        <w:rPr>
          <w:rFonts w:cs="Times New Roman"/>
          <w:b/>
          <w:bCs/>
          <w:i/>
          <w:iCs/>
          <w:sz w:val="24"/>
          <w:szCs w:val="24"/>
          <w:lang w:val="en-US"/>
        </w:rPr>
      </w:pPr>
      <w:r w:rsidRPr="00CA1BCB">
        <w:rPr>
          <w:rFonts w:cs="Times New Roman"/>
          <w:b/>
          <w:bCs/>
          <w:i/>
          <w:iCs/>
          <w:sz w:val="24"/>
          <w:szCs w:val="24"/>
          <w:lang w:val="en-US"/>
        </w:rPr>
        <w:t>Multivariate Analysis</w:t>
      </w:r>
    </w:p>
    <w:p w14:paraId="2FF62021" w14:textId="5DFC2BF6" w:rsidR="00AF4692" w:rsidRDefault="00AF4692" w:rsidP="00D22FA2">
      <w:pPr>
        <w:adjustRightInd w:val="0"/>
        <w:snapToGrid w:val="0"/>
        <w:spacing w:line="480" w:lineRule="auto"/>
        <w:ind w:firstLine="720"/>
        <w:rPr>
          <w:lang w:val="en-US"/>
        </w:rPr>
      </w:pPr>
      <w:r w:rsidRPr="00AF4692">
        <w:rPr>
          <w:lang w:val="en-US"/>
        </w:rPr>
        <w:t>The results from the multivariate tests representing the significance of the covariates of interest in predicting SMI and FNC for the 15 identified ICNs are shown in the Fig. S4.</w:t>
      </w:r>
      <w:r>
        <w:rPr>
          <w:lang w:val="en-US"/>
        </w:rPr>
        <w:t xml:space="preserve"> </w:t>
      </w:r>
      <w:r w:rsidR="00444EC0" w:rsidRPr="00176234">
        <w:rPr>
          <w:lang w:val="en-US"/>
        </w:rPr>
        <w:t xml:space="preserve">Group, </w:t>
      </w:r>
      <w:proofErr w:type="gramStart"/>
      <w:r w:rsidR="00444EC0" w:rsidRPr="00176234">
        <w:rPr>
          <w:lang w:val="en-US"/>
        </w:rPr>
        <w:t>sqrt(</w:t>
      </w:r>
      <w:proofErr w:type="gramEnd"/>
      <w:r w:rsidR="00444EC0" w:rsidRPr="00176234">
        <w:rPr>
          <w:lang w:val="en-US"/>
        </w:rPr>
        <w:t>HISC) and the interaction term sqrt(HISC) × group were retained as predictors for SM</w:t>
      </w:r>
      <w:r w:rsidR="001E2CF1" w:rsidRPr="00176234">
        <w:rPr>
          <w:lang w:val="en-US"/>
        </w:rPr>
        <w:t>I</w:t>
      </w:r>
      <w:r w:rsidR="00444EC0" w:rsidRPr="00176234">
        <w:rPr>
          <w:lang w:val="en-US"/>
        </w:rPr>
        <w:t xml:space="preserve"> of several ICNs. Age </w:t>
      </w:r>
      <w:r>
        <w:rPr>
          <w:lang w:val="en-US"/>
        </w:rPr>
        <w:t xml:space="preserve">was retained as a predictor only for ICN12. </w:t>
      </w:r>
      <w:r w:rsidRPr="00AF4692">
        <w:rPr>
          <w:lang w:val="en-US"/>
        </w:rPr>
        <w:t xml:space="preserve">None of the covariates of interest were retained as predictors for FNC. </w:t>
      </w:r>
    </w:p>
    <w:p w14:paraId="3DAAAE4D" w14:textId="1F11EA41" w:rsidR="00444EC0" w:rsidRPr="00D17A49" w:rsidRDefault="00444EC0" w:rsidP="00D17A49">
      <w:pPr>
        <w:adjustRightInd w:val="0"/>
        <w:snapToGrid w:val="0"/>
        <w:spacing w:line="480" w:lineRule="auto"/>
        <w:ind w:firstLine="720"/>
        <w:rPr>
          <w:lang w:val="en-US"/>
        </w:rPr>
      </w:pPr>
      <w:r w:rsidRPr="00176234">
        <w:rPr>
          <w:lang w:val="en-US"/>
        </w:rPr>
        <w:t>FD w</w:t>
      </w:r>
      <w:r w:rsidR="00AF4692">
        <w:rPr>
          <w:lang w:val="en-US"/>
        </w:rPr>
        <w:t>as</w:t>
      </w:r>
      <w:r w:rsidRPr="00176234">
        <w:rPr>
          <w:lang w:val="en-US"/>
        </w:rPr>
        <w:t xml:space="preserve"> found to be predictor for SM</w:t>
      </w:r>
      <w:r w:rsidR="001E2CF1" w:rsidRPr="00176234">
        <w:rPr>
          <w:lang w:val="en-US"/>
        </w:rPr>
        <w:t>I</w:t>
      </w:r>
      <w:r w:rsidRPr="00176234">
        <w:rPr>
          <w:lang w:val="en-US"/>
        </w:rPr>
        <w:t xml:space="preserve"> of </w:t>
      </w:r>
      <w:r w:rsidR="00AF4692">
        <w:rPr>
          <w:lang w:val="en-US"/>
        </w:rPr>
        <w:t xml:space="preserve">only for ICN4, suggesting low motion </w:t>
      </w:r>
      <w:r w:rsidR="003E7BFB">
        <w:rPr>
          <w:lang w:val="en-US"/>
        </w:rPr>
        <w:t>contamination of ICN spatial maps</w:t>
      </w:r>
      <w:r w:rsidRPr="00176234">
        <w:rPr>
          <w:lang w:val="en-US"/>
        </w:rPr>
        <w:t xml:space="preserve">. </w:t>
      </w:r>
      <w:r w:rsidR="003E7BFB">
        <w:rPr>
          <w:lang w:val="en-US"/>
        </w:rPr>
        <w:t>However</w:t>
      </w:r>
      <w:r w:rsidRPr="00176234">
        <w:rPr>
          <w:lang w:val="en-US"/>
        </w:rPr>
        <w:t>, FD was found as a predictor for FNC</w:t>
      </w:r>
      <w:r w:rsidR="00906633" w:rsidRPr="00176234">
        <w:rPr>
          <w:lang w:val="en-US"/>
        </w:rPr>
        <w:t xml:space="preserve">, </w:t>
      </w:r>
      <w:r w:rsidRPr="00176234">
        <w:rPr>
          <w:lang w:val="en-US"/>
        </w:rPr>
        <w:t>support</w:t>
      </w:r>
      <w:r w:rsidR="00906633" w:rsidRPr="00176234">
        <w:rPr>
          <w:lang w:val="en-US"/>
        </w:rPr>
        <w:t>ing</w:t>
      </w:r>
      <w:r w:rsidRPr="00176234">
        <w:rPr>
          <w:lang w:val="en-US"/>
        </w:rPr>
        <w:t xml:space="preserve"> the incorporation of FD as a nuisance covariate for the analysis of connectivity measures. </w:t>
      </w:r>
    </w:p>
    <w:p w14:paraId="713141D1" w14:textId="7553BA37" w:rsidR="00444EC0" w:rsidRPr="00D22FA2" w:rsidRDefault="0080652F" w:rsidP="00D22FA2">
      <w:pPr>
        <w:adjustRightInd w:val="0"/>
        <w:snapToGrid w:val="0"/>
        <w:spacing w:line="480" w:lineRule="auto"/>
        <w:jc w:val="center"/>
      </w:pPr>
      <w:r w:rsidRPr="0080652F">
        <w:lastRenderedPageBreak/>
        <w:drawing>
          <wp:inline distT="0" distB="0" distL="0" distR="0" wp14:anchorId="66D59A82" wp14:editId="48B5B80C">
            <wp:extent cx="5731510" cy="3223260"/>
            <wp:effectExtent l="0" t="0" r="0" b="254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1" cstate="print">
                      <a:extLst>
                        <a:ext uri="{28A0092B-C50C-407E-A947-70E740481C1C}">
                          <a14:useLocalDpi xmlns:a14="http://schemas.microsoft.com/office/drawing/2010/main"/>
                        </a:ext>
                      </a:extLst>
                    </a:blip>
                    <a:stretch>
                      <a:fillRect/>
                    </a:stretch>
                  </pic:blipFill>
                  <pic:spPr>
                    <a:xfrm>
                      <a:off x="0" y="0"/>
                      <a:ext cx="5731510" cy="3223260"/>
                    </a:xfrm>
                    <a:prstGeom prst="rect">
                      <a:avLst/>
                    </a:prstGeom>
                  </pic:spPr>
                </pic:pic>
              </a:graphicData>
            </a:graphic>
          </wp:inline>
        </w:drawing>
      </w:r>
    </w:p>
    <w:p w14:paraId="65DF0B96" w14:textId="30B74523" w:rsidR="00706911" w:rsidRPr="0080652F" w:rsidRDefault="00444EC0" w:rsidP="00D22FA2">
      <w:pPr>
        <w:pStyle w:val="Caption"/>
        <w:adjustRightInd w:val="0"/>
        <w:snapToGrid w:val="0"/>
        <w:spacing w:after="0" w:line="360" w:lineRule="auto"/>
        <w:rPr>
          <w:b w:val="0"/>
          <w:bCs w:val="0"/>
          <w:sz w:val="24"/>
          <w:szCs w:val="24"/>
          <w:lang w:val="en-US"/>
        </w:rPr>
      </w:pPr>
      <w:bookmarkStart w:id="6" w:name="_Ref65754287"/>
      <w:r w:rsidRPr="000207CA">
        <w:rPr>
          <w:sz w:val="24"/>
          <w:szCs w:val="24"/>
          <w:lang w:val="en-US"/>
        </w:rPr>
        <w:t xml:space="preserve">Figure </w:t>
      </w:r>
      <w:r w:rsidR="005F09B5">
        <w:rPr>
          <w:sz w:val="24"/>
          <w:szCs w:val="24"/>
          <w:lang w:val="en-US"/>
        </w:rPr>
        <w:t>S</w:t>
      </w:r>
      <w:r w:rsidR="00C6044B" w:rsidRPr="000207CA">
        <w:rPr>
          <w:noProof/>
          <w:sz w:val="24"/>
          <w:szCs w:val="24"/>
          <w:lang w:val="en-US"/>
        </w:rPr>
        <w:t>4</w:t>
      </w:r>
      <w:r w:rsidRPr="000207CA">
        <w:rPr>
          <w:sz w:val="24"/>
          <w:szCs w:val="24"/>
          <w:lang w:val="en-US"/>
        </w:rPr>
        <w:t xml:space="preserve"> – </w:t>
      </w:r>
      <w:r w:rsidRPr="000207CA">
        <w:rPr>
          <w:b w:val="0"/>
          <w:bCs w:val="0"/>
          <w:sz w:val="24"/>
          <w:szCs w:val="24"/>
          <w:lang w:val="en-US"/>
        </w:rPr>
        <w:t>Results from the multivariate tests showing the significance of the covariates of interest and nuisance covariates for spatial maps intensities, time courses spectra and FNC. Gray squares represent model terms that were not retained in the backward selection process (</w:t>
      </w:r>
      <w:r w:rsidRPr="000207CA">
        <w:rPr>
          <w:b w:val="0"/>
          <w:bCs w:val="0"/>
          <w:sz w:val="24"/>
          <w:szCs w:val="24"/>
          <w:lang w:val="en-US"/>
        </w:rPr>
        <w:sym w:font="Symbol" w:char="F061"/>
      </w:r>
      <w:r w:rsidRPr="000207CA">
        <w:rPr>
          <w:b w:val="0"/>
          <w:bCs w:val="0"/>
          <w:sz w:val="24"/>
          <w:szCs w:val="24"/>
          <w:lang w:val="en-US"/>
        </w:rPr>
        <w:t xml:space="preserve"> = 0.05).</w:t>
      </w:r>
      <w:bookmarkEnd w:id="6"/>
      <w:r w:rsidR="0080652F" w:rsidRPr="0080652F">
        <w:rPr>
          <w:noProof/>
          <w:lang w:val="en-US"/>
        </w:rPr>
        <w:t xml:space="preserve"> </w:t>
      </w:r>
    </w:p>
    <w:sectPr w:rsidR="00706911" w:rsidRPr="008065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82765" w14:textId="77777777" w:rsidR="00AC5A75" w:rsidRDefault="00AC5A75" w:rsidP="007A0755">
      <w:r>
        <w:separator/>
      </w:r>
    </w:p>
  </w:endnote>
  <w:endnote w:type="continuationSeparator" w:id="0">
    <w:p w14:paraId="610EF672" w14:textId="77777777" w:rsidR="00AC5A75" w:rsidRDefault="00AC5A75" w:rsidP="007A0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46FD3" w14:textId="77777777" w:rsidR="00AC5A75" w:rsidRDefault="00AC5A75" w:rsidP="007A0755">
      <w:r>
        <w:separator/>
      </w:r>
    </w:p>
  </w:footnote>
  <w:footnote w:type="continuationSeparator" w:id="0">
    <w:p w14:paraId="3510E5B4" w14:textId="77777777" w:rsidR="00AC5A75" w:rsidRDefault="00AC5A75" w:rsidP="007A0755">
      <w:r>
        <w:continuationSeparator/>
      </w:r>
    </w:p>
  </w:footnote>
  <w:footnote w:id="1">
    <w:p w14:paraId="26EA8798" w14:textId="77777777" w:rsidR="007A0755" w:rsidRPr="00262B16" w:rsidRDefault="007A0755" w:rsidP="007A0755">
      <w:pPr>
        <w:pStyle w:val="FootnoteText"/>
        <w:rPr>
          <w:lang w:val="nl-NL"/>
        </w:rPr>
      </w:pPr>
      <w:r w:rsidRPr="002F1BB0">
        <w:rPr>
          <w:rStyle w:val="FootnoteReference"/>
        </w:rPr>
        <w:footnoteRef/>
      </w:r>
      <w:r w:rsidRPr="00262B16">
        <w:t xml:space="preserve"> </w:t>
      </w:r>
      <w:hyperlink r:id="rId1" w:history="1">
        <w:r w:rsidRPr="00262B16">
          <w:t>http://mialab.mrn.org</w:t>
        </w:r>
      </w:hyperlink>
    </w:p>
  </w:footnote>
  <w:footnote w:id="2">
    <w:p w14:paraId="0E608A32" w14:textId="77777777" w:rsidR="007A0755" w:rsidRPr="00262B16" w:rsidRDefault="007A0755" w:rsidP="007A0755">
      <w:pPr>
        <w:pStyle w:val="FootnoteText"/>
        <w:rPr>
          <w:lang w:val="nl-NL"/>
        </w:rPr>
      </w:pPr>
      <w:r w:rsidRPr="002F1BB0">
        <w:rPr>
          <w:rStyle w:val="FootnoteReference"/>
        </w:rPr>
        <w:footnoteRef/>
      </w:r>
      <w:r w:rsidRPr="00262B16">
        <w:rPr>
          <w:lang w:val="nl-NL"/>
        </w:rPr>
        <w:t xml:space="preserve"> </w:t>
      </w:r>
      <w:hyperlink r:id="rId2" w:history="1">
        <w:r w:rsidRPr="00262B16">
          <w:t>http://www.cis.hut.fi/projects/ica/icasso</w:t>
        </w:r>
      </w:hyperlink>
    </w:p>
  </w:footnote>
  <w:footnote w:id="3">
    <w:p w14:paraId="25271367" w14:textId="77777777" w:rsidR="00A97C15" w:rsidRPr="00262B16" w:rsidRDefault="00A97C15" w:rsidP="00A97C15">
      <w:pPr>
        <w:pStyle w:val="FootnoteText"/>
        <w:rPr>
          <w:lang w:val="nl-NL"/>
        </w:rPr>
      </w:pPr>
      <w:r w:rsidRPr="002F1BB0">
        <w:rPr>
          <w:rStyle w:val="FootnoteReference"/>
        </w:rPr>
        <w:footnoteRef/>
      </w:r>
      <w:r w:rsidRPr="00262B16">
        <w:rPr>
          <w:lang w:val="nl-NL"/>
        </w:rPr>
        <w:t xml:space="preserve"> </w:t>
      </w:r>
      <w:proofErr w:type="gramStart"/>
      <w:r w:rsidRPr="00262B16">
        <w:rPr>
          <w:lang w:val="nl-NL"/>
        </w:rPr>
        <w:t>http://www.mathworks.com/matlabcentral/fileexchange/27014-mancovan</w:t>
      </w:r>
      <w:proofErr w:type="gramEnd"/>
    </w:p>
  </w:footnote>
  <w:footnote w:id="4">
    <w:p w14:paraId="67202C95" w14:textId="77777777" w:rsidR="00A97C15" w:rsidRPr="00262B16" w:rsidRDefault="00A97C15" w:rsidP="00A97C15">
      <w:pPr>
        <w:pStyle w:val="FootnoteText"/>
        <w:rPr>
          <w:lang w:val="nl-NL"/>
        </w:rPr>
      </w:pPr>
      <w:r w:rsidRPr="002F1BB0">
        <w:rPr>
          <w:rStyle w:val="FootnoteReference"/>
        </w:rPr>
        <w:footnoteRef/>
      </w:r>
      <w:r w:rsidRPr="00262B16">
        <w:rPr>
          <w:lang w:val="nl-NL"/>
        </w:rPr>
        <w:t xml:space="preserve"> </w:t>
      </w:r>
      <w:proofErr w:type="gramStart"/>
      <w:r w:rsidRPr="00262B16">
        <w:rPr>
          <w:lang w:val="nl-NL"/>
        </w:rPr>
        <w:t>http://afni.nimh.nih.gov/afni</w:t>
      </w:r>
      <w:proofErr w:type="gramEnd"/>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77CCB"/>
    <w:multiLevelType w:val="multilevel"/>
    <w:tmpl w:val="33D831DC"/>
    <w:styleLink w:val="CurrentList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B5C0436"/>
    <w:multiLevelType w:val="multilevel"/>
    <w:tmpl w:val="E758E02E"/>
    <w:lvl w:ilvl="0">
      <w:start w:val="1"/>
      <w:numFmt w:val="decimal"/>
      <w:lvlText w:val="%1."/>
      <w:lvlJc w:val="left"/>
      <w:pPr>
        <w:ind w:left="1080" w:hanging="360"/>
      </w:pPr>
      <w:rPr>
        <w:rFonts w:hint="default"/>
      </w:rPr>
    </w:lvl>
    <w:lvl w:ilvl="1">
      <w:start w:val="1"/>
      <w:numFmt w:val="decimal"/>
      <w:lvlText w:val="%1.%2."/>
      <w:lvlJc w:val="left"/>
      <w:pPr>
        <w:ind w:left="1077" w:hanging="357"/>
      </w:pPr>
      <w:rPr>
        <w:rFonts w:hint="default"/>
        <w:b/>
        <w:bCs w:val="0"/>
      </w:rPr>
    </w:lvl>
    <w:lvl w:ilvl="2">
      <w:start w:val="1"/>
      <w:numFmt w:val="decimal"/>
      <w:lvlText w:val="%1.%2.%3."/>
      <w:lvlJc w:val="left"/>
      <w:pPr>
        <w:ind w:left="1077" w:hanging="357"/>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 w15:restartNumberingAfterBreak="0">
    <w:nsid w:val="30A14E23"/>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755"/>
    <w:rsid w:val="000207CA"/>
    <w:rsid w:val="00037F57"/>
    <w:rsid w:val="0008228E"/>
    <w:rsid w:val="00176234"/>
    <w:rsid w:val="001E2CF1"/>
    <w:rsid w:val="001E6DEB"/>
    <w:rsid w:val="00211104"/>
    <w:rsid w:val="002F1BB0"/>
    <w:rsid w:val="00307931"/>
    <w:rsid w:val="00360CC1"/>
    <w:rsid w:val="003C5CA2"/>
    <w:rsid w:val="003E7BFB"/>
    <w:rsid w:val="00404E81"/>
    <w:rsid w:val="00417F6C"/>
    <w:rsid w:val="00432A75"/>
    <w:rsid w:val="00444EC0"/>
    <w:rsid w:val="0046475F"/>
    <w:rsid w:val="004875FA"/>
    <w:rsid w:val="004A5020"/>
    <w:rsid w:val="004C7720"/>
    <w:rsid w:val="005649A9"/>
    <w:rsid w:val="005F09B5"/>
    <w:rsid w:val="0062285B"/>
    <w:rsid w:val="006B1BDC"/>
    <w:rsid w:val="00706911"/>
    <w:rsid w:val="007876E2"/>
    <w:rsid w:val="007A0755"/>
    <w:rsid w:val="007A5A69"/>
    <w:rsid w:val="0080652F"/>
    <w:rsid w:val="008243FC"/>
    <w:rsid w:val="008A1D79"/>
    <w:rsid w:val="00906633"/>
    <w:rsid w:val="009B6105"/>
    <w:rsid w:val="009E04AD"/>
    <w:rsid w:val="00A06E1B"/>
    <w:rsid w:val="00A91071"/>
    <w:rsid w:val="00A95B1D"/>
    <w:rsid w:val="00A97C15"/>
    <w:rsid w:val="00AC5A75"/>
    <w:rsid w:val="00AF4692"/>
    <w:rsid w:val="00B86EB6"/>
    <w:rsid w:val="00B93C40"/>
    <w:rsid w:val="00C562E4"/>
    <w:rsid w:val="00C6044B"/>
    <w:rsid w:val="00C626A3"/>
    <w:rsid w:val="00CA1BCB"/>
    <w:rsid w:val="00CC26E8"/>
    <w:rsid w:val="00D014F5"/>
    <w:rsid w:val="00D17A49"/>
    <w:rsid w:val="00D22FA2"/>
    <w:rsid w:val="00D9799E"/>
    <w:rsid w:val="00DF5065"/>
    <w:rsid w:val="00EE6F59"/>
    <w:rsid w:val="00F751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FBC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52F"/>
    <w:rPr>
      <w:rFonts w:ascii="Times New Roman" w:eastAsia="Times New Roman" w:hAnsi="Times New Roman" w:cs="Times New Roman"/>
      <w:lang w:val="en-NL"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pplementaryMaterial">
    <w:name w:val="Supplementary Material"/>
    <w:basedOn w:val="Title"/>
    <w:next w:val="Title"/>
    <w:qFormat/>
    <w:rsid w:val="007A0755"/>
    <w:pPr>
      <w:suppressLineNumbers/>
      <w:spacing w:before="240" w:after="120"/>
      <w:contextualSpacing w:val="0"/>
      <w:jc w:val="center"/>
    </w:pPr>
    <w:rPr>
      <w:rFonts w:ascii="Times New Roman" w:eastAsiaTheme="minorHAnsi" w:hAnsi="Times New Roman" w:cs="Times New Roman"/>
      <w:b/>
      <w:i/>
      <w:spacing w:val="0"/>
      <w:kern w:val="0"/>
      <w:sz w:val="32"/>
      <w:szCs w:val="32"/>
      <w:lang w:val="en-US"/>
    </w:rPr>
  </w:style>
  <w:style w:type="paragraph" w:styleId="Title">
    <w:name w:val="Title"/>
    <w:basedOn w:val="Normal"/>
    <w:next w:val="Normal"/>
    <w:link w:val="TitleChar"/>
    <w:uiPriority w:val="10"/>
    <w:qFormat/>
    <w:rsid w:val="007A0755"/>
    <w:pPr>
      <w:contextualSpacing/>
    </w:pPr>
    <w:rPr>
      <w:rFonts w:asciiTheme="majorHAnsi" w:eastAsiaTheme="majorEastAsia" w:hAnsiTheme="majorHAnsi" w:cstheme="majorBidi"/>
      <w:spacing w:val="-10"/>
      <w:kern w:val="28"/>
      <w:sz w:val="56"/>
      <w:szCs w:val="56"/>
      <w:lang w:val="nl-NL" w:eastAsia="en-US"/>
    </w:rPr>
  </w:style>
  <w:style w:type="character" w:customStyle="1" w:styleId="TitleChar">
    <w:name w:val="Title Char"/>
    <w:basedOn w:val="DefaultParagraphFont"/>
    <w:link w:val="Title"/>
    <w:uiPriority w:val="10"/>
    <w:rsid w:val="007A0755"/>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A0755"/>
    <w:pPr>
      <w:spacing w:after="200" w:line="276" w:lineRule="auto"/>
      <w:contextualSpacing/>
    </w:pPr>
    <w:rPr>
      <w:rFonts w:eastAsiaTheme="minorHAnsi" w:cstheme="minorBidi"/>
      <w:sz w:val="22"/>
      <w:szCs w:val="22"/>
      <w:lang w:val="nl-NL" w:eastAsia="en-US"/>
    </w:rPr>
  </w:style>
  <w:style w:type="paragraph" w:styleId="FootnoteText">
    <w:name w:val="footnote text"/>
    <w:basedOn w:val="Normal"/>
    <w:link w:val="FootnoteTextChar"/>
    <w:uiPriority w:val="99"/>
    <w:unhideWhenUsed/>
    <w:rsid w:val="007A0755"/>
    <w:rPr>
      <w:rFonts w:eastAsiaTheme="minorEastAsia"/>
      <w:sz w:val="20"/>
      <w:szCs w:val="20"/>
      <w:lang w:val="en-US" w:eastAsia="en-US"/>
    </w:rPr>
  </w:style>
  <w:style w:type="character" w:customStyle="1" w:styleId="FootnoteTextChar">
    <w:name w:val="Footnote Text Char"/>
    <w:basedOn w:val="DefaultParagraphFont"/>
    <w:link w:val="FootnoteText"/>
    <w:uiPriority w:val="99"/>
    <w:rsid w:val="007A0755"/>
    <w:rPr>
      <w:rFonts w:ascii="Times New Roman" w:eastAsiaTheme="minorEastAsia" w:hAnsi="Times New Roman" w:cs="Times New Roman"/>
      <w:sz w:val="20"/>
      <w:szCs w:val="20"/>
      <w:lang w:val="en-US"/>
    </w:rPr>
  </w:style>
  <w:style w:type="character" w:styleId="FootnoteReference">
    <w:name w:val="footnote reference"/>
    <w:basedOn w:val="DefaultParagraphFont"/>
    <w:uiPriority w:val="99"/>
    <w:semiHidden/>
    <w:unhideWhenUsed/>
    <w:rsid w:val="007A0755"/>
    <w:rPr>
      <w:vertAlign w:val="superscript"/>
    </w:rPr>
  </w:style>
  <w:style w:type="numbering" w:customStyle="1" w:styleId="CurrentList1">
    <w:name w:val="Current List1"/>
    <w:uiPriority w:val="99"/>
    <w:rsid w:val="00444EC0"/>
    <w:pPr>
      <w:numPr>
        <w:numId w:val="3"/>
      </w:numPr>
    </w:pPr>
  </w:style>
  <w:style w:type="paragraph" w:styleId="Caption">
    <w:name w:val="caption"/>
    <w:basedOn w:val="Normal"/>
    <w:next w:val="Normal"/>
    <w:uiPriority w:val="35"/>
    <w:unhideWhenUsed/>
    <w:qFormat/>
    <w:rsid w:val="00444EC0"/>
    <w:pPr>
      <w:spacing w:after="200"/>
    </w:pPr>
    <w:rPr>
      <w:rFonts w:eastAsiaTheme="minorHAnsi" w:cstheme="minorBidi"/>
      <w:b/>
      <w:bCs/>
      <w:sz w:val="20"/>
      <w:szCs w:val="18"/>
      <w:lang w:val="nl-NL" w:eastAsia="en-US"/>
    </w:rPr>
  </w:style>
  <w:style w:type="paragraph" w:styleId="BalloonText">
    <w:name w:val="Balloon Text"/>
    <w:basedOn w:val="Normal"/>
    <w:link w:val="BalloonTextChar"/>
    <w:uiPriority w:val="99"/>
    <w:semiHidden/>
    <w:unhideWhenUsed/>
    <w:rsid w:val="00DF5065"/>
    <w:rPr>
      <w:rFonts w:ascii="Tahoma" w:eastAsiaTheme="minorHAnsi" w:hAnsi="Tahoma" w:cs="Tahoma"/>
      <w:sz w:val="16"/>
      <w:szCs w:val="16"/>
      <w:lang w:val="nl-NL" w:eastAsia="en-US"/>
    </w:rPr>
  </w:style>
  <w:style w:type="character" w:customStyle="1" w:styleId="BalloonTextChar">
    <w:name w:val="Balloon Text Char"/>
    <w:basedOn w:val="DefaultParagraphFont"/>
    <w:link w:val="BalloonText"/>
    <w:uiPriority w:val="99"/>
    <w:semiHidden/>
    <w:rsid w:val="00DF5065"/>
    <w:rPr>
      <w:rFonts w:ascii="Tahoma" w:hAnsi="Tahoma" w:cs="Tahoma"/>
      <w:sz w:val="16"/>
      <w:szCs w:val="16"/>
    </w:rPr>
  </w:style>
  <w:style w:type="character" w:styleId="CommentReference">
    <w:name w:val="annotation reference"/>
    <w:basedOn w:val="DefaultParagraphFont"/>
    <w:uiPriority w:val="99"/>
    <w:semiHidden/>
    <w:unhideWhenUsed/>
    <w:rsid w:val="00DF5065"/>
    <w:rPr>
      <w:sz w:val="16"/>
      <w:szCs w:val="16"/>
    </w:rPr>
  </w:style>
  <w:style w:type="paragraph" w:styleId="CommentText">
    <w:name w:val="annotation text"/>
    <w:basedOn w:val="Normal"/>
    <w:link w:val="CommentTextChar"/>
    <w:uiPriority w:val="99"/>
    <w:semiHidden/>
    <w:unhideWhenUsed/>
    <w:rsid w:val="00DF5065"/>
    <w:rPr>
      <w:sz w:val="20"/>
      <w:szCs w:val="20"/>
    </w:rPr>
  </w:style>
  <w:style w:type="character" w:customStyle="1" w:styleId="CommentTextChar">
    <w:name w:val="Comment Text Char"/>
    <w:basedOn w:val="DefaultParagraphFont"/>
    <w:link w:val="CommentText"/>
    <w:uiPriority w:val="99"/>
    <w:semiHidden/>
    <w:rsid w:val="00DF5065"/>
    <w:rPr>
      <w:sz w:val="20"/>
      <w:szCs w:val="20"/>
    </w:rPr>
  </w:style>
  <w:style w:type="paragraph" w:styleId="CommentSubject">
    <w:name w:val="annotation subject"/>
    <w:basedOn w:val="CommentText"/>
    <w:next w:val="CommentText"/>
    <w:link w:val="CommentSubjectChar"/>
    <w:uiPriority w:val="99"/>
    <w:semiHidden/>
    <w:unhideWhenUsed/>
    <w:rsid w:val="00DF5065"/>
    <w:rPr>
      <w:b/>
      <w:bCs/>
    </w:rPr>
  </w:style>
  <w:style w:type="character" w:customStyle="1" w:styleId="CommentSubjectChar">
    <w:name w:val="Comment Subject Char"/>
    <w:basedOn w:val="CommentTextChar"/>
    <w:link w:val="CommentSubject"/>
    <w:uiPriority w:val="99"/>
    <w:semiHidden/>
    <w:rsid w:val="00DF5065"/>
    <w:rPr>
      <w:b/>
      <w:bCs/>
      <w:sz w:val="20"/>
      <w:szCs w:val="20"/>
    </w:rPr>
  </w:style>
  <w:style w:type="character" w:styleId="EndnoteReference">
    <w:name w:val="endnote reference"/>
    <w:basedOn w:val="DefaultParagraphFont"/>
    <w:uiPriority w:val="99"/>
    <w:semiHidden/>
    <w:unhideWhenUsed/>
    <w:rsid w:val="002F1B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741632">
      <w:bodyDiv w:val="1"/>
      <w:marLeft w:val="0"/>
      <w:marRight w:val="0"/>
      <w:marTop w:val="0"/>
      <w:marBottom w:val="0"/>
      <w:divBdr>
        <w:top w:val="none" w:sz="0" w:space="0" w:color="auto"/>
        <w:left w:val="none" w:sz="0" w:space="0" w:color="auto"/>
        <w:bottom w:val="none" w:sz="0" w:space="0" w:color="auto"/>
        <w:right w:val="none" w:sz="0" w:space="0" w:color="auto"/>
      </w:divBdr>
      <w:divsChild>
        <w:div w:id="33122551">
          <w:marLeft w:val="0"/>
          <w:marRight w:val="0"/>
          <w:marTop w:val="0"/>
          <w:marBottom w:val="0"/>
          <w:divBdr>
            <w:top w:val="none" w:sz="0" w:space="0" w:color="auto"/>
            <w:left w:val="none" w:sz="0" w:space="0" w:color="auto"/>
            <w:bottom w:val="none" w:sz="0" w:space="0" w:color="auto"/>
            <w:right w:val="none" w:sz="0" w:space="0" w:color="auto"/>
          </w:divBdr>
        </w:div>
      </w:divsChild>
    </w:div>
    <w:div w:id="477304627">
      <w:bodyDiv w:val="1"/>
      <w:marLeft w:val="0"/>
      <w:marRight w:val="0"/>
      <w:marTop w:val="0"/>
      <w:marBottom w:val="0"/>
      <w:divBdr>
        <w:top w:val="none" w:sz="0" w:space="0" w:color="auto"/>
        <w:left w:val="none" w:sz="0" w:space="0" w:color="auto"/>
        <w:bottom w:val="none" w:sz="0" w:space="0" w:color="auto"/>
        <w:right w:val="none" w:sz="0" w:space="0" w:color="auto"/>
      </w:divBdr>
      <w:divsChild>
        <w:div w:id="1289824096">
          <w:marLeft w:val="0"/>
          <w:marRight w:val="0"/>
          <w:marTop w:val="0"/>
          <w:marBottom w:val="0"/>
          <w:divBdr>
            <w:top w:val="none" w:sz="0" w:space="0" w:color="auto"/>
            <w:left w:val="none" w:sz="0" w:space="0" w:color="auto"/>
            <w:bottom w:val="none" w:sz="0" w:space="0" w:color="auto"/>
            <w:right w:val="none" w:sz="0" w:space="0" w:color="auto"/>
          </w:divBdr>
        </w:div>
      </w:divsChild>
    </w:div>
    <w:div w:id="515852701">
      <w:bodyDiv w:val="1"/>
      <w:marLeft w:val="0"/>
      <w:marRight w:val="0"/>
      <w:marTop w:val="0"/>
      <w:marBottom w:val="0"/>
      <w:divBdr>
        <w:top w:val="none" w:sz="0" w:space="0" w:color="auto"/>
        <w:left w:val="none" w:sz="0" w:space="0" w:color="auto"/>
        <w:bottom w:val="none" w:sz="0" w:space="0" w:color="auto"/>
        <w:right w:val="none" w:sz="0" w:space="0" w:color="auto"/>
      </w:divBdr>
      <w:divsChild>
        <w:div w:id="107361962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www.cis.hut.fi/projects/ica/icasso" TargetMode="External"/><Relationship Id="rId1" Type="http://schemas.openxmlformats.org/officeDocument/2006/relationships/hyperlink" Target="http://mialab.mr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93C74-666D-4FA7-A854-2BE822D2F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997</Words>
  <Characters>5686</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2021-10-12T16:26:00Z</dcterms:created>
  <dcterms:modified xsi:type="dcterms:W3CDTF">2021-10-12T16:29:00Z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a70610d5-bbc2-3f80-b4e1-403d01322206</vt:lpwstr>
  </property>
  <property fmtid="{D5CDD505-2E9C-101B-9397-08002B2CF9AE}" pid="4" name="Mendeley Citation Style_1">
    <vt:lpwstr>http://www.zotero.org/styles/brain-imaging-and-behavior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http://www.zotero.org/styles/brain-imaging-and-behavior</vt:lpwstr>
  </property>
  <property fmtid="{D5CDD505-2E9C-101B-9397-08002B2CF9AE}" pid="10" name="Mendeley Recent Style Name 2_1">
    <vt:lpwstr>Brain Imaging and Behavior</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http://www.zotero.org/styles/frontiers-in-neurology</vt:lpwstr>
  </property>
  <property fmtid="{D5CDD505-2E9C-101B-9397-08002B2CF9AE}" pid="16" name="Mendeley Recent Style Name 5_1">
    <vt:lpwstr>Frontiers in Neurology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http://www.zotero.org/styles/journal-of-neurotrauma</vt:lpwstr>
  </property>
  <property fmtid="{D5CDD505-2E9C-101B-9397-08002B2CF9AE}" pid="20" name="Mendeley Recent Style Name 7_1">
    <vt:lpwstr>Journal of Neurotrauma</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http://www.zotero.org/styles/neuroimage-clinical</vt:lpwstr>
  </property>
  <property fmtid="{D5CDD505-2E9C-101B-9397-08002B2CF9AE}" pid="24" name="Mendeley Recent Style Name 9_1">
    <vt:lpwstr>NeuroImage: Clinical</vt:lpwstr>
  </property>
</Properties>
</file>