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47B0" w:rsidRDefault="006047B0" w:rsidP="006047B0">
      <w:pPr>
        <w:spacing w:before="200" w:after="80" w:line="480" w:lineRule="auto"/>
        <w:jc w:val="both"/>
        <w:rPr>
          <w:b/>
          <w:bCs/>
        </w:rPr>
      </w:pPr>
      <w:r>
        <w:rPr>
          <w:b/>
          <w:bCs/>
        </w:rPr>
        <w:t>Additional file 3</w:t>
      </w:r>
    </w:p>
    <w:p w:rsidR="006047B0" w:rsidRDefault="006047B0" w:rsidP="006047B0">
      <w:pPr>
        <w:spacing w:before="200" w:after="80" w:line="480" w:lineRule="auto"/>
        <w:jc w:val="both"/>
        <w:rPr>
          <w:lang w:val="en-NP"/>
        </w:rPr>
      </w:pPr>
      <w:r w:rsidRPr="00E10CD6">
        <w:rPr>
          <w:i/>
          <w:iCs/>
        </w:rPr>
        <w:t>Description:</w:t>
      </w:r>
      <w:r>
        <w:t xml:space="preserve"> </w:t>
      </w:r>
      <w:r w:rsidRPr="00C509CC">
        <w:rPr>
          <w:lang w:val="en-NP"/>
        </w:rPr>
        <w:t>Complete survey-weighted adjusted odds ratios (aOR) with 95% confidence intervals for two health service outcomes examined separately from the main Table 5 due to small event counts: emergency service use (n=29 events) and hospital admissions (n=47 events). Tables present results for all predictors including NHIP enrollment, enabling factors (socioeconomic status, education), need factors (chronic illness), and predisposing factors (age, ethnicity, sex of household head). Models were adjusted for the same covariate set as primary analyses. Events-per-variable ratios of 4.1 (emergency services) and 6.7 (hospital admissions) with seven predictors result in correspondingly wider confidence intervals; results are interpreted with appropriate caution. Socioeconomic status was dichotomized at sample median total monthly household expenditure.</w:t>
      </w:r>
    </w:p>
    <w:p w:rsidR="006047B0" w:rsidRDefault="006047B0" w:rsidP="006047B0">
      <w:pPr>
        <w:spacing w:before="200" w:after="80" w:line="480" w:lineRule="auto"/>
        <w:jc w:val="both"/>
        <w:rPr>
          <w:lang w:val="en-NP"/>
        </w:rPr>
      </w:pPr>
    </w:p>
    <w:p w:rsidR="006047B0" w:rsidRDefault="006047B0" w:rsidP="006047B0">
      <w:pPr>
        <w:spacing w:before="200" w:after="80" w:line="480" w:lineRule="auto"/>
        <w:jc w:val="both"/>
        <w:rPr>
          <w:lang w:val="en-NP"/>
        </w:rPr>
      </w:pPr>
    </w:p>
    <w:p w:rsidR="006047B0" w:rsidRDefault="006047B0" w:rsidP="006047B0">
      <w:pPr>
        <w:spacing w:before="200" w:after="80" w:line="480" w:lineRule="auto"/>
        <w:jc w:val="both"/>
        <w:rPr>
          <w:lang w:val="en-NP"/>
        </w:rPr>
      </w:pPr>
    </w:p>
    <w:p w:rsidR="006047B0" w:rsidRDefault="006047B0" w:rsidP="006047B0">
      <w:pPr>
        <w:spacing w:before="200" w:after="80" w:line="480" w:lineRule="auto"/>
        <w:jc w:val="both"/>
        <w:rPr>
          <w:lang w:val="en-NP"/>
        </w:rPr>
      </w:pPr>
    </w:p>
    <w:p w:rsidR="006047B0" w:rsidRDefault="006047B0" w:rsidP="006047B0">
      <w:pPr>
        <w:spacing w:before="200" w:after="80" w:line="480" w:lineRule="auto"/>
        <w:jc w:val="both"/>
        <w:rPr>
          <w:lang w:val="en-NP"/>
        </w:rPr>
      </w:pPr>
    </w:p>
    <w:p w:rsidR="006047B0" w:rsidRDefault="006047B0" w:rsidP="006047B0">
      <w:pPr>
        <w:spacing w:before="200" w:after="80" w:line="480" w:lineRule="auto"/>
        <w:jc w:val="both"/>
        <w:rPr>
          <w:lang w:val="en-NP"/>
        </w:rPr>
      </w:pPr>
    </w:p>
    <w:p w:rsidR="006047B0" w:rsidRDefault="006047B0" w:rsidP="006047B0">
      <w:pPr>
        <w:spacing w:before="200" w:after="80" w:line="480" w:lineRule="auto"/>
        <w:jc w:val="both"/>
        <w:rPr>
          <w:lang w:val="en-NP"/>
        </w:rPr>
      </w:pPr>
    </w:p>
    <w:p w:rsidR="006047B0" w:rsidRDefault="006047B0" w:rsidP="006047B0">
      <w:pPr>
        <w:spacing w:before="200" w:after="80" w:line="480" w:lineRule="auto"/>
        <w:jc w:val="both"/>
        <w:rPr>
          <w:lang w:val="en-NP"/>
        </w:rPr>
      </w:pPr>
    </w:p>
    <w:p w:rsidR="006047B0" w:rsidRPr="00C509CC" w:rsidRDefault="006047B0" w:rsidP="006047B0">
      <w:pPr>
        <w:spacing w:before="200" w:after="80" w:line="480" w:lineRule="auto"/>
        <w:jc w:val="both"/>
        <w:rPr>
          <w:b/>
          <w:bCs/>
        </w:rPr>
      </w:pPr>
      <w:r>
        <w:rPr>
          <w:lang w:val="en-NP"/>
        </w:rPr>
        <w:lastRenderedPageBreak/>
        <w:t xml:space="preserve">Table: </w:t>
      </w:r>
      <w:r w:rsidRPr="00C509CC">
        <w:t>Survey-weighted multivariable logistic regression: adjusted odds ratios for emergency services and hospital admission</w:t>
      </w:r>
    </w:p>
    <w:tbl>
      <w:tblPr>
        <w:tblStyle w:val="TableGrid"/>
        <w:tblW w:w="8000" w:type="dxa"/>
        <w:tblLook w:val="04A0" w:firstRow="1" w:lastRow="0" w:firstColumn="1" w:lastColumn="0" w:noHBand="0" w:noVBand="1"/>
      </w:tblPr>
      <w:tblGrid>
        <w:gridCol w:w="3000"/>
        <w:gridCol w:w="2500"/>
        <w:gridCol w:w="2500"/>
      </w:tblGrid>
      <w:tr w:rsidR="006047B0" w:rsidTr="00A70476">
        <w:tc>
          <w:tcPr>
            <w:tcW w:w="3000" w:type="dxa"/>
          </w:tcPr>
          <w:p w:rsidR="006047B0" w:rsidRPr="00F53697" w:rsidRDefault="006047B0" w:rsidP="00A70476">
            <w:pPr>
              <w:spacing w:line="480" w:lineRule="auto"/>
              <w:jc w:val="both"/>
            </w:pPr>
            <w:r w:rsidRPr="00F53697">
              <w:rPr>
                <w:b/>
                <w:bCs/>
              </w:rPr>
              <w:t>Predictor</w:t>
            </w:r>
          </w:p>
        </w:tc>
        <w:tc>
          <w:tcPr>
            <w:tcW w:w="2500" w:type="dxa"/>
          </w:tcPr>
          <w:p w:rsidR="006047B0" w:rsidRPr="00F53697" w:rsidRDefault="006047B0" w:rsidP="00A70476">
            <w:pPr>
              <w:spacing w:line="480" w:lineRule="auto"/>
              <w:jc w:val="both"/>
            </w:pPr>
            <w:r w:rsidRPr="00F53697">
              <w:rPr>
                <w:b/>
                <w:bCs/>
              </w:rPr>
              <w:t xml:space="preserve">Emergency services </w:t>
            </w:r>
            <w:proofErr w:type="spellStart"/>
            <w:r w:rsidRPr="00F53697">
              <w:rPr>
                <w:b/>
                <w:bCs/>
              </w:rPr>
              <w:t>aOR</w:t>
            </w:r>
            <w:proofErr w:type="spellEnd"/>
            <w:r w:rsidRPr="00F53697">
              <w:rPr>
                <w:b/>
                <w:bCs/>
              </w:rPr>
              <w:t xml:space="preserve"> (95% CI)</w:t>
            </w:r>
          </w:p>
        </w:tc>
        <w:tc>
          <w:tcPr>
            <w:tcW w:w="2500" w:type="dxa"/>
          </w:tcPr>
          <w:p w:rsidR="006047B0" w:rsidRPr="00F53697" w:rsidRDefault="006047B0" w:rsidP="00A70476">
            <w:pPr>
              <w:spacing w:line="480" w:lineRule="auto"/>
              <w:jc w:val="both"/>
            </w:pPr>
            <w:r w:rsidRPr="00F53697">
              <w:rPr>
                <w:b/>
                <w:bCs/>
              </w:rPr>
              <w:t xml:space="preserve">Hospital admission </w:t>
            </w:r>
            <w:proofErr w:type="spellStart"/>
            <w:r w:rsidRPr="00F53697">
              <w:rPr>
                <w:b/>
                <w:bCs/>
              </w:rPr>
              <w:t>aOR</w:t>
            </w:r>
            <w:proofErr w:type="spellEnd"/>
            <w:r w:rsidRPr="00F53697">
              <w:rPr>
                <w:b/>
                <w:bCs/>
              </w:rPr>
              <w:t xml:space="preserve"> (95% CI)</w:t>
            </w:r>
          </w:p>
        </w:tc>
      </w:tr>
      <w:tr w:rsidR="006047B0" w:rsidTr="00A70476">
        <w:tc>
          <w:tcPr>
            <w:tcW w:w="3000" w:type="dxa"/>
          </w:tcPr>
          <w:p w:rsidR="006047B0" w:rsidRPr="00F53697" w:rsidRDefault="006047B0" w:rsidP="00A70476">
            <w:pPr>
              <w:spacing w:line="480" w:lineRule="auto"/>
              <w:jc w:val="both"/>
            </w:pPr>
            <w:r w:rsidRPr="00F53697">
              <w:rPr>
                <w:b/>
                <w:bCs/>
              </w:rPr>
              <w:t>Enabling factors</w:t>
            </w:r>
          </w:p>
        </w:tc>
        <w:tc>
          <w:tcPr>
            <w:tcW w:w="2500" w:type="dxa"/>
          </w:tcPr>
          <w:p w:rsidR="006047B0" w:rsidRPr="00F53697" w:rsidRDefault="006047B0" w:rsidP="00A70476">
            <w:pPr>
              <w:spacing w:line="480" w:lineRule="auto"/>
              <w:jc w:val="both"/>
            </w:pPr>
          </w:p>
        </w:tc>
        <w:tc>
          <w:tcPr>
            <w:tcW w:w="2500" w:type="dxa"/>
          </w:tcPr>
          <w:p w:rsidR="006047B0" w:rsidRPr="00F53697" w:rsidRDefault="006047B0" w:rsidP="00A70476">
            <w:pPr>
              <w:spacing w:line="480" w:lineRule="auto"/>
              <w:jc w:val="both"/>
            </w:pPr>
          </w:p>
        </w:tc>
      </w:tr>
      <w:tr w:rsidR="006047B0" w:rsidTr="00A70476">
        <w:tc>
          <w:tcPr>
            <w:tcW w:w="3000" w:type="dxa"/>
          </w:tcPr>
          <w:p w:rsidR="006047B0" w:rsidRPr="00F53697" w:rsidRDefault="006047B0" w:rsidP="00A70476">
            <w:pPr>
              <w:spacing w:line="480" w:lineRule="auto"/>
              <w:jc w:val="both"/>
            </w:pPr>
            <w:r w:rsidRPr="00F53697">
              <w:t>NHIP enrollment (ref: no)</w:t>
            </w:r>
          </w:p>
        </w:tc>
        <w:tc>
          <w:tcPr>
            <w:tcW w:w="2500" w:type="dxa"/>
          </w:tcPr>
          <w:p w:rsidR="006047B0" w:rsidRPr="00F53697" w:rsidRDefault="006047B0" w:rsidP="00A70476">
            <w:pPr>
              <w:spacing w:line="480" w:lineRule="auto"/>
              <w:jc w:val="both"/>
            </w:pPr>
            <w:r w:rsidRPr="00F53697">
              <w:t>2.81* (1.12–7.04)</w:t>
            </w:r>
          </w:p>
        </w:tc>
        <w:tc>
          <w:tcPr>
            <w:tcW w:w="2500" w:type="dxa"/>
          </w:tcPr>
          <w:p w:rsidR="006047B0" w:rsidRPr="00F53697" w:rsidRDefault="006047B0" w:rsidP="00A70476">
            <w:pPr>
              <w:spacing w:line="480" w:lineRule="auto"/>
              <w:jc w:val="both"/>
            </w:pPr>
            <w:r w:rsidRPr="00F53697">
              <w:t>2.21* (1.07–4.56)</w:t>
            </w:r>
          </w:p>
        </w:tc>
      </w:tr>
      <w:tr w:rsidR="006047B0" w:rsidTr="00A70476">
        <w:tc>
          <w:tcPr>
            <w:tcW w:w="3000" w:type="dxa"/>
          </w:tcPr>
          <w:p w:rsidR="006047B0" w:rsidRPr="00F53697" w:rsidRDefault="006047B0" w:rsidP="00A70476">
            <w:pPr>
              <w:spacing w:line="480" w:lineRule="auto"/>
              <w:jc w:val="both"/>
            </w:pPr>
            <w:r w:rsidRPr="00F53697">
              <w:t>Socioeconomic status (ref: below median)</w:t>
            </w:r>
          </w:p>
        </w:tc>
        <w:tc>
          <w:tcPr>
            <w:tcW w:w="2500" w:type="dxa"/>
          </w:tcPr>
          <w:p w:rsidR="006047B0" w:rsidRPr="00F53697" w:rsidRDefault="006047B0" w:rsidP="00A70476">
            <w:pPr>
              <w:spacing w:line="480" w:lineRule="auto"/>
              <w:jc w:val="both"/>
            </w:pPr>
            <w:r w:rsidRPr="00F53697">
              <w:t>2.31 (0.92–5.78)</w:t>
            </w:r>
          </w:p>
        </w:tc>
        <w:tc>
          <w:tcPr>
            <w:tcW w:w="2500" w:type="dxa"/>
          </w:tcPr>
          <w:p w:rsidR="006047B0" w:rsidRPr="00F53697" w:rsidRDefault="006047B0" w:rsidP="00A70476">
            <w:pPr>
              <w:spacing w:line="480" w:lineRule="auto"/>
              <w:jc w:val="both"/>
            </w:pPr>
            <w:r w:rsidRPr="00F53697">
              <w:t>2.37* (1.16–4.84)</w:t>
            </w:r>
          </w:p>
        </w:tc>
      </w:tr>
      <w:tr w:rsidR="006047B0" w:rsidTr="00A70476">
        <w:tc>
          <w:tcPr>
            <w:tcW w:w="3000" w:type="dxa"/>
          </w:tcPr>
          <w:p w:rsidR="006047B0" w:rsidRPr="00F53697" w:rsidRDefault="006047B0" w:rsidP="00A70476">
            <w:pPr>
              <w:spacing w:line="480" w:lineRule="auto"/>
              <w:jc w:val="both"/>
            </w:pPr>
            <w:r w:rsidRPr="00F53697">
              <w:t>Education, HH head (any formal vs. none)</w:t>
            </w:r>
          </w:p>
        </w:tc>
        <w:tc>
          <w:tcPr>
            <w:tcW w:w="2500" w:type="dxa"/>
          </w:tcPr>
          <w:p w:rsidR="006047B0" w:rsidRPr="00F53697" w:rsidRDefault="006047B0" w:rsidP="00A70476">
            <w:pPr>
              <w:spacing w:line="480" w:lineRule="auto"/>
              <w:jc w:val="both"/>
            </w:pPr>
            <w:r w:rsidRPr="00F53697">
              <w:t>0.83 (0.25–2.74)</w:t>
            </w:r>
          </w:p>
        </w:tc>
        <w:tc>
          <w:tcPr>
            <w:tcW w:w="2500" w:type="dxa"/>
          </w:tcPr>
          <w:p w:rsidR="006047B0" w:rsidRPr="00F53697" w:rsidRDefault="006047B0" w:rsidP="00A70476">
            <w:pPr>
              <w:spacing w:line="480" w:lineRule="auto"/>
              <w:jc w:val="both"/>
            </w:pPr>
            <w:r w:rsidRPr="00F53697">
              <w:t>1.17 (0.47–2.91)</w:t>
            </w:r>
          </w:p>
        </w:tc>
      </w:tr>
      <w:tr w:rsidR="006047B0" w:rsidTr="00A70476">
        <w:tc>
          <w:tcPr>
            <w:tcW w:w="3000" w:type="dxa"/>
          </w:tcPr>
          <w:p w:rsidR="006047B0" w:rsidRPr="00F53697" w:rsidRDefault="006047B0" w:rsidP="00A70476">
            <w:pPr>
              <w:spacing w:line="480" w:lineRule="auto"/>
              <w:jc w:val="both"/>
            </w:pPr>
            <w:r w:rsidRPr="00F53697">
              <w:rPr>
                <w:b/>
                <w:bCs/>
              </w:rPr>
              <w:t>Need factors</w:t>
            </w:r>
          </w:p>
        </w:tc>
        <w:tc>
          <w:tcPr>
            <w:tcW w:w="2500" w:type="dxa"/>
          </w:tcPr>
          <w:p w:rsidR="006047B0" w:rsidRPr="00F53697" w:rsidRDefault="006047B0" w:rsidP="00A70476">
            <w:pPr>
              <w:spacing w:line="480" w:lineRule="auto"/>
              <w:jc w:val="both"/>
            </w:pPr>
          </w:p>
        </w:tc>
        <w:tc>
          <w:tcPr>
            <w:tcW w:w="2500" w:type="dxa"/>
          </w:tcPr>
          <w:p w:rsidR="006047B0" w:rsidRPr="00F53697" w:rsidRDefault="006047B0" w:rsidP="00A70476">
            <w:pPr>
              <w:spacing w:line="480" w:lineRule="auto"/>
              <w:jc w:val="both"/>
            </w:pPr>
          </w:p>
        </w:tc>
      </w:tr>
      <w:tr w:rsidR="006047B0" w:rsidTr="00A70476">
        <w:tc>
          <w:tcPr>
            <w:tcW w:w="3000" w:type="dxa"/>
          </w:tcPr>
          <w:p w:rsidR="006047B0" w:rsidRPr="00F53697" w:rsidRDefault="006047B0" w:rsidP="00A70476">
            <w:pPr>
              <w:spacing w:line="480" w:lineRule="auto"/>
              <w:jc w:val="both"/>
            </w:pPr>
            <w:r w:rsidRPr="00F53697">
              <w:t>Chronic illness (ref: no)</w:t>
            </w:r>
          </w:p>
        </w:tc>
        <w:tc>
          <w:tcPr>
            <w:tcW w:w="2500" w:type="dxa"/>
          </w:tcPr>
          <w:p w:rsidR="006047B0" w:rsidRPr="00F53697" w:rsidRDefault="006047B0" w:rsidP="00A70476">
            <w:pPr>
              <w:spacing w:line="480" w:lineRule="auto"/>
              <w:jc w:val="both"/>
            </w:pPr>
            <w:r w:rsidRPr="00F53697">
              <w:t>1.57 (0.62–3.94)</w:t>
            </w:r>
          </w:p>
        </w:tc>
        <w:tc>
          <w:tcPr>
            <w:tcW w:w="2500" w:type="dxa"/>
          </w:tcPr>
          <w:p w:rsidR="006047B0" w:rsidRPr="00F53697" w:rsidRDefault="006047B0" w:rsidP="00A70476">
            <w:pPr>
              <w:spacing w:line="480" w:lineRule="auto"/>
              <w:jc w:val="both"/>
            </w:pPr>
            <w:r w:rsidRPr="00F53697">
              <w:t>2.00 (0.91–4.40)</w:t>
            </w:r>
          </w:p>
        </w:tc>
      </w:tr>
      <w:tr w:rsidR="006047B0" w:rsidTr="00A70476">
        <w:tc>
          <w:tcPr>
            <w:tcW w:w="3000" w:type="dxa"/>
          </w:tcPr>
          <w:p w:rsidR="006047B0" w:rsidRPr="00F53697" w:rsidRDefault="006047B0" w:rsidP="00A70476">
            <w:pPr>
              <w:spacing w:line="480" w:lineRule="auto"/>
              <w:jc w:val="both"/>
            </w:pPr>
            <w:r w:rsidRPr="00F53697">
              <w:rPr>
                <w:b/>
                <w:bCs/>
              </w:rPr>
              <w:t>Predisposing factors</w:t>
            </w:r>
          </w:p>
        </w:tc>
        <w:tc>
          <w:tcPr>
            <w:tcW w:w="2500" w:type="dxa"/>
          </w:tcPr>
          <w:p w:rsidR="006047B0" w:rsidRPr="00F53697" w:rsidRDefault="006047B0" w:rsidP="00A70476">
            <w:pPr>
              <w:spacing w:line="480" w:lineRule="auto"/>
              <w:jc w:val="both"/>
            </w:pPr>
          </w:p>
        </w:tc>
        <w:tc>
          <w:tcPr>
            <w:tcW w:w="2500" w:type="dxa"/>
          </w:tcPr>
          <w:p w:rsidR="006047B0" w:rsidRPr="00F53697" w:rsidRDefault="006047B0" w:rsidP="00A70476">
            <w:pPr>
              <w:spacing w:line="480" w:lineRule="auto"/>
              <w:jc w:val="both"/>
            </w:pPr>
          </w:p>
        </w:tc>
      </w:tr>
      <w:tr w:rsidR="006047B0" w:rsidTr="00A70476">
        <w:tc>
          <w:tcPr>
            <w:tcW w:w="3000" w:type="dxa"/>
          </w:tcPr>
          <w:p w:rsidR="006047B0" w:rsidRPr="00F53697" w:rsidRDefault="006047B0" w:rsidP="00A70476">
            <w:pPr>
              <w:spacing w:line="480" w:lineRule="auto"/>
              <w:jc w:val="both"/>
            </w:pPr>
            <w:r w:rsidRPr="00F53697">
              <w:t>Age (per year)</w:t>
            </w:r>
          </w:p>
        </w:tc>
        <w:tc>
          <w:tcPr>
            <w:tcW w:w="2500" w:type="dxa"/>
          </w:tcPr>
          <w:p w:rsidR="006047B0" w:rsidRPr="00F53697" w:rsidRDefault="006047B0" w:rsidP="00A70476">
            <w:pPr>
              <w:spacing w:line="480" w:lineRule="auto"/>
              <w:jc w:val="both"/>
            </w:pPr>
            <w:r w:rsidRPr="00F53697">
              <w:t>1.01 (0.97–1.06)</w:t>
            </w:r>
          </w:p>
        </w:tc>
        <w:tc>
          <w:tcPr>
            <w:tcW w:w="2500" w:type="dxa"/>
          </w:tcPr>
          <w:p w:rsidR="006047B0" w:rsidRPr="00F53697" w:rsidRDefault="006047B0" w:rsidP="00A70476">
            <w:pPr>
              <w:spacing w:line="480" w:lineRule="auto"/>
              <w:jc w:val="both"/>
            </w:pPr>
            <w:r w:rsidRPr="00F53697">
              <w:t>1.03 (0.99–1.06)</w:t>
            </w:r>
          </w:p>
        </w:tc>
      </w:tr>
      <w:tr w:rsidR="006047B0" w:rsidTr="00A70476">
        <w:tc>
          <w:tcPr>
            <w:tcW w:w="3000" w:type="dxa"/>
          </w:tcPr>
          <w:p w:rsidR="006047B0" w:rsidRPr="00F53697" w:rsidRDefault="006047B0" w:rsidP="00A70476">
            <w:pPr>
              <w:spacing w:line="480" w:lineRule="auto"/>
              <w:jc w:val="both"/>
            </w:pPr>
            <w:r w:rsidRPr="00F53697">
              <w:t>Ethnicity (Others vs. Brahmin/Chhetri)</w:t>
            </w:r>
          </w:p>
        </w:tc>
        <w:tc>
          <w:tcPr>
            <w:tcW w:w="2500" w:type="dxa"/>
          </w:tcPr>
          <w:p w:rsidR="006047B0" w:rsidRPr="00F53697" w:rsidRDefault="006047B0" w:rsidP="00A70476">
            <w:pPr>
              <w:spacing w:line="480" w:lineRule="auto"/>
              <w:jc w:val="both"/>
            </w:pPr>
            <w:r w:rsidRPr="00F53697">
              <w:t>1.40 (0.56–3.48)</w:t>
            </w:r>
          </w:p>
        </w:tc>
        <w:tc>
          <w:tcPr>
            <w:tcW w:w="2500" w:type="dxa"/>
          </w:tcPr>
          <w:p w:rsidR="006047B0" w:rsidRPr="00F53697" w:rsidRDefault="006047B0" w:rsidP="00A70476">
            <w:pPr>
              <w:spacing w:line="480" w:lineRule="auto"/>
              <w:jc w:val="both"/>
            </w:pPr>
            <w:r w:rsidRPr="00F53697">
              <w:t>2.10† (0.98–4.47)</w:t>
            </w:r>
          </w:p>
        </w:tc>
      </w:tr>
      <w:tr w:rsidR="006047B0" w:rsidTr="00A70476">
        <w:tc>
          <w:tcPr>
            <w:tcW w:w="3000" w:type="dxa"/>
          </w:tcPr>
          <w:p w:rsidR="006047B0" w:rsidRPr="00F53697" w:rsidRDefault="006047B0" w:rsidP="00A70476">
            <w:pPr>
              <w:spacing w:line="480" w:lineRule="auto"/>
              <w:jc w:val="both"/>
            </w:pPr>
            <w:r w:rsidRPr="00F53697">
              <w:t>Sex of HH head (male vs. female)</w:t>
            </w:r>
          </w:p>
        </w:tc>
        <w:tc>
          <w:tcPr>
            <w:tcW w:w="2500" w:type="dxa"/>
          </w:tcPr>
          <w:p w:rsidR="006047B0" w:rsidRPr="00F53697" w:rsidRDefault="006047B0" w:rsidP="00A70476">
            <w:pPr>
              <w:spacing w:line="480" w:lineRule="auto"/>
              <w:jc w:val="both"/>
            </w:pPr>
            <w:r w:rsidRPr="00F53697">
              <w:t>1.23 (0.34–4.45)</w:t>
            </w:r>
          </w:p>
        </w:tc>
        <w:tc>
          <w:tcPr>
            <w:tcW w:w="2500" w:type="dxa"/>
          </w:tcPr>
          <w:p w:rsidR="006047B0" w:rsidRPr="00F53697" w:rsidRDefault="006047B0" w:rsidP="00A70476">
            <w:pPr>
              <w:spacing w:line="480" w:lineRule="auto"/>
              <w:jc w:val="both"/>
            </w:pPr>
            <w:r w:rsidRPr="00F53697">
              <w:t>0.90 (0.34–2.39)</w:t>
            </w:r>
          </w:p>
        </w:tc>
      </w:tr>
    </w:tbl>
    <w:p w:rsidR="006047B0" w:rsidRPr="00E10CD6" w:rsidRDefault="006047B0" w:rsidP="006047B0">
      <w:pPr>
        <w:spacing w:before="80" w:after="240" w:line="480" w:lineRule="auto"/>
        <w:jc w:val="both"/>
        <w:rPr>
          <w:i/>
          <w:iCs/>
          <w:sz w:val="20"/>
          <w:szCs w:val="20"/>
        </w:rPr>
      </w:pPr>
      <w:r>
        <w:rPr>
          <w:i/>
          <w:iCs/>
          <w:sz w:val="20"/>
          <w:szCs w:val="20"/>
        </w:rPr>
        <w:t xml:space="preserve">Abbreviations: </w:t>
      </w:r>
      <w:proofErr w:type="spellStart"/>
      <w:r>
        <w:rPr>
          <w:i/>
          <w:iCs/>
          <w:sz w:val="20"/>
          <w:szCs w:val="20"/>
        </w:rPr>
        <w:t>aOR</w:t>
      </w:r>
      <w:proofErr w:type="spellEnd"/>
      <w:r>
        <w:rPr>
          <w:i/>
          <w:iCs/>
          <w:sz w:val="20"/>
          <w:szCs w:val="20"/>
        </w:rPr>
        <w:t>, adjusted odds ratio; CI, confidence interval; HH, household head; NHIP, National Health Insurance Program. †p &lt; 0.10; *p &lt; 0.05; **p &lt; 0.01; ***p &lt; 0.001. Due to small event counts (emergency: n = 29; hospital admission: n = 47), events-per-variable ratios are 4.1 and 6.7 with seven predictors. CIs are correspondingly wider; results should be interpreted with appropriate caution. Socioeconomic status dichotomized at sample median total monthly household expenditure (NPR 57,743; USD 369.42).</w:t>
      </w:r>
    </w:p>
    <w:p w:rsidR="007935C7" w:rsidRDefault="007935C7"/>
    <w:sectPr w:rsidR="007935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B3E"/>
    <w:rsid w:val="00317FF3"/>
    <w:rsid w:val="00382B3E"/>
    <w:rsid w:val="005B73C6"/>
    <w:rsid w:val="006047B0"/>
    <w:rsid w:val="0069543D"/>
    <w:rsid w:val="007935C7"/>
    <w:rsid w:val="008272E7"/>
    <w:rsid w:val="00903688"/>
    <w:rsid w:val="009B1BC6"/>
  </w:rsids>
  <m:mathPr>
    <m:mathFont m:val="Cambria Math"/>
    <m:brkBin m:val="before"/>
    <m:brkBinSub m:val="--"/>
    <m:smallFrac m:val="0"/>
    <m:dispDef/>
    <m:lMargin m:val="0"/>
    <m:rMargin m:val="0"/>
    <m:defJc m:val="centerGroup"/>
    <m:wrapIndent m:val="1440"/>
    <m:intLim m:val="subSup"/>
    <m:naryLim m:val="undOvr"/>
  </m:mathPr>
  <w:themeFontLang w:val="en-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E285B"/>
  <w15:chartTrackingRefBased/>
  <w15:docId w15:val="{EE0494CF-C29F-F446-94DB-E0C11CF15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P"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7B0"/>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382B3E"/>
    <w:pPr>
      <w:keepNext/>
      <w:keepLines/>
      <w:spacing w:before="360" w:after="80" w:line="480" w:lineRule="auto"/>
      <w:outlineLvl w:val="0"/>
    </w:pPr>
    <w:rPr>
      <w:rFonts w:asciiTheme="majorHAnsi" w:eastAsiaTheme="majorEastAsia" w:hAnsiTheme="majorHAnsi" w:cstheme="majorBidi"/>
      <w:color w:val="0F4761" w:themeColor="accent1" w:themeShade="BF"/>
      <w:kern w:val="2"/>
      <w:sz w:val="40"/>
      <w:szCs w:val="40"/>
      <w:lang w:val="en-NP"/>
      <w14:ligatures w14:val="standardContextual"/>
    </w:rPr>
  </w:style>
  <w:style w:type="paragraph" w:styleId="Heading2">
    <w:name w:val="heading 2"/>
    <w:basedOn w:val="Normal"/>
    <w:next w:val="Normal"/>
    <w:link w:val="Heading2Char"/>
    <w:uiPriority w:val="9"/>
    <w:semiHidden/>
    <w:unhideWhenUsed/>
    <w:qFormat/>
    <w:rsid w:val="00382B3E"/>
    <w:pPr>
      <w:keepNext/>
      <w:keepLines/>
      <w:spacing w:before="160" w:after="80" w:line="480" w:lineRule="auto"/>
      <w:outlineLvl w:val="1"/>
    </w:pPr>
    <w:rPr>
      <w:rFonts w:asciiTheme="majorHAnsi" w:eastAsiaTheme="majorEastAsia" w:hAnsiTheme="majorHAnsi" w:cstheme="majorBidi"/>
      <w:color w:val="0F4761" w:themeColor="accent1" w:themeShade="BF"/>
      <w:kern w:val="2"/>
      <w:sz w:val="32"/>
      <w:szCs w:val="32"/>
      <w:lang w:val="en-NP"/>
      <w14:ligatures w14:val="standardContextual"/>
    </w:rPr>
  </w:style>
  <w:style w:type="paragraph" w:styleId="Heading3">
    <w:name w:val="heading 3"/>
    <w:basedOn w:val="Normal"/>
    <w:next w:val="Normal"/>
    <w:link w:val="Heading3Char"/>
    <w:uiPriority w:val="9"/>
    <w:semiHidden/>
    <w:unhideWhenUsed/>
    <w:qFormat/>
    <w:rsid w:val="00382B3E"/>
    <w:pPr>
      <w:keepNext/>
      <w:keepLines/>
      <w:spacing w:before="160" w:after="80" w:line="480" w:lineRule="auto"/>
      <w:outlineLvl w:val="2"/>
    </w:pPr>
    <w:rPr>
      <w:rFonts w:asciiTheme="minorHAnsi" w:eastAsiaTheme="majorEastAsia" w:hAnsiTheme="minorHAnsi" w:cstheme="majorBidi"/>
      <w:color w:val="0F4761" w:themeColor="accent1" w:themeShade="BF"/>
      <w:kern w:val="2"/>
      <w:sz w:val="28"/>
      <w:szCs w:val="28"/>
      <w:lang w:val="en-NP"/>
      <w14:ligatures w14:val="standardContextual"/>
    </w:rPr>
  </w:style>
  <w:style w:type="paragraph" w:styleId="Heading4">
    <w:name w:val="heading 4"/>
    <w:basedOn w:val="Normal"/>
    <w:next w:val="Normal"/>
    <w:link w:val="Heading4Char"/>
    <w:uiPriority w:val="9"/>
    <w:semiHidden/>
    <w:unhideWhenUsed/>
    <w:qFormat/>
    <w:rsid w:val="00382B3E"/>
    <w:pPr>
      <w:keepNext/>
      <w:keepLines/>
      <w:spacing w:before="80" w:after="40" w:line="480" w:lineRule="auto"/>
      <w:outlineLvl w:val="3"/>
    </w:pPr>
    <w:rPr>
      <w:rFonts w:asciiTheme="minorHAnsi" w:eastAsiaTheme="majorEastAsia" w:hAnsiTheme="minorHAnsi" w:cstheme="majorBidi"/>
      <w:i/>
      <w:iCs/>
      <w:color w:val="0F4761" w:themeColor="accent1" w:themeShade="BF"/>
      <w:kern w:val="2"/>
      <w:lang w:val="en-NP"/>
      <w14:ligatures w14:val="standardContextual"/>
    </w:rPr>
  </w:style>
  <w:style w:type="paragraph" w:styleId="Heading5">
    <w:name w:val="heading 5"/>
    <w:basedOn w:val="Normal"/>
    <w:next w:val="Normal"/>
    <w:link w:val="Heading5Char"/>
    <w:uiPriority w:val="9"/>
    <w:semiHidden/>
    <w:unhideWhenUsed/>
    <w:qFormat/>
    <w:rsid w:val="00382B3E"/>
    <w:pPr>
      <w:keepNext/>
      <w:keepLines/>
      <w:spacing w:before="80" w:after="40" w:line="480" w:lineRule="auto"/>
      <w:outlineLvl w:val="4"/>
    </w:pPr>
    <w:rPr>
      <w:rFonts w:asciiTheme="minorHAnsi" w:eastAsiaTheme="majorEastAsia" w:hAnsiTheme="minorHAnsi" w:cstheme="majorBidi"/>
      <w:color w:val="0F4761" w:themeColor="accent1" w:themeShade="BF"/>
      <w:kern w:val="2"/>
      <w:lang w:val="en-NP"/>
      <w14:ligatures w14:val="standardContextual"/>
    </w:rPr>
  </w:style>
  <w:style w:type="paragraph" w:styleId="Heading6">
    <w:name w:val="heading 6"/>
    <w:basedOn w:val="Normal"/>
    <w:next w:val="Normal"/>
    <w:link w:val="Heading6Char"/>
    <w:uiPriority w:val="9"/>
    <w:semiHidden/>
    <w:unhideWhenUsed/>
    <w:qFormat/>
    <w:rsid w:val="00382B3E"/>
    <w:pPr>
      <w:keepNext/>
      <w:keepLines/>
      <w:spacing w:before="40" w:line="480" w:lineRule="auto"/>
      <w:outlineLvl w:val="5"/>
    </w:pPr>
    <w:rPr>
      <w:rFonts w:asciiTheme="minorHAnsi" w:eastAsiaTheme="majorEastAsia" w:hAnsiTheme="minorHAnsi" w:cstheme="majorBidi"/>
      <w:i/>
      <w:iCs/>
      <w:color w:val="595959" w:themeColor="text1" w:themeTint="A6"/>
      <w:kern w:val="2"/>
      <w:lang w:val="en-NP"/>
      <w14:ligatures w14:val="standardContextual"/>
    </w:rPr>
  </w:style>
  <w:style w:type="paragraph" w:styleId="Heading7">
    <w:name w:val="heading 7"/>
    <w:basedOn w:val="Normal"/>
    <w:next w:val="Normal"/>
    <w:link w:val="Heading7Char"/>
    <w:uiPriority w:val="9"/>
    <w:semiHidden/>
    <w:unhideWhenUsed/>
    <w:qFormat/>
    <w:rsid w:val="00382B3E"/>
    <w:pPr>
      <w:keepNext/>
      <w:keepLines/>
      <w:spacing w:before="40" w:line="480" w:lineRule="auto"/>
      <w:outlineLvl w:val="6"/>
    </w:pPr>
    <w:rPr>
      <w:rFonts w:asciiTheme="minorHAnsi" w:eastAsiaTheme="majorEastAsia" w:hAnsiTheme="minorHAnsi" w:cstheme="majorBidi"/>
      <w:color w:val="595959" w:themeColor="text1" w:themeTint="A6"/>
      <w:kern w:val="2"/>
      <w:lang w:val="en-NP"/>
      <w14:ligatures w14:val="standardContextual"/>
    </w:rPr>
  </w:style>
  <w:style w:type="paragraph" w:styleId="Heading8">
    <w:name w:val="heading 8"/>
    <w:basedOn w:val="Normal"/>
    <w:next w:val="Normal"/>
    <w:link w:val="Heading8Char"/>
    <w:uiPriority w:val="9"/>
    <w:semiHidden/>
    <w:unhideWhenUsed/>
    <w:qFormat/>
    <w:rsid w:val="00382B3E"/>
    <w:pPr>
      <w:keepNext/>
      <w:keepLines/>
      <w:spacing w:line="480" w:lineRule="auto"/>
      <w:outlineLvl w:val="7"/>
    </w:pPr>
    <w:rPr>
      <w:rFonts w:asciiTheme="minorHAnsi" w:eastAsiaTheme="majorEastAsia" w:hAnsiTheme="minorHAnsi" w:cstheme="majorBidi"/>
      <w:i/>
      <w:iCs/>
      <w:color w:val="272727" w:themeColor="text1" w:themeTint="D8"/>
      <w:kern w:val="2"/>
      <w:lang w:val="en-NP"/>
      <w14:ligatures w14:val="standardContextual"/>
    </w:rPr>
  </w:style>
  <w:style w:type="paragraph" w:styleId="Heading9">
    <w:name w:val="heading 9"/>
    <w:basedOn w:val="Normal"/>
    <w:next w:val="Normal"/>
    <w:link w:val="Heading9Char"/>
    <w:uiPriority w:val="9"/>
    <w:semiHidden/>
    <w:unhideWhenUsed/>
    <w:qFormat/>
    <w:rsid w:val="00382B3E"/>
    <w:pPr>
      <w:keepNext/>
      <w:keepLines/>
      <w:spacing w:line="480" w:lineRule="auto"/>
      <w:outlineLvl w:val="8"/>
    </w:pPr>
    <w:rPr>
      <w:rFonts w:asciiTheme="minorHAnsi" w:eastAsiaTheme="majorEastAsia" w:hAnsiTheme="minorHAnsi" w:cstheme="majorBidi"/>
      <w:color w:val="272727" w:themeColor="text1" w:themeTint="D8"/>
      <w:kern w:val="2"/>
      <w:lang w:val="en-NP"/>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B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2B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2B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2B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2B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2B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2B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2B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2B3E"/>
    <w:rPr>
      <w:rFonts w:eastAsiaTheme="majorEastAsia" w:cstheme="majorBidi"/>
      <w:color w:val="272727" w:themeColor="text1" w:themeTint="D8"/>
    </w:rPr>
  </w:style>
  <w:style w:type="paragraph" w:styleId="Title">
    <w:name w:val="Title"/>
    <w:basedOn w:val="Normal"/>
    <w:next w:val="Normal"/>
    <w:link w:val="TitleChar"/>
    <w:uiPriority w:val="10"/>
    <w:qFormat/>
    <w:rsid w:val="00382B3E"/>
    <w:pPr>
      <w:spacing w:after="80"/>
      <w:contextualSpacing/>
    </w:pPr>
    <w:rPr>
      <w:rFonts w:asciiTheme="majorHAnsi" w:eastAsiaTheme="majorEastAsia" w:hAnsiTheme="majorHAnsi" w:cstheme="majorBidi"/>
      <w:spacing w:val="-10"/>
      <w:kern w:val="28"/>
      <w:sz w:val="56"/>
      <w:szCs w:val="56"/>
      <w:lang w:val="en-NP"/>
      <w14:ligatures w14:val="standardContextual"/>
    </w:rPr>
  </w:style>
  <w:style w:type="character" w:customStyle="1" w:styleId="TitleChar">
    <w:name w:val="Title Char"/>
    <w:basedOn w:val="DefaultParagraphFont"/>
    <w:link w:val="Title"/>
    <w:uiPriority w:val="10"/>
    <w:rsid w:val="00382B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2B3E"/>
    <w:pPr>
      <w:numPr>
        <w:ilvl w:val="1"/>
      </w:numPr>
      <w:spacing w:after="160" w:line="480" w:lineRule="auto"/>
    </w:pPr>
    <w:rPr>
      <w:rFonts w:asciiTheme="minorHAnsi" w:eastAsiaTheme="majorEastAsia" w:hAnsiTheme="minorHAnsi" w:cstheme="majorBidi"/>
      <w:color w:val="595959" w:themeColor="text1" w:themeTint="A6"/>
      <w:spacing w:val="15"/>
      <w:kern w:val="2"/>
      <w:sz w:val="28"/>
      <w:szCs w:val="28"/>
      <w:lang w:val="en-NP"/>
      <w14:ligatures w14:val="standardContextual"/>
    </w:rPr>
  </w:style>
  <w:style w:type="character" w:customStyle="1" w:styleId="SubtitleChar">
    <w:name w:val="Subtitle Char"/>
    <w:basedOn w:val="DefaultParagraphFont"/>
    <w:link w:val="Subtitle"/>
    <w:uiPriority w:val="11"/>
    <w:rsid w:val="00382B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2B3E"/>
    <w:pPr>
      <w:spacing w:before="160" w:after="160" w:line="480" w:lineRule="auto"/>
      <w:jc w:val="center"/>
    </w:pPr>
    <w:rPr>
      <w:rFonts w:asciiTheme="minorHAnsi" w:eastAsiaTheme="minorHAnsi" w:hAnsiTheme="minorHAnsi" w:cstheme="minorBidi"/>
      <w:i/>
      <w:iCs/>
      <w:color w:val="404040" w:themeColor="text1" w:themeTint="BF"/>
      <w:kern w:val="2"/>
      <w:lang w:val="en-NP"/>
      <w14:ligatures w14:val="standardContextual"/>
    </w:rPr>
  </w:style>
  <w:style w:type="character" w:customStyle="1" w:styleId="QuoteChar">
    <w:name w:val="Quote Char"/>
    <w:basedOn w:val="DefaultParagraphFont"/>
    <w:link w:val="Quote"/>
    <w:uiPriority w:val="29"/>
    <w:rsid w:val="00382B3E"/>
    <w:rPr>
      <w:i/>
      <w:iCs/>
      <w:color w:val="404040" w:themeColor="text1" w:themeTint="BF"/>
    </w:rPr>
  </w:style>
  <w:style w:type="paragraph" w:styleId="ListParagraph">
    <w:name w:val="List Paragraph"/>
    <w:basedOn w:val="Normal"/>
    <w:uiPriority w:val="34"/>
    <w:qFormat/>
    <w:rsid w:val="00382B3E"/>
    <w:pPr>
      <w:spacing w:after="160" w:line="480" w:lineRule="auto"/>
      <w:ind w:left="720"/>
      <w:contextualSpacing/>
    </w:pPr>
    <w:rPr>
      <w:rFonts w:asciiTheme="minorHAnsi" w:eastAsiaTheme="minorHAnsi" w:hAnsiTheme="minorHAnsi" w:cstheme="minorBidi"/>
      <w:kern w:val="2"/>
      <w:lang w:val="en-NP"/>
      <w14:ligatures w14:val="standardContextual"/>
    </w:rPr>
  </w:style>
  <w:style w:type="character" w:styleId="IntenseEmphasis">
    <w:name w:val="Intense Emphasis"/>
    <w:basedOn w:val="DefaultParagraphFont"/>
    <w:uiPriority w:val="21"/>
    <w:qFormat/>
    <w:rsid w:val="00382B3E"/>
    <w:rPr>
      <w:i/>
      <w:iCs/>
      <w:color w:val="0F4761" w:themeColor="accent1" w:themeShade="BF"/>
    </w:rPr>
  </w:style>
  <w:style w:type="paragraph" w:styleId="IntenseQuote">
    <w:name w:val="Intense Quote"/>
    <w:basedOn w:val="Normal"/>
    <w:next w:val="Normal"/>
    <w:link w:val="IntenseQuoteChar"/>
    <w:uiPriority w:val="30"/>
    <w:qFormat/>
    <w:rsid w:val="00382B3E"/>
    <w:pPr>
      <w:pBdr>
        <w:top w:val="single" w:sz="4" w:space="10" w:color="0F4761" w:themeColor="accent1" w:themeShade="BF"/>
        <w:bottom w:val="single" w:sz="4" w:space="10" w:color="0F4761" w:themeColor="accent1" w:themeShade="BF"/>
      </w:pBdr>
      <w:spacing w:before="360" w:after="360" w:line="480" w:lineRule="auto"/>
      <w:ind w:left="864" w:right="864"/>
      <w:jc w:val="center"/>
    </w:pPr>
    <w:rPr>
      <w:rFonts w:asciiTheme="minorHAnsi" w:eastAsiaTheme="minorHAnsi" w:hAnsiTheme="minorHAnsi" w:cstheme="minorBidi"/>
      <w:i/>
      <w:iCs/>
      <w:color w:val="0F4761" w:themeColor="accent1" w:themeShade="BF"/>
      <w:kern w:val="2"/>
      <w:lang w:val="en-NP"/>
      <w14:ligatures w14:val="standardContextual"/>
    </w:rPr>
  </w:style>
  <w:style w:type="character" w:customStyle="1" w:styleId="IntenseQuoteChar">
    <w:name w:val="Intense Quote Char"/>
    <w:basedOn w:val="DefaultParagraphFont"/>
    <w:link w:val="IntenseQuote"/>
    <w:uiPriority w:val="30"/>
    <w:rsid w:val="00382B3E"/>
    <w:rPr>
      <w:i/>
      <w:iCs/>
      <w:color w:val="0F4761" w:themeColor="accent1" w:themeShade="BF"/>
    </w:rPr>
  </w:style>
  <w:style w:type="character" w:styleId="IntenseReference">
    <w:name w:val="Intense Reference"/>
    <w:basedOn w:val="DefaultParagraphFont"/>
    <w:uiPriority w:val="32"/>
    <w:qFormat/>
    <w:rsid w:val="00382B3E"/>
    <w:rPr>
      <w:b/>
      <w:bCs/>
      <w:smallCaps/>
      <w:color w:val="0F4761" w:themeColor="accent1" w:themeShade="BF"/>
      <w:spacing w:val="5"/>
    </w:rPr>
  </w:style>
  <w:style w:type="table" w:styleId="TableGrid">
    <w:name w:val="Table Grid"/>
    <w:basedOn w:val="TableNormal"/>
    <w:uiPriority w:val="39"/>
    <w:rsid w:val="006047B0"/>
    <w:pPr>
      <w:spacing w:after="0" w:line="240" w:lineRule="auto"/>
    </w:pPr>
    <w:rPr>
      <w:rFonts w:ascii="Aptos" w:eastAsia="Aptos" w:hAnsi="Aptos" w:cs="Mangal"/>
      <w:kern w:val="0"/>
      <w:sz w:val="20"/>
      <w:szCs w:val="20"/>
      <w:lang w:val="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318</Words>
  <Characters>1817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Gaurab Bhattarai</dc:creator>
  <cp:keywords/>
  <dc:description/>
  <cp:lastModifiedBy>Gaurab Bhattarai</cp:lastModifiedBy>
  <cp:revision>2</cp:revision>
  <dcterms:created xsi:type="dcterms:W3CDTF">2026-05-08T07:20:00Z</dcterms:created>
  <dcterms:modified xsi:type="dcterms:W3CDTF">2026-05-08T07:21:00Z</dcterms:modified>
</cp:coreProperties>
</file>