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31EB" w:rsidRPr="00B3775A" w:rsidRDefault="003D31EB" w:rsidP="003D31EB">
      <w:pPr>
        <w:rPr>
          <w:rFonts w:ascii="Arial" w:hAnsi="Arial" w:cs="Arial"/>
          <w:b/>
          <w:bCs/>
        </w:rPr>
      </w:pPr>
    </w:p>
    <w:p w:rsidR="003D31EB" w:rsidRPr="00B3775A" w:rsidRDefault="003D31EB" w:rsidP="003D31EB">
      <w:pPr>
        <w:pStyle w:val="Heading1"/>
      </w:pPr>
      <w:r>
        <w:t>SUPPLEMENTARY MATERIALS</w:t>
      </w:r>
    </w:p>
    <w:p w:rsidR="003D31EB" w:rsidRDefault="003D31EB" w:rsidP="003D31EB">
      <w:pPr>
        <w:rPr>
          <w:rFonts w:ascii="Arial" w:hAnsi="Arial" w:cs="Arial"/>
          <w:b/>
          <w:bCs/>
          <w:u w:val="single"/>
        </w:rPr>
      </w:pPr>
    </w:p>
    <w:p w:rsidR="003D31EB" w:rsidRDefault="003D31EB" w:rsidP="003D31EB">
      <w:pPr>
        <w:widowControl w:val="0"/>
        <w:autoSpaceDE w:val="0"/>
        <w:autoSpaceDN w:val="0"/>
        <w:adjustRightInd w:val="0"/>
        <w:jc w:val="both"/>
        <w:rPr>
          <w:rFonts w:ascii="Arial" w:hAnsi="Arial" w:cs="Arial"/>
          <w:b/>
          <w:bCs/>
          <w:u w:val="single"/>
        </w:rPr>
      </w:pPr>
    </w:p>
    <w:p w:rsidR="003D31EB" w:rsidRDefault="003D31EB" w:rsidP="003D31EB">
      <w:pPr>
        <w:widowControl w:val="0"/>
        <w:autoSpaceDE w:val="0"/>
        <w:autoSpaceDN w:val="0"/>
        <w:adjustRightInd w:val="0"/>
        <w:jc w:val="both"/>
        <w:rPr>
          <w:rFonts w:ascii="Arial" w:hAnsi="Arial" w:cs="Arial"/>
          <w:b/>
          <w:bCs/>
        </w:rPr>
      </w:pPr>
      <w:r>
        <w:rPr>
          <w:rFonts w:ascii="Arial" w:hAnsi="Arial" w:cs="Arial"/>
          <w:b/>
          <w:bCs/>
        </w:rPr>
        <w:t>Supplementary analyses at the global scale</w:t>
      </w:r>
    </w:p>
    <w:p w:rsidR="003D31EB" w:rsidRPr="00B3775A" w:rsidRDefault="003D31EB" w:rsidP="003D31EB">
      <w:pPr>
        <w:jc w:val="both"/>
        <w:rPr>
          <w:rFonts w:ascii="Arial" w:hAnsi="Arial" w:cs="Arial"/>
          <w:color w:val="000000"/>
        </w:rPr>
      </w:pPr>
      <w:r>
        <w:rPr>
          <w:rFonts w:ascii="Arial" w:hAnsi="Arial" w:cs="Arial"/>
          <w:color w:val="000000"/>
        </w:rPr>
        <w:t>Potential effects upon amyloid and FDG PET were additionally evaluated by comparing SUVRs for whole cortex and a temporoparietal ROI in the hemisphere of the implant  versus the opposite hemisphere and a slightly different set of processing steps. T</w:t>
      </w:r>
      <w:r w:rsidRPr="00B3775A">
        <w:rPr>
          <w:rFonts w:ascii="Arial" w:hAnsi="Arial" w:cs="Arial"/>
          <w:color w:val="000000"/>
        </w:rPr>
        <w:t>he T1w MR images acquired during both the FDG and amyloid PET/MR acquisitions at M0, M4 and M8 were corrected for intensity non-uniformity following a non-parametric intensity non-uniformity normalization method</w:t>
      </w:r>
      <w:r>
        <w:rPr>
          <w:rFonts w:ascii="Arial" w:hAnsi="Arial" w:cs="Arial"/>
          <w:color w:val="000000"/>
        </w:rPr>
        <w:t xml:space="preserve"> </w:t>
      </w:r>
      <w:r w:rsidRPr="00B3775A">
        <w:rPr>
          <w:rFonts w:ascii="Arial" w:hAnsi="Arial" w:cs="Arial"/>
          <w:color w:val="000000"/>
        </w:rPr>
        <w:fldChar w:fldCharType="begin" w:fldLock="1"/>
      </w:r>
      <w:r>
        <w:rPr>
          <w:rFonts w:ascii="Arial" w:hAnsi="Arial" w:cs="Arial"/>
          <w:color w:val="000000"/>
        </w:rPr>
        <w:instrText>ADDIN CSL_CITATION {"citationItems":[{"id":"ITEM-1","itemData":{"ISSN":"0278-0062","author":[{"dropping-particle":"","family":"Tustison","given":"Nicholas J","non-dropping-particle":"","parse-names":false,"suffix":""},{"dropping-particle":"","family":"Avants","given":"Brian B","non-dropping-particle":"","parse-names":false,"suffix":""},{"dropping-particle":"","family":"Cook","given":"Philip A","non-dropping-particle":"","parse-names":false,"suffix":""},{"dropping-particle":"","family":"Zheng","given":"Yuanjie","non-dropping-particle":"","parse-names":false,"suffix":""},{"dropping-particle":"","family":"Egan","given":"Alexander","non-dropping-particle":"","parse-names":false,"suffix":""},{"dropping-particle":"","family":"Yushkevich","given":"Paul A","non-dropping-particle":"","parse-names":false,"suffix":""},{"dropping-particle":"","family":"Gee","given":"James C","non-dropping-particle":"","parse-names":false,"suffix":""}],"container-title":"IEEE transactions on medical imaging","id":"ITEM-1","issue":"6","issued":{"date-parts":[["2010"]]},"page":"1310-1320","publisher":"IEEE","title":"N4ITK: improved N3 bias correction","type":"article-journal","volume":"29"},"uris":["http://www.mendeley.com/documents/?uuid=05abdbb1-b8cc-43a0-ba63-55f6a8232279","http://www.mendeley.com/documents/?uuid=1e1ca6b3-04fe-4d8f-a0b8-06af426744d2"]}],"mendeley":{"formattedCitation":"(47)","plainTextFormattedCitation":"(47)","previouslyFormattedCitation":"(41)"},"properties":{"noteIndex":0},"schema":"https://github.com/citation-style-language/schema/raw/master/csl-citation.json"}</w:instrText>
      </w:r>
      <w:r w:rsidRPr="00B3775A">
        <w:rPr>
          <w:rFonts w:ascii="Arial" w:hAnsi="Arial" w:cs="Arial"/>
          <w:color w:val="000000"/>
        </w:rPr>
        <w:fldChar w:fldCharType="separate"/>
      </w:r>
      <w:r w:rsidRPr="00E70B69">
        <w:rPr>
          <w:rFonts w:ascii="Arial" w:hAnsi="Arial" w:cs="Arial"/>
          <w:noProof/>
          <w:color w:val="000000"/>
        </w:rPr>
        <w:t>(47)</w:t>
      </w:r>
      <w:r w:rsidRPr="00B3775A">
        <w:rPr>
          <w:rFonts w:ascii="Arial" w:hAnsi="Arial" w:cs="Arial"/>
          <w:color w:val="000000"/>
        </w:rPr>
        <w:fldChar w:fldCharType="end"/>
      </w:r>
      <w:r w:rsidRPr="00B3775A">
        <w:rPr>
          <w:rFonts w:ascii="Arial" w:hAnsi="Arial" w:cs="Arial"/>
          <w:color w:val="000000"/>
        </w:rPr>
        <w:t xml:space="preserve"> and </w:t>
      </w:r>
      <w:r w:rsidRPr="00B3775A">
        <w:rPr>
          <w:rFonts w:ascii="Arial" w:hAnsi="Arial" w:cs="Arial"/>
        </w:rPr>
        <w:t>each PET image was rigidly registered to its corresponding, simultaneously acquired, T1w MR image</w:t>
      </w:r>
      <w:r>
        <w:rPr>
          <w:rFonts w:ascii="Arial" w:hAnsi="Arial" w:cs="Arial"/>
        </w:rPr>
        <w:t xml:space="preserve"> </w:t>
      </w:r>
      <w:r w:rsidRPr="00B3775A">
        <w:rPr>
          <w:rFonts w:ascii="Arial" w:hAnsi="Arial" w:cs="Arial"/>
        </w:rPr>
        <w:fldChar w:fldCharType="begin" w:fldLock="1"/>
      </w:r>
      <w:r>
        <w:rPr>
          <w:rFonts w:ascii="Arial" w:hAnsi="Arial" w:cs="Arial"/>
        </w:rPr>
        <w:instrText>ADDIN CSL_CITATION {"citationItems":[{"id":"ITEM-1","itemData":{"ISSN":"2329-4302","author":[{"dropping-particle":"","family":"Modat","given":"Marc","non-dropping-particle":"","parse-names":false,"suffix":""},{"dropping-particle":"","family":"Cash","given":"David M","non-dropping-particle":"","parse-names":false,"suffix":""},{"dropping-particle":"","family":"Daga","given":"Pankaj","non-dropping-particle":"","parse-names":false,"suffix":""},{"dropping-particle":"","family":"Winston","given":"Gavin P","non-dropping-particle":"","parse-names":false,"suffix":""},{"dropping-particle":"","family":"Duncan","given":"John S","non-dropping-particle":"","parse-names":false,"suffix":""},{"dropping-particle":"","family":"Ourselin","given":"Sébastien","non-dropping-particle":"","parse-names":false,"suffix":""}],"container-title":"Journal of Medical Imaging","id":"ITEM-1","issue":"2","issued":{"date-parts":[["2014"]]},"page":"24003","publisher":"International Society for Optics and Photonics","title":"Global image registration using a symmetric block-matching approach","type":"article-journal","volume":"1"},"uris":["http://www.mendeley.com/documents/?uuid=1edb7857-bba8-43ca-b4fa-5c177698645a","http://www.mendeley.com/documents/?uuid=c64a1b78-dd1a-447f-aa4c-b6e58e0d159a"]}],"mendeley":{"formattedCitation":"(48)","plainTextFormattedCitation":"(48)","previouslyFormattedCitation":"(42)"},"properties":{"noteIndex":0},"schema":"https://github.com/citation-style-language/schema/raw/master/csl-citation.json"}</w:instrText>
      </w:r>
      <w:r w:rsidRPr="00B3775A">
        <w:rPr>
          <w:rFonts w:ascii="Arial" w:hAnsi="Arial" w:cs="Arial"/>
        </w:rPr>
        <w:fldChar w:fldCharType="separate"/>
      </w:r>
      <w:r w:rsidRPr="00E70B69">
        <w:rPr>
          <w:rFonts w:ascii="Arial" w:hAnsi="Arial" w:cs="Arial"/>
          <w:noProof/>
        </w:rPr>
        <w:t>(48)</w:t>
      </w:r>
      <w:r w:rsidRPr="00B3775A">
        <w:rPr>
          <w:rFonts w:ascii="Arial" w:hAnsi="Arial" w:cs="Arial"/>
        </w:rPr>
        <w:fldChar w:fldCharType="end"/>
      </w:r>
      <w:r w:rsidRPr="00B3775A">
        <w:rPr>
          <w:rFonts w:ascii="Arial" w:hAnsi="Arial" w:cs="Arial"/>
        </w:rPr>
        <w:t xml:space="preserve">. </w:t>
      </w:r>
      <w:r w:rsidRPr="00B3775A">
        <w:rPr>
          <w:rFonts w:ascii="Arial" w:hAnsi="Arial" w:cs="Arial"/>
          <w:color w:val="000000"/>
        </w:rPr>
        <w:t>The T1w MR and PET images were then globally aligned in a common space via an affine groupwise registration</w:t>
      </w:r>
      <w:r>
        <w:rPr>
          <w:rFonts w:ascii="Arial" w:hAnsi="Arial" w:cs="Arial"/>
          <w:color w:val="000000"/>
        </w:rPr>
        <w:t xml:space="preserve"> </w:t>
      </w:r>
      <w:r w:rsidRPr="00B3775A">
        <w:rPr>
          <w:rFonts w:ascii="Arial" w:hAnsi="Arial" w:cs="Arial"/>
          <w:color w:val="000000"/>
        </w:rPr>
        <w:fldChar w:fldCharType="begin" w:fldLock="1"/>
      </w:r>
      <w:r>
        <w:rPr>
          <w:rFonts w:ascii="Arial" w:hAnsi="Arial" w:cs="Arial"/>
          <w:color w:val="000000"/>
        </w:rPr>
        <w:instrText>ADDIN CSL_CITATION {"citationItems":[{"id":"ITEM-1","itemData":{"ISSN":"2329-4302","author":[{"dropping-particle":"","family":"Modat","given":"Marc","non-dropping-particle":"","parse-names":false,"suffix":""},{"dropping-particle":"","family":"Cash","given":"David M","non-dropping-particle":"","parse-names":false,"suffix":""},{"dropping-particle":"","family":"Daga","given":"Pankaj","non-dropping-particle":"","parse-names":false,"suffix":""},{"dropping-particle":"","family":"Winston","given":"Gavin P","non-dropping-particle":"","parse-names":false,"suffix":""},{"dropping-particle":"","family":"Duncan","given":"John S","non-dropping-particle":"","parse-names":false,"suffix":""},{"dropping-particle":"","family":"Ourselin","given":"Sébastien","non-dropping-particle":"","parse-names":false,"suffix":""}],"container-title":"Journal of Medical Imaging","id":"ITEM-1","issue":"2","issued":{"date-parts":[["2014"]]},"page":"24003","publisher":"International Society for Optics and Photonics","title":"Global image registration using a symmetric block-matching approach","type":"article-journal","volume":"1"},"uris":["http://www.mendeley.com/documents/?uuid=c64a1b78-dd1a-447f-aa4c-b6e58e0d159a","http://www.mendeley.com/documents/?uuid=1edb7857-bba8-43ca-b4fa-5c177698645a"]}],"mendeley":{"formattedCitation":"(48)","plainTextFormattedCitation":"(48)","previouslyFormattedCitation":"(42)"},"properties":{"noteIndex":0},"schema":"https://github.com/citation-style-language/schema/raw/master/csl-citation.json"}</w:instrText>
      </w:r>
      <w:r w:rsidRPr="00B3775A">
        <w:rPr>
          <w:rFonts w:ascii="Arial" w:hAnsi="Arial" w:cs="Arial"/>
          <w:color w:val="000000"/>
        </w:rPr>
        <w:fldChar w:fldCharType="separate"/>
      </w:r>
      <w:r w:rsidRPr="00E70B69">
        <w:rPr>
          <w:rFonts w:ascii="Arial" w:hAnsi="Arial" w:cs="Arial"/>
          <w:noProof/>
          <w:color w:val="000000"/>
        </w:rPr>
        <w:t>(48)</w:t>
      </w:r>
      <w:r w:rsidRPr="00B3775A">
        <w:rPr>
          <w:rFonts w:ascii="Arial" w:hAnsi="Arial" w:cs="Arial"/>
          <w:color w:val="000000"/>
        </w:rPr>
        <w:fldChar w:fldCharType="end"/>
      </w:r>
      <w:r w:rsidRPr="00B3775A">
        <w:rPr>
          <w:rFonts w:ascii="Arial" w:hAnsi="Arial" w:cs="Arial"/>
          <w:color w:val="000000"/>
        </w:rPr>
        <w:t>.</w:t>
      </w:r>
      <w:r w:rsidRPr="00B3775A">
        <w:rPr>
          <w:rFonts w:ascii="Arial" w:hAnsi="Arial" w:cs="Arial"/>
        </w:rPr>
        <w:t xml:space="preserve"> The T1w MR images were further </w:t>
      </w:r>
      <w:r w:rsidRPr="00B3775A">
        <w:rPr>
          <w:rFonts w:ascii="Arial" w:hAnsi="Arial" w:cs="Arial"/>
          <w:color w:val="000000"/>
        </w:rPr>
        <w:t>parcellated into 143 different regions using a multi-atlas propagation and fusion algorithm</w:t>
      </w:r>
      <w:r>
        <w:rPr>
          <w:rFonts w:ascii="Arial" w:hAnsi="Arial" w:cs="Arial"/>
          <w:color w:val="000000"/>
        </w:rPr>
        <w:t xml:space="preserve"> </w:t>
      </w:r>
      <w:r w:rsidRPr="00B3775A">
        <w:rPr>
          <w:rFonts w:ascii="Arial" w:hAnsi="Arial" w:cs="Arial"/>
          <w:color w:val="000000"/>
        </w:rPr>
        <w:fldChar w:fldCharType="begin" w:fldLock="1"/>
      </w:r>
      <w:r>
        <w:rPr>
          <w:rFonts w:ascii="Arial" w:hAnsi="Arial" w:cs="Arial"/>
          <w:color w:val="000000"/>
        </w:rPr>
        <w:instrText>ADDIN CSL_CITATION {"citationItems":[{"id":"ITEM-1","itemData":{"ISSN":"0278-0062","author":[{"dropping-particle":"","family":"Cardoso","given":"M Jorge","non-dropping-particle":"","parse-names":false,"suffix":""},{"dropping-particle":"","family":"Modat","given":"Marc","non-dropping-particle":"","parse-names":false,"suffix":""},{"dropping-particle":"","family":"Wolz","given":"Robin","non-dropping-particle":"","parse-names":false,"suffix":""},{"dropping-particle":"","family":"Melbourne","given":"Andrew","non-dropping-particle":"","parse-names":false,"suffix":""},{"dropping-particle":"","family":"Cash","given":"David","non-dropping-particle":"","parse-names":false,"suffix":""},{"dropping-particle":"","family":"Rueckert","given":"Daniel","non-dropping-particle":"","parse-names":false,"suffix":""},{"dropping-particle":"","family":"Ourselin","given":"Sebastien","non-dropping-particle":"","parse-names":false,"suffix":""}],"container-title":"IEEE transactions on medical imaging","id":"ITEM-1","issue":"9","issued":{"date-parts":[["2015"]]},"page":"1976-1988","publisher":"IEEE","title":"Geodesic information flows: spatially-variant graphs and their application to segmentation and fusion","type":"article-journal","volume":"34"},"uris":["http://www.mendeley.com/documents/?uuid=3c01883a-0683-43e6-bd85-368fcfc397ba","http://www.mendeley.com/documents/?uuid=ebf72ae5-ba0b-4ef6-8c63-220e92f622d4"]}],"mendeley":{"formattedCitation":"(49)","plainTextFormattedCitation":"(49)","previouslyFormattedCitation":"(43)"},"properties":{"noteIndex":0},"schema":"https://github.com/citation-style-language/schema/raw/master/csl-citation.json"}</w:instrText>
      </w:r>
      <w:r w:rsidRPr="00B3775A">
        <w:rPr>
          <w:rFonts w:ascii="Arial" w:hAnsi="Arial" w:cs="Arial"/>
          <w:color w:val="000000"/>
        </w:rPr>
        <w:fldChar w:fldCharType="separate"/>
      </w:r>
      <w:r w:rsidRPr="00E70B69">
        <w:rPr>
          <w:rFonts w:ascii="Arial" w:hAnsi="Arial" w:cs="Arial"/>
          <w:noProof/>
          <w:color w:val="000000"/>
        </w:rPr>
        <w:t>(49)</w:t>
      </w:r>
      <w:r w:rsidRPr="00B3775A">
        <w:rPr>
          <w:rFonts w:ascii="Arial" w:hAnsi="Arial" w:cs="Arial"/>
          <w:color w:val="000000"/>
        </w:rPr>
        <w:fldChar w:fldCharType="end"/>
      </w:r>
      <w:r w:rsidRPr="00B3775A">
        <w:rPr>
          <w:rFonts w:ascii="Arial" w:hAnsi="Arial" w:cs="Arial"/>
        </w:rPr>
        <w:t xml:space="preserve">. A consensus parcellation was obtained by computing the intersection of the individual parcellations. </w:t>
      </w:r>
      <w:r w:rsidRPr="00B3775A">
        <w:rPr>
          <w:rFonts w:ascii="Arial" w:hAnsi="Arial" w:cs="Arial"/>
          <w:color w:val="000000"/>
        </w:rPr>
        <w:t>The PET images were intensity-normalized using the average uptake in reference regions that were extracted from the consensus parcellation to obtain standardized uptake value ratio (SUVR) maps. As we analyze longitudinal data, a region comprising the cerebellar lobules III, IV, V, VI and entire vermis was used for the FDG PET images</w:t>
      </w:r>
      <w:r>
        <w:rPr>
          <w:rFonts w:ascii="Arial" w:hAnsi="Arial" w:cs="Arial"/>
          <w:color w:val="000000"/>
        </w:rPr>
        <w:t xml:space="preserve"> </w:t>
      </w:r>
      <w:r w:rsidRPr="00B3775A">
        <w:rPr>
          <w:rFonts w:ascii="Arial" w:hAnsi="Arial" w:cs="Arial"/>
          <w:color w:val="000000"/>
        </w:rPr>
        <w:fldChar w:fldCharType="begin" w:fldLock="1"/>
      </w:r>
      <w:r>
        <w:rPr>
          <w:rFonts w:ascii="Arial" w:hAnsi="Arial" w:cs="Arial"/>
          <w:color w:val="000000"/>
        </w:rPr>
        <w:instrText>ADDIN CSL_CITATION {"citationItems":[{"id":"ITEM-1","itemData":{"ISSN":"0925-4439","author":[{"dropping-particle":"","family":"Rasmussen","given":"Jerod M","non-dropping-particle":"","parse-names":false,"suffix":""},{"dropping-particle":"","family":"Lakatos","given":"Anita","non-dropping-particle":"","parse-names":false,"suffix":""},{"dropping-particle":"","family":"Erp","given":"Theo G M","non-dropping-particle":"van","parse-names":false,"suffix":""},{"dropping-particle":"","family":"Kruggel","given":"Frithjof","non-dropping-particle":"","parse-names":false,"suffix":""},{"dropping-particle":"","family":"Keator","given":"David B","non-dropping-particle":"","parse-names":false,"suffix":""},{"dropping-particle":"","family":"Fallon","given":"James T","non-dropping-particle":"","parse-names":false,"suffix":""},{"dropping-particle":"","family":"Macciardi","given":"Fabio","non-dropping-particle":"","parse-names":false,"suffix":""},{"dropping-particle":"","family":"Potkin","given":"Steven G","non-dropping-particle":"","parse-names":false,"suffix":""},{"dropping-particle":"","family":"Initiative","given":"Alzheimer's Disease Neuroimaging","non-dropping-particle":"","parse-names":false,"suffix":""}],"container-title":"Biochimica et Biophysica Acta (BBA)-Molecular Basis of Disease","id":"ITEM-1","issue":"3","issued":{"date-parts":[["2012"]]},"page":"457-466","publisher":"Elsevier","title":"Empirical derivation of the reference region for computing diagnostic sensitive 18fluorodeoxyglucose ratios in Alzheimer's disease based on the ADNI sample","type":"article-journal","volume":"1822"},"uris":["http://www.mendeley.com/documents/?uuid=32f2cb61-3e95-47e3-ae4e-46c8c97089e6","http://www.mendeley.com/documents/?uuid=41094be0-df67-48ba-bd5a-181e4656f573"]}],"mendeley":{"formattedCitation":"(50)","plainTextFormattedCitation":"(50)","previouslyFormattedCitation":"(44)"},"properties":{"noteIndex":0},"schema":"https://github.com/citation-style-language/schema/raw/master/csl-citation.json"}</w:instrText>
      </w:r>
      <w:r w:rsidRPr="00B3775A">
        <w:rPr>
          <w:rFonts w:ascii="Arial" w:hAnsi="Arial" w:cs="Arial"/>
          <w:color w:val="000000"/>
        </w:rPr>
        <w:fldChar w:fldCharType="separate"/>
      </w:r>
      <w:r w:rsidRPr="00E70B69">
        <w:rPr>
          <w:rFonts w:ascii="Arial" w:hAnsi="Arial" w:cs="Arial"/>
          <w:noProof/>
          <w:color w:val="000000"/>
        </w:rPr>
        <w:t>(50)</w:t>
      </w:r>
      <w:r w:rsidRPr="00B3775A">
        <w:rPr>
          <w:rFonts w:ascii="Arial" w:hAnsi="Arial" w:cs="Arial"/>
          <w:color w:val="000000"/>
        </w:rPr>
        <w:fldChar w:fldCharType="end"/>
      </w:r>
      <w:r w:rsidRPr="00B3775A">
        <w:rPr>
          <w:rFonts w:ascii="Arial" w:hAnsi="Arial" w:cs="Arial"/>
          <w:color w:val="000000"/>
        </w:rPr>
        <w:t xml:space="preserve"> and a region comprising the eroded white matter, whole cerebellum, and brainstem was used for the amyloid PET images</w:t>
      </w:r>
      <w:r>
        <w:rPr>
          <w:rFonts w:ascii="Arial" w:hAnsi="Arial" w:cs="Arial"/>
          <w:color w:val="000000"/>
        </w:rPr>
        <w:t xml:space="preserve"> </w:t>
      </w:r>
      <w:r w:rsidRPr="00B3775A">
        <w:rPr>
          <w:rFonts w:ascii="Arial" w:hAnsi="Arial" w:cs="Arial"/>
          <w:color w:val="000000"/>
        </w:rPr>
        <w:fldChar w:fldCharType="begin" w:fldLock="1"/>
      </w:r>
      <w:r>
        <w:rPr>
          <w:rFonts w:ascii="Arial" w:hAnsi="Arial" w:cs="Arial"/>
          <w:color w:val="000000"/>
        </w:rPr>
        <w:instrText>ADDIN CSL_CITATION {"citationItems":[{"id":"ITEM-1","itemData":{"ISSN":"0161-5505","author":[{"dropping-particle":"","family":"Landau","given":"Susan M","non-dropping-particle":"","parse-names":false,"suffix":""},{"dropping-particle":"","family":"Fero","given":"Allison","non-dropping-particle":"","parse-names":false,"suffix":""},{"dropping-particle":"","family":"Baker","given":"Suzanne L","non-dropping-particle":"","parse-names":false,"suffix":""},{"dropping-particle":"","family":"Koeppe","given":"Robert","non-dropping-particle":"","parse-names":false,"suffix":""},{"dropping-particle":"","family":"Mintun","given":"Mark","non-dropping-particle":"","parse-names":false,"suffix":""},{"dropping-particle":"","family":"Chen","given":"Kewei","non-dropping-particle":"","parse-names":false,"suffix":""},{"dropping-particle":"","family":"Reiman","given":"Eric M","non-dropping-particle":"","parse-names":false,"suffix":""},{"dropping-particle":"","family":"Jagust","given":"William J","non-dropping-particle":"","parse-names":false,"suffix":""}],"container-title":"Journal of Nuclear Medicine","id":"ITEM-1","issue":"4","issued":{"date-parts":[["2015"]]},"page":"567-574","publisher":"Soc Nuclear Med","title":"Measurement of longitudinal β-amyloid change with 18F-florbetapir PET and standardized uptake value ratios","type":"article-journal","volume":"56"},"uris":["http://www.mendeley.com/documents/?uuid=d0f950a0-0969-4783-bef8-9b092b247f6c","http://www.mendeley.com/documents/?uuid=e1bb440f-657d-4b46-a002-358eb18912a4"]}],"mendeley":{"formattedCitation":"(51)","plainTextFormattedCitation":"(51)","previouslyFormattedCitation":"(45)"},"properties":{"noteIndex":0},"schema":"https://github.com/citation-style-language/schema/raw/master/csl-citation.json"}</w:instrText>
      </w:r>
      <w:r w:rsidRPr="00B3775A">
        <w:rPr>
          <w:rFonts w:ascii="Arial" w:hAnsi="Arial" w:cs="Arial"/>
          <w:color w:val="000000"/>
        </w:rPr>
        <w:fldChar w:fldCharType="separate"/>
      </w:r>
      <w:r w:rsidRPr="00E70B69">
        <w:rPr>
          <w:rFonts w:ascii="Arial" w:hAnsi="Arial" w:cs="Arial"/>
          <w:noProof/>
          <w:color w:val="000000"/>
        </w:rPr>
        <w:t>(51)</w:t>
      </w:r>
      <w:r w:rsidRPr="00B3775A">
        <w:rPr>
          <w:rFonts w:ascii="Arial" w:hAnsi="Arial" w:cs="Arial"/>
          <w:color w:val="000000"/>
        </w:rPr>
        <w:fldChar w:fldCharType="end"/>
      </w:r>
      <w:r w:rsidRPr="00B3775A">
        <w:rPr>
          <w:rFonts w:ascii="Arial" w:hAnsi="Arial" w:cs="Arial"/>
          <w:color w:val="000000"/>
        </w:rPr>
        <w:t>. Two ROIs, also extracted from the consensus parcellation, were considered when analyzing the PET images: a large region corresponding to the whole cortex and a small region surrounding the device comprising the angular, supramarginal and superior temporal gyri.</w:t>
      </w:r>
      <w:r>
        <w:rPr>
          <w:rFonts w:ascii="Arial" w:hAnsi="Arial" w:cs="Arial"/>
          <w:color w:val="000000"/>
        </w:rPr>
        <w:t xml:space="preserve"> </w:t>
      </w:r>
      <w:r w:rsidRPr="00B3775A">
        <w:rPr>
          <w:rFonts w:ascii="Arial" w:hAnsi="Arial" w:cs="Arial"/>
          <w:color w:val="000000"/>
        </w:rPr>
        <w:t xml:space="preserve">For both the </w:t>
      </w:r>
      <w:r>
        <w:rPr>
          <w:rFonts w:ascii="Arial" w:hAnsi="Arial" w:cs="Arial"/>
          <w:color w:val="000000"/>
        </w:rPr>
        <w:t xml:space="preserve">whole cortex </w:t>
      </w:r>
      <w:r w:rsidRPr="00B3775A">
        <w:rPr>
          <w:rFonts w:ascii="Arial" w:hAnsi="Arial" w:cs="Arial"/>
          <w:color w:val="000000"/>
        </w:rPr>
        <w:t xml:space="preserve">and </w:t>
      </w:r>
      <w:r>
        <w:rPr>
          <w:rFonts w:ascii="Arial" w:hAnsi="Arial" w:cs="Arial"/>
          <w:color w:val="000000"/>
        </w:rPr>
        <w:t xml:space="preserve">temporoparietal </w:t>
      </w:r>
      <w:r w:rsidRPr="00B3775A">
        <w:rPr>
          <w:rFonts w:ascii="Arial" w:hAnsi="Arial" w:cs="Arial"/>
          <w:color w:val="000000"/>
        </w:rPr>
        <w:t>ROIs, each hemisphere was analyzed separately.</w:t>
      </w:r>
      <w:r>
        <w:rPr>
          <w:rFonts w:ascii="Arial" w:hAnsi="Arial" w:cs="Arial"/>
          <w:color w:val="000000"/>
        </w:rPr>
        <w:t xml:space="preserve"> </w:t>
      </w:r>
      <w:r w:rsidRPr="00B3775A">
        <w:rPr>
          <w:rFonts w:ascii="Arial" w:hAnsi="Arial" w:cs="Arial"/>
          <w:color w:val="000000"/>
        </w:rPr>
        <w:t>To study the evolution of the PET SUVRs between M0 and M8, we computed the annualized percent change (APC) as:</w:t>
      </w:r>
    </w:p>
    <w:p w:rsidR="003D31EB" w:rsidRPr="00B3775A" w:rsidRDefault="003D31EB" w:rsidP="003D31EB">
      <w:pPr>
        <w:jc w:val="both"/>
        <w:rPr>
          <w:rFonts w:ascii="Arial" w:hAnsi="Arial" w:cs="Arial"/>
          <w:color w:val="000000"/>
        </w:rPr>
      </w:pPr>
      <w:r w:rsidRPr="00B3775A">
        <w:rPr>
          <w:rFonts w:ascii="Arial" w:hAnsi="Arial" w:cs="Arial"/>
          <w:color w:val="000000"/>
        </w:rPr>
        <w:t xml:space="preserve"> </w:t>
      </w:r>
    </w:p>
    <w:p w:rsidR="003D31EB" w:rsidRPr="00B3775A" w:rsidRDefault="003D31EB" w:rsidP="003D31EB">
      <w:pPr>
        <w:jc w:val="both"/>
        <w:rPr>
          <w:rFonts w:ascii="Arial" w:hAnsi="Arial" w:cs="Arial"/>
          <w:color w:val="000000"/>
        </w:rPr>
      </w:pPr>
      <m:oMathPara>
        <m:oMath>
          <m:r>
            <w:rPr>
              <w:rFonts w:ascii="Cambria Math" w:hAnsi="Cambria Math" w:cs="Arial"/>
              <w:color w:val="000000"/>
            </w:rPr>
            <m:t xml:space="preserve">APC= </m:t>
          </m:r>
          <m:d>
            <m:dPr>
              <m:begChr m:val="["/>
              <m:endChr m:val="]"/>
              <m:ctrlPr>
                <w:rPr>
                  <w:rFonts w:ascii="Cambria Math" w:hAnsi="Cambria Math" w:cs="Arial"/>
                  <w:i/>
                  <w:color w:val="000000"/>
                </w:rPr>
              </m:ctrlPr>
            </m:dPr>
            <m:e>
              <m:sSup>
                <m:sSupPr>
                  <m:ctrlPr>
                    <w:rPr>
                      <w:rFonts w:ascii="Cambria Math" w:hAnsi="Cambria Math" w:cs="Arial"/>
                      <w:i/>
                      <w:color w:val="000000"/>
                    </w:rPr>
                  </m:ctrlPr>
                </m:sSupPr>
                <m:e>
                  <m:d>
                    <m:dPr>
                      <m:ctrlPr>
                        <w:rPr>
                          <w:rFonts w:ascii="Cambria Math" w:hAnsi="Cambria Math" w:cs="Arial"/>
                          <w:i/>
                          <w:color w:val="000000"/>
                        </w:rPr>
                      </m:ctrlPr>
                    </m:dPr>
                    <m:e>
                      <m:f>
                        <m:fPr>
                          <m:type m:val="skw"/>
                          <m:ctrlPr>
                            <w:rPr>
                              <w:rFonts w:ascii="Cambria Math" w:hAnsi="Cambria Math" w:cs="Arial"/>
                              <w:i/>
                              <w:color w:val="000000"/>
                            </w:rPr>
                          </m:ctrlPr>
                        </m:fPr>
                        <m:num>
                          <m:sSub>
                            <m:sSubPr>
                              <m:ctrlPr>
                                <w:rPr>
                                  <w:rFonts w:ascii="Cambria Math" w:hAnsi="Cambria Math" w:cs="Arial"/>
                                  <w:i/>
                                  <w:color w:val="000000"/>
                                </w:rPr>
                              </m:ctrlPr>
                            </m:sSubPr>
                            <m:e>
                              <m:r>
                                <w:rPr>
                                  <w:rFonts w:ascii="Cambria Math" w:hAnsi="Cambria Math" w:cs="Arial"/>
                                  <w:color w:val="000000"/>
                                </w:rPr>
                                <m:t>PET SUVR</m:t>
                              </m:r>
                            </m:e>
                            <m:sub>
                              <m:r>
                                <w:rPr>
                                  <w:rFonts w:ascii="Cambria Math" w:hAnsi="Cambria Math" w:cs="Arial"/>
                                  <w:color w:val="000000"/>
                                </w:rPr>
                                <m:t>M8</m:t>
                              </m:r>
                            </m:sub>
                          </m:sSub>
                        </m:num>
                        <m:den>
                          <m:sSub>
                            <m:sSubPr>
                              <m:ctrlPr>
                                <w:rPr>
                                  <w:rFonts w:ascii="Cambria Math" w:hAnsi="Cambria Math" w:cs="Arial"/>
                                  <w:i/>
                                  <w:color w:val="000000"/>
                                </w:rPr>
                              </m:ctrlPr>
                            </m:sSubPr>
                            <m:e>
                              <m:r>
                                <w:rPr>
                                  <w:rFonts w:ascii="Cambria Math" w:hAnsi="Cambria Math" w:cs="Arial"/>
                                  <w:color w:val="000000"/>
                                </w:rPr>
                                <m:t>PET SUVR</m:t>
                              </m:r>
                            </m:e>
                            <m:sub>
                              <m:r>
                                <w:rPr>
                                  <w:rFonts w:ascii="Cambria Math" w:hAnsi="Cambria Math" w:cs="Arial"/>
                                  <w:color w:val="000000"/>
                                </w:rPr>
                                <m:t>M0</m:t>
                              </m:r>
                            </m:sub>
                          </m:sSub>
                        </m:den>
                      </m:f>
                    </m:e>
                  </m:d>
                </m:e>
                <m:sup>
                  <m:f>
                    <m:fPr>
                      <m:type m:val="skw"/>
                      <m:ctrlPr>
                        <w:rPr>
                          <w:rFonts w:ascii="Cambria Math" w:hAnsi="Cambria Math" w:cs="Arial"/>
                          <w:i/>
                          <w:color w:val="000000"/>
                        </w:rPr>
                      </m:ctrlPr>
                    </m:fPr>
                    <m:num>
                      <m:r>
                        <w:rPr>
                          <w:rFonts w:ascii="Cambria Math" w:hAnsi="Cambria Math" w:cs="Arial"/>
                          <w:color w:val="000000"/>
                        </w:rPr>
                        <m:t>1</m:t>
                      </m:r>
                    </m:num>
                    <m:den>
                      <m:r>
                        <w:rPr>
                          <w:rFonts w:ascii="Cambria Math" w:hAnsi="Cambria Math" w:cs="Arial"/>
                          <w:color w:val="000000"/>
                        </w:rPr>
                        <m:t>M8-M0</m:t>
                      </m:r>
                    </m:den>
                  </m:f>
                </m:sup>
              </m:sSup>
              <m:r>
                <w:rPr>
                  <w:rFonts w:ascii="Cambria Math" w:hAnsi="Cambria Math" w:cs="Arial"/>
                  <w:color w:val="000000"/>
                </w:rPr>
                <m:t>-1</m:t>
              </m:r>
            </m:e>
          </m:d>
          <m:r>
            <w:rPr>
              <w:rFonts w:ascii="Cambria Math" w:hAnsi="Cambria Math" w:cs="Arial"/>
              <w:color w:val="000000"/>
            </w:rPr>
            <m:t>×100</m:t>
          </m:r>
        </m:oMath>
      </m:oMathPara>
    </w:p>
    <w:p w:rsidR="003D31EB" w:rsidRPr="00B3775A" w:rsidRDefault="003D31EB" w:rsidP="003D31EB">
      <w:pPr>
        <w:rPr>
          <w:rFonts w:ascii="Arial" w:hAnsi="Arial" w:cs="Arial"/>
          <w:u w:val="single"/>
        </w:rPr>
      </w:pPr>
    </w:p>
    <w:p w:rsidR="003D31EB" w:rsidRDefault="003D31EB" w:rsidP="003D31EB">
      <w:pPr>
        <w:widowControl w:val="0"/>
        <w:autoSpaceDE w:val="0"/>
        <w:autoSpaceDN w:val="0"/>
        <w:adjustRightInd w:val="0"/>
        <w:jc w:val="both"/>
        <w:rPr>
          <w:rFonts w:ascii="Arial" w:hAnsi="Arial" w:cs="Arial"/>
          <w:b/>
          <w:bCs/>
          <w:u w:val="single"/>
        </w:rPr>
      </w:pPr>
      <w:r w:rsidRPr="00B3775A">
        <w:rPr>
          <w:rFonts w:ascii="Arial" w:hAnsi="Arial" w:cs="Arial"/>
        </w:rPr>
        <w:t>with the time difference between M0 and M8 expressed in years.</w:t>
      </w:r>
    </w:p>
    <w:p w:rsidR="003D31EB" w:rsidRDefault="003D31EB" w:rsidP="003D31EB">
      <w:pPr>
        <w:rPr>
          <w:rFonts w:ascii="Arial" w:hAnsi="Arial" w:cs="Arial"/>
          <w:b/>
          <w:bCs/>
          <w:u w:val="single"/>
        </w:rPr>
      </w:pPr>
    </w:p>
    <w:p w:rsidR="003D31EB" w:rsidRDefault="003D31EB" w:rsidP="003D31EB">
      <w:pPr>
        <w:rPr>
          <w:rFonts w:ascii="Arial" w:hAnsi="Arial" w:cs="Arial"/>
          <w:b/>
          <w:bCs/>
        </w:rPr>
      </w:pPr>
      <w:r>
        <w:rPr>
          <w:rFonts w:ascii="Arial" w:hAnsi="Arial" w:cs="Arial"/>
          <w:b/>
          <w:bCs/>
        </w:rPr>
        <w:br w:type="page"/>
      </w:r>
    </w:p>
    <w:p w:rsidR="003D31EB" w:rsidRPr="008168B9" w:rsidRDefault="003D31EB" w:rsidP="003D31EB">
      <w:pPr>
        <w:jc w:val="both"/>
        <w:rPr>
          <w:rFonts w:ascii="Arial" w:hAnsi="Arial" w:cs="Arial"/>
        </w:rPr>
      </w:pPr>
      <w:r>
        <w:rPr>
          <w:rFonts w:ascii="Arial" w:hAnsi="Arial" w:cs="Arial"/>
          <w:b/>
          <w:bCs/>
        </w:rPr>
        <w:lastRenderedPageBreak/>
        <w:t xml:space="preserve">Supplementary Figure 1.  </w:t>
      </w:r>
      <w:r w:rsidRPr="00615C74">
        <w:rPr>
          <w:rFonts w:ascii="Arial" w:hAnsi="Arial" w:cs="Arial"/>
        </w:rPr>
        <w:t>Baseline amyloid load for each participant in regional SUVRs and in target (</w:t>
      </w:r>
      <w:r>
        <w:rPr>
          <w:rFonts w:ascii="Arial" w:hAnsi="Arial" w:cs="Arial"/>
        </w:rPr>
        <w:t xml:space="preserve">implant </w:t>
      </w:r>
      <w:r w:rsidRPr="00615C74">
        <w:rPr>
          <w:rFonts w:ascii="Arial" w:hAnsi="Arial" w:cs="Arial"/>
        </w:rPr>
        <w:t>) region</w:t>
      </w:r>
      <w:r>
        <w:rPr>
          <w:rFonts w:ascii="Arial" w:hAnsi="Arial" w:cs="Arial"/>
        </w:rPr>
        <w:t xml:space="preserve"> (ROI1)</w:t>
      </w:r>
      <w:r w:rsidRPr="00615C74">
        <w:rPr>
          <w:rFonts w:ascii="Arial" w:hAnsi="Arial" w:cs="Arial"/>
        </w:rPr>
        <w:t>.</w:t>
      </w:r>
      <w:r>
        <w:rPr>
          <w:rFonts w:ascii="Arial" w:hAnsi="Arial" w:cs="Arial"/>
        </w:rPr>
        <w:t xml:space="preserve"> All participants had a positive amyloid load in the region targeted by the sonication except for Patient 10 (threshold of 1.1 assumed for amyloid positivity).</w:t>
      </w:r>
    </w:p>
    <w:p w:rsidR="003D31EB" w:rsidRDefault="003D31EB" w:rsidP="003D31EB">
      <w:pPr>
        <w:widowControl w:val="0"/>
        <w:autoSpaceDE w:val="0"/>
        <w:autoSpaceDN w:val="0"/>
        <w:adjustRightInd w:val="0"/>
        <w:ind w:hanging="10"/>
        <w:jc w:val="both"/>
        <w:rPr>
          <w:rFonts w:ascii="Arial" w:hAnsi="Arial" w:cs="Arial"/>
          <w:b/>
          <w:bCs/>
        </w:rPr>
      </w:pPr>
    </w:p>
    <w:p w:rsidR="003D31EB" w:rsidRDefault="003D31EB" w:rsidP="003D31EB">
      <w:pPr>
        <w:widowControl w:val="0"/>
        <w:autoSpaceDE w:val="0"/>
        <w:autoSpaceDN w:val="0"/>
        <w:adjustRightInd w:val="0"/>
        <w:ind w:hanging="10"/>
        <w:jc w:val="both"/>
        <w:rPr>
          <w:rFonts w:ascii="Arial" w:hAnsi="Arial" w:cs="Arial"/>
          <w:b/>
          <w:bCs/>
        </w:rPr>
      </w:pPr>
    </w:p>
    <w:p w:rsidR="003D31EB" w:rsidRDefault="003D31EB" w:rsidP="003D31EB">
      <w:pPr>
        <w:widowControl w:val="0"/>
        <w:autoSpaceDE w:val="0"/>
        <w:autoSpaceDN w:val="0"/>
        <w:adjustRightInd w:val="0"/>
        <w:ind w:hanging="10"/>
        <w:jc w:val="center"/>
        <w:rPr>
          <w:rFonts w:ascii="Arial" w:hAnsi="Arial" w:cs="Arial"/>
          <w:b/>
          <w:bCs/>
        </w:rPr>
      </w:pPr>
      <w:r>
        <w:rPr>
          <w:rFonts w:ascii="Arial" w:hAnsi="Arial" w:cs="Arial"/>
          <w:b/>
          <w:bCs/>
          <w:noProof/>
          <w:lang w:eastAsia="en-US"/>
        </w:rPr>
        <w:drawing>
          <wp:inline distT="0" distB="0" distL="0" distR="0" wp14:anchorId="464C60A5" wp14:editId="7B247B58">
            <wp:extent cx="5943600" cy="4129405"/>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943600" cy="4129405"/>
                    </a:xfrm>
                    <a:prstGeom prst="rect">
                      <a:avLst/>
                    </a:prstGeom>
                  </pic:spPr>
                </pic:pic>
              </a:graphicData>
            </a:graphic>
          </wp:inline>
        </w:drawing>
      </w:r>
    </w:p>
    <w:p w:rsidR="003D31EB" w:rsidRDefault="003D31EB" w:rsidP="003D31EB">
      <w:pPr>
        <w:rPr>
          <w:rFonts w:ascii="Arial" w:hAnsi="Arial" w:cs="Arial"/>
          <w:b/>
          <w:bCs/>
          <w:u w:val="single"/>
        </w:rPr>
      </w:pPr>
    </w:p>
    <w:p w:rsidR="003D31EB" w:rsidRDefault="003D31EB" w:rsidP="003D31EB">
      <w:pPr>
        <w:rPr>
          <w:rFonts w:ascii="Arial" w:hAnsi="Arial" w:cs="Arial"/>
          <w:b/>
          <w:bCs/>
          <w:u w:val="single"/>
        </w:rPr>
      </w:pPr>
    </w:p>
    <w:p w:rsidR="003D31EB" w:rsidRDefault="003D31EB" w:rsidP="003D31EB">
      <w:pPr>
        <w:rPr>
          <w:rFonts w:ascii="Arial" w:hAnsi="Arial" w:cs="Arial"/>
          <w:b/>
          <w:bCs/>
          <w:u w:val="single"/>
        </w:rPr>
      </w:pPr>
    </w:p>
    <w:p w:rsidR="003D31EB" w:rsidRPr="00B3775A" w:rsidRDefault="003D31EB" w:rsidP="003D31EB">
      <w:pPr>
        <w:rPr>
          <w:rFonts w:ascii="Arial" w:hAnsi="Arial" w:cs="Arial"/>
          <w:b/>
          <w:bCs/>
          <w:u w:val="single"/>
        </w:rPr>
      </w:pPr>
    </w:p>
    <w:p w:rsidR="003D31EB" w:rsidRDefault="003D31EB" w:rsidP="003D31EB">
      <w:pPr>
        <w:rPr>
          <w:rFonts w:ascii="Arial" w:hAnsi="Arial" w:cs="Arial"/>
          <w:b/>
          <w:bCs/>
        </w:rPr>
      </w:pPr>
      <w:r>
        <w:rPr>
          <w:rFonts w:ascii="Arial" w:hAnsi="Arial" w:cs="Arial"/>
          <w:b/>
          <w:bCs/>
        </w:rPr>
        <w:br w:type="page"/>
      </w:r>
    </w:p>
    <w:p w:rsidR="003D31EB" w:rsidRPr="00B3775A" w:rsidRDefault="003D31EB" w:rsidP="003D31EB">
      <w:pPr>
        <w:widowControl w:val="0"/>
        <w:autoSpaceDE w:val="0"/>
        <w:autoSpaceDN w:val="0"/>
        <w:adjustRightInd w:val="0"/>
        <w:jc w:val="both"/>
        <w:rPr>
          <w:rFonts w:ascii="Arial" w:hAnsi="Arial" w:cs="Arial"/>
        </w:rPr>
      </w:pPr>
      <w:r>
        <w:rPr>
          <w:rFonts w:ascii="Arial" w:hAnsi="Arial" w:cs="Arial"/>
          <w:b/>
          <w:bCs/>
        </w:rPr>
        <w:lastRenderedPageBreak/>
        <w:t>Supplementary Figure 2</w:t>
      </w:r>
      <w:r w:rsidRPr="00B3775A">
        <w:rPr>
          <w:rFonts w:ascii="Arial" w:hAnsi="Arial" w:cs="Arial"/>
          <w:b/>
          <w:bCs/>
        </w:rPr>
        <w:t>.</w:t>
      </w:r>
      <w:r w:rsidRPr="00B3775A">
        <w:rPr>
          <w:rFonts w:ascii="Arial" w:hAnsi="Arial" w:cs="Arial"/>
        </w:rPr>
        <w:t xml:space="preserve"> Violin plots representing the distribution of the annualized percent changes (APC) in PET uptake for the </w:t>
      </w:r>
      <w:r>
        <w:rPr>
          <w:rFonts w:ascii="Arial" w:hAnsi="Arial" w:cs="Arial"/>
        </w:rPr>
        <w:t>current study ("</w:t>
      </w:r>
      <w:r w:rsidRPr="00B3775A">
        <w:rPr>
          <w:rFonts w:ascii="Arial" w:hAnsi="Arial" w:cs="Arial"/>
        </w:rPr>
        <w:t>BOREAL</w:t>
      </w:r>
      <w:r>
        <w:rPr>
          <w:rFonts w:ascii="Arial" w:hAnsi="Arial" w:cs="Arial"/>
        </w:rPr>
        <w:t>",</w:t>
      </w:r>
      <w:r w:rsidRPr="00B3775A">
        <w:rPr>
          <w:rFonts w:ascii="Arial" w:hAnsi="Arial" w:cs="Arial"/>
        </w:rPr>
        <w:t xml:space="preserve"> n=9) and</w:t>
      </w:r>
      <w:r>
        <w:rPr>
          <w:rFonts w:ascii="Arial" w:hAnsi="Arial" w:cs="Arial"/>
        </w:rPr>
        <w:t xml:space="preserve"> reference cohort</w:t>
      </w:r>
      <w:r w:rsidRPr="00B3775A">
        <w:rPr>
          <w:rFonts w:ascii="Arial" w:hAnsi="Arial" w:cs="Arial"/>
        </w:rPr>
        <w:t xml:space="preserve"> </w:t>
      </w:r>
      <w:r>
        <w:rPr>
          <w:rFonts w:ascii="Arial" w:hAnsi="Arial" w:cs="Arial"/>
        </w:rPr>
        <w:t>("</w:t>
      </w:r>
      <w:r w:rsidRPr="00B3775A">
        <w:rPr>
          <w:rFonts w:ascii="Arial" w:hAnsi="Arial" w:cs="Arial"/>
        </w:rPr>
        <w:t>ADNI</w:t>
      </w:r>
      <w:r>
        <w:rPr>
          <w:rFonts w:ascii="Arial" w:hAnsi="Arial" w:cs="Arial"/>
        </w:rPr>
        <w:t xml:space="preserve">", </w:t>
      </w:r>
      <w:r w:rsidRPr="00B3775A">
        <w:rPr>
          <w:rFonts w:ascii="Arial" w:hAnsi="Arial" w:cs="Arial"/>
        </w:rPr>
        <w:t>n=45) populations. The APC were computed for both the cognitive (left) amyloid PET (middle) and FDG PET (right) in the large (top) and small (bottom) regions of interest for PET imaging. No statistical difference was observed between BOREAL and ADNI (Kruskal-Wallis H-test with the Benjamini-Hochberg procedure to correct for multiple testing).</w:t>
      </w:r>
    </w:p>
    <w:p w:rsidR="003D31EB" w:rsidRPr="00B3775A" w:rsidRDefault="003D31EB" w:rsidP="003D31EB">
      <w:pPr>
        <w:widowControl w:val="0"/>
        <w:autoSpaceDE w:val="0"/>
        <w:autoSpaceDN w:val="0"/>
        <w:adjustRightInd w:val="0"/>
        <w:ind w:left="640" w:hanging="640"/>
        <w:rPr>
          <w:rFonts w:ascii="Arial" w:hAnsi="Arial" w:cs="Arial"/>
        </w:rPr>
      </w:pPr>
      <w:r w:rsidRPr="00B3775A">
        <w:rPr>
          <w:rFonts w:ascii="Arial" w:hAnsi="Arial" w:cs="Arial"/>
          <w:noProof/>
          <w:lang w:eastAsia="en-US"/>
        </w:rPr>
        <w:drawing>
          <wp:inline distT="0" distB="0" distL="0" distR="0" wp14:anchorId="419CE444" wp14:editId="3AEDE3F0">
            <wp:extent cx="5875699" cy="2551313"/>
            <wp:effectExtent l="0" t="0" r="4445" b="1905"/>
            <wp:docPr id="18" name="Imag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94465" cy="2559462"/>
                    </a:xfrm>
                    <a:prstGeom prst="rect">
                      <a:avLst/>
                    </a:prstGeom>
                    <a:noFill/>
                  </pic:spPr>
                </pic:pic>
              </a:graphicData>
            </a:graphic>
          </wp:inline>
        </w:drawing>
      </w:r>
    </w:p>
    <w:p w:rsidR="003D31EB" w:rsidRPr="00B3775A" w:rsidRDefault="003D31EB" w:rsidP="003D31EB">
      <w:pPr>
        <w:widowControl w:val="0"/>
        <w:autoSpaceDE w:val="0"/>
        <w:autoSpaceDN w:val="0"/>
        <w:adjustRightInd w:val="0"/>
        <w:ind w:left="640" w:hanging="640"/>
        <w:rPr>
          <w:rFonts w:ascii="Arial" w:hAnsi="Arial" w:cs="Arial"/>
        </w:rPr>
      </w:pPr>
    </w:p>
    <w:p w:rsidR="003D31EB" w:rsidRPr="00B3775A" w:rsidRDefault="003D31EB" w:rsidP="003D31EB">
      <w:pPr>
        <w:widowControl w:val="0"/>
        <w:autoSpaceDE w:val="0"/>
        <w:autoSpaceDN w:val="0"/>
        <w:adjustRightInd w:val="0"/>
        <w:ind w:left="640" w:hanging="640"/>
        <w:rPr>
          <w:rFonts w:ascii="Arial" w:hAnsi="Arial" w:cs="Arial"/>
        </w:rPr>
      </w:pPr>
    </w:p>
    <w:p w:rsidR="003D31EB" w:rsidRDefault="003D31EB" w:rsidP="003D31EB">
      <w:pPr>
        <w:jc w:val="both"/>
        <w:rPr>
          <w:rFonts w:ascii="Arial" w:hAnsi="Arial" w:cs="Arial"/>
          <w:b/>
          <w:bCs/>
        </w:rPr>
      </w:pPr>
      <w:r w:rsidRPr="00B3775A">
        <w:rPr>
          <w:rFonts w:ascii="Arial" w:hAnsi="Arial" w:cs="Arial"/>
          <w:b/>
          <w:bCs/>
        </w:rPr>
        <w:br w:type="page"/>
      </w:r>
      <w:r>
        <w:rPr>
          <w:rFonts w:ascii="Arial" w:hAnsi="Arial" w:cs="Arial"/>
          <w:b/>
          <w:bCs/>
        </w:rPr>
        <w:lastRenderedPageBreak/>
        <w:t xml:space="preserve">Supplementary Figure 3. </w:t>
      </w:r>
      <w:r w:rsidRPr="00B3775A">
        <w:rPr>
          <w:rFonts w:ascii="Arial" w:hAnsi="Arial" w:cs="Arial"/>
        </w:rPr>
        <w:t xml:space="preserve">Typical Gd-DOTA concentration map obtained after a successful sonication session. Images are reoriented in order to contain the central axis of the implanted ultrasound </w:t>
      </w:r>
      <w:r>
        <w:rPr>
          <w:rFonts w:ascii="Arial" w:hAnsi="Arial" w:cs="Arial"/>
        </w:rPr>
        <w:t xml:space="preserve">implant </w:t>
      </w:r>
      <w:r w:rsidRPr="00B3775A">
        <w:rPr>
          <w:rFonts w:ascii="Arial" w:hAnsi="Arial" w:cs="Arial"/>
        </w:rPr>
        <w:t xml:space="preserve"> (shown in pink). The </w:t>
      </w:r>
      <w:r>
        <w:rPr>
          <w:rFonts w:ascii="Arial" w:hAnsi="Arial" w:cs="Arial"/>
        </w:rPr>
        <w:t xml:space="preserve">implant  </w:t>
      </w:r>
      <w:r w:rsidRPr="00B3775A">
        <w:rPr>
          <w:rFonts w:ascii="Arial" w:hAnsi="Arial" w:cs="Arial"/>
        </w:rPr>
        <w:t xml:space="preserve">region of interest covering brain tissues </w:t>
      </w:r>
      <w:r>
        <w:rPr>
          <w:rFonts w:ascii="Arial" w:hAnsi="Arial" w:cs="Arial"/>
        </w:rPr>
        <w:t xml:space="preserve">in the white and gray matter </w:t>
      </w:r>
      <w:r w:rsidRPr="00B3775A">
        <w:rPr>
          <w:rFonts w:ascii="Arial" w:hAnsi="Arial" w:cs="Arial"/>
        </w:rPr>
        <w:t>targeted by the ultrasound beam is shown</w:t>
      </w:r>
      <w:r>
        <w:rPr>
          <w:rFonts w:ascii="Arial" w:hAnsi="Arial" w:cs="Arial"/>
        </w:rPr>
        <w:t xml:space="preserve"> in green</w:t>
      </w:r>
      <w:r w:rsidRPr="00B3775A">
        <w:rPr>
          <w:rFonts w:ascii="Arial" w:hAnsi="Arial" w:cs="Arial"/>
        </w:rPr>
        <w:t xml:space="preserve">. A non-sonicated control </w:t>
      </w:r>
      <w:r>
        <w:rPr>
          <w:rFonts w:ascii="Arial" w:hAnsi="Arial" w:cs="Arial"/>
        </w:rPr>
        <w:t xml:space="preserve">region </w:t>
      </w:r>
      <w:r w:rsidRPr="00B3775A">
        <w:rPr>
          <w:rFonts w:ascii="Arial" w:hAnsi="Arial" w:cs="Arial"/>
        </w:rPr>
        <w:t>defined in the contralateral hemisphere</w:t>
      </w:r>
      <w:r>
        <w:rPr>
          <w:rFonts w:ascii="Arial" w:hAnsi="Arial" w:cs="Arial"/>
        </w:rPr>
        <w:t xml:space="preserve"> is also shown.</w:t>
      </w:r>
    </w:p>
    <w:p w:rsidR="003D31EB" w:rsidRDefault="003D31EB" w:rsidP="003D31EB">
      <w:pPr>
        <w:rPr>
          <w:rFonts w:ascii="Arial" w:hAnsi="Arial" w:cs="Arial"/>
          <w:b/>
          <w:bCs/>
        </w:rPr>
      </w:pPr>
    </w:p>
    <w:p w:rsidR="003D31EB" w:rsidRDefault="003D31EB" w:rsidP="003D31EB">
      <w:pPr>
        <w:jc w:val="center"/>
        <w:rPr>
          <w:rFonts w:ascii="Arial" w:hAnsi="Arial" w:cs="Arial"/>
          <w:b/>
          <w:bCs/>
        </w:rPr>
      </w:pPr>
      <w:r w:rsidRPr="00B3775A">
        <w:rPr>
          <w:rFonts w:ascii="Arial" w:hAnsi="Arial" w:cs="Arial"/>
          <w:noProof/>
          <w:lang w:eastAsia="en-US"/>
        </w:rPr>
        <w:drawing>
          <wp:inline distT="0" distB="0" distL="0" distR="0" wp14:anchorId="534E42DB" wp14:editId="7C67AF23">
            <wp:extent cx="3600000" cy="2748992"/>
            <wp:effectExtent l="0" t="0" r="0" b="0"/>
            <wp:docPr id="17" name="Imag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8" descr="A picture containing text&#10;&#10;Description automatically generated"/>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00000" cy="2748992"/>
                    </a:xfrm>
                    <a:prstGeom prst="rect">
                      <a:avLst/>
                    </a:prstGeom>
                  </pic:spPr>
                </pic:pic>
              </a:graphicData>
            </a:graphic>
          </wp:inline>
        </w:drawing>
      </w:r>
    </w:p>
    <w:p w:rsidR="003D31EB" w:rsidRPr="00B3775A" w:rsidRDefault="003D31EB" w:rsidP="003D31EB">
      <w:pPr>
        <w:jc w:val="center"/>
        <w:rPr>
          <w:rFonts w:ascii="Arial" w:hAnsi="Arial" w:cs="Arial"/>
          <w:szCs w:val="22"/>
        </w:rPr>
      </w:pPr>
    </w:p>
    <w:p w:rsidR="003D31EB" w:rsidRPr="00B3775A" w:rsidRDefault="003D31EB" w:rsidP="003D31EB">
      <w:pPr>
        <w:rPr>
          <w:rFonts w:ascii="Arial" w:hAnsi="Arial" w:cs="Arial"/>
          <w:szCs w:val="22"/>
        </w:rPr>
      </w:pPr>
    </w:p>
    <w:p w:rsidR="003D31EB" w:rsidRDefault="003D31EB" w:rsidP="003D31EB">
      <w:pPr>
        <w:rPr>
          <w:rFonts w:ascii="Arial" w:hAnsi="Arial" w:cs="Arial"/>
          <w:b/>
          <w:bCs/>
        </w:rPr>
      </w:pPr>
      <w:r>
        <w:rPr>
          <w:rFonts w:ascii="Arial" w:hAnsi="Arial" w:cs="Arial"/>
          <w:b/>
          <w:bCs/>
        </w:rPr>
        <w:br w:type="page"/>
      </w:r>
    </w:p>
    <w:p w:rsidR="003D31EB" w:rsidRPr="00B3775A" w:rsidRDefault="003D31EB" w:rsidP="003D31EB">
      <w:pPr>
        <w:jc w:val="both"/>
        <w:rPr>
          <w:rFonts w:ascii="Arial" w:hAnsi="Arial" w:cs="Arial"/>
          <w:szCs w:val="22"/>
        </w:rPr>
      </w:pPr>
      <w:r>
        <w:rPr>
          <w:rFonts w:ascii="Arial" w:hAnsi="Arial" w:cs="Arial"/>
          <w:b/>
          <w:bCs/>
        </w:rPr>
        <w:lastRenderedPageBreak/>
        <w:t xml:space="preserve">Supplementary </w:t>
      </w:r>
      <w:r w:rsidRPr="00B3775A">
        <w:rPr>
          <w:rFonts w:ascii="Arial" w:hAnsi="Arial" w:cs="Arial"/>
          <w:b/>
          <w:bCs/>
          <w:szCs w:val="22"/>
        </w:rPr>
        <w:t>Table 1.</w:t>
      </w:r>
      <w:r w:rsidRPr="00B3775A">
        <w:rPr>
          <w:rFonts w:ascii="Arial" w:hAnsi="Arial" w:cs="Arial"/>
          <w:szCs w:val="22"/>
        </w:rPr>
        <w:t xml:space="preserve"> Evaluation of BBB-disruption efficacy with metrics computed from T1 maps acquire</w:t>
      </w:r>
      <w:r>
        <w:rPr>
          <w:rFonts w:ascii="Arial" w:hAnsi="Arial" w:cs="Arial"/>
          <w:szCs w:val="22"/>
        </w:rPr>
        <w:t>d</w:t>
      </w:r>
      <w:r w:rsidRPr="00B3775A">
        <w:rPr>
          <w:rFonts w:ascii="Arial" w:hAnsi="Arial" w:cs="Arial"/>
          <w:szCs w:val="22"/>
        </w:rPr>
        <w:t xml:space="preserve"> after sonication. The differences of Gd-DOTA marked with * are above the criterion for detectable BBB disruption (2 times the standard deviation of all control ROIs, i.e. 13.9 µg)</w:t>
      </w:r>
    </w:p>
    <w:p w:rsidR="003D31EB" w:rsidRPr="00B3775A" w:rsidRDefault="003D31EB" w:rsidP="003D31EB">
      <w:pPr>
        <w:rPr>
          <w:rFonts w:ascii="Arial" w:hAnsi="Arial" w:cs="Arial"/>
          <w:szCs w:val="22"/>
        </w:rPr>
      </w:pPr>
    </w:p>
    <w:p w:rsidR="003D31EB" w:rsidRPr="00B3775A" w:rsidRDefault="003D31EB" w:rsidP="003D31EB">
      <w:pPr>
        <w:rPr>
          <w:rFonts w:ascii="Arial" w:hAnsi="Arial" w:cs="Arial"/>
          <w:szCs w:val="22"/>
        </w:rPr>
      </w:pPr>
    </w:p>
    <w:tbl>
      <w:tblPr>
        <w:tblStyle w:val="TableGrid"/>
        <w:tblW w:w="99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993"/>
        <w:gridCol w:w="1276"/>
        <w:gridCol w:w="1134"/>
        <w:gridCol w:w="1020"/>
        <w:gridCol w:w="1191"/>
        <w:gridCol w:w="1134"/>
        <w:gridCol w:w="1134"/>
        <w:gridCol w:w="1191"/>
      </w:tblGrid>
      <w:tr w:rsidR="003D31EB" w:rsidRPr="00B3775A" w:rsidTr="00CF6AFE">
        <w:trPr>
          <w:jc w:val="center"/>
        </w:trPr>
        <w:tc>
          <w:tcPr>
            <w:tcW w:w="850" w:type="dxa"/>
            <w:tcBorders>
              <w:bottom w:val="single" w:sz="4" w:space="0" w:color="auto"/>
            </w:tcBorders>
            <w:vAlign w:val="center"/>
          </w:tcPr>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Patient</w:t>
            </w:r>
          </w:p>
        </w:tc>
        <w:tc>
          <w:tcPr>
            <w:tcW w:w="993" w:type="dxa"/>
            <w:tcBorders>
              <w:bottom w:val="single" w:sz="4" w:space="0" w:color="auto"/>
              <w:right w:val="single" w:sz="4" w:space="0" w:color="auto"/>
            </w:tcBorders>
            <w:vAlign w:val="center"/>
          </w:tcPr>
          <w:p w:rsidR="003D31EB" w:rsidRPr="00605E42" w:rsidRDefault="003D31EB" w:rsidP="00CF6AFE">
            <w:pPr>
              <w:jc w:val="center"/>
              <w:rPr>
                <w:rFonts w:ascii="Arial" w:hAnsi="Arial" w:cs="Arial"/>
                <w:sz w:val="20"/>
                <w:szCs w:val="20"/>
              </w:rPr>
            </w:pPr>
            <w:r w:rsidRPr="00605E42">
              <w:rPr>
                <w:rFonts w:ascii="Arial" w:hAnsi="Arial" w:cs="Arial"/>
                <w:color w:val="000000"/>
                <w:sz w:val="20"/>
                <w:szCs w:val="20"/>
              </w:rPr>
              <w:t>Session</w:t>
            </w:r>
          </w:p>
        </w:tc>
        <w:tc>
          <w:tcPr>
            <w:tcW w:w="1276" w:type="dxa"/>
            <w:tcBorders>
              <w:bottom w:val="single" w:sz="4" w:space="0" w:color="auto"/>
              <w:right w:val="single" w:sz="4" w:space="0" w:color="auto"/>
            </w:tcBorders>
            <w:vAlign w:val="center"/>
          </w:tcPr>
          <w:p w:rsidR="003D31EB" w:rsidRPr="00605E42" w:rsidRDefault="003D31EB" w:rsidP="00CF6AFE">
            <w:pPr>
              <w:jc w:val="center"/>
              <w:rPr>
                <w:rFonts w:ascii="Arial" w:hAnsi="Arial" w:cs="Arial"/>
                <w:color w:val="000000"/>
                <w:sz w:val="20"/>
                <w:szCs w:val="20"/>
              </w:rPr>
            </w:pPr>
            <w:r w:rsidRPr="00605E42">
              <w:rPr>
                <w:rFonts w:ascii="Arial" w:hAnsi="Arial" w:cs="Arial"/>
                <w:color w:val="000000"/>
                <w:sz w:val="20"/>
                <w:szCs w:val="20"/>
              </w:rPr>
              <w:t>BBB opening on visual inspection</w:t>
            </w:r>
          </w:p>
        </w:tc>
        <w:tc>
          <w:tcPr>
            <w:tcW w:w="1134" w:type="dxa"/>
            <w:tcBorders>
              <w:left w:val="single" w:sz="4" w:space="0" w:color="auto"/>
              <w:bottom w:val="single" w:sz="4" w:space="0" w:color="auto"/>
            </w:tcBorders>
            <w:vAlign w:val="center"/>
          </w:tcPr>
          <w:p w:rsidR="003D31EB" w:rsidRPr="00605E42" w:rsidRDefault="003D31EB" w:rsidP="00CF6AFE">
            <w:pPr>
              <w:jc w:val="center"/>
              <w:rPr>
                <w:rFonts w:ascii="Arial" w:hAnsi="Arial" w:cs="Arial"/>
                <w:color w:val="000000"/>
                <w:sz w:val="20"/>
                <w:szCs w:val="20"/>
              </w:rPr>
            </w:pPr>
            <w:r w:rsidRPr="00605E42">
              <w:rPr>
                <w:rFonts w:ascii="Arial" w:hAnsi="Arial" w:cs="Arial"/>
                <w:color w:val="000000"/>
                <w:sz w:val="20"/>
                <w:szCs w:val="20"/>
              </w:rPr>
              <w:t>Gd-DOTA ROI</w:t>
            </w:r>
          </w:p>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(µg)</w:t>
            </w:r>
          </w:p>
        </w:tc>
        <w:tc>
          <w:tcPr>
            <w:tcW w:w="1020" w:type="dxa"/>
            <w:tcBorders>
              <w:bottom w:val="single" w:sz="4" w:space="0" w:color="auto"/>
            </w:tcBorders>
            <w:vAlign w:val="center"/>
          </w:tcPr>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Gd-DOTA  control (µg)</w:t>
            </w:r>
          </w:p>
        </w:tc>
        <w:tc>
          <w:tcPr>
            <w:tcW w:w="1191" w:type="dxa"/>
            <w:tcBorders>
              <w:bottom w:val="single" w:sz="4" w:space="0" w:color="auto"/>
              <w:right w:val="single" w:sz="4" w:space="0" w:color="auto"/>
            </w:tcBorders>
            <w:vAlign w:val="center"/>
          </w:tcPr>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Difference</w:t>
            </w:r>
          </w:p>
        </w:tc>
        <w:tc>
          <w:tcPr>
            <w:tcW w:w="1134" w:type="dxa"/>
            <w:tcBorders>
              <w:left w:val="single" w:sz="4" w:space="0" w:color="auto"/>
            </w:tcBorders>
            <w:vAlign w:val="center"/>
          </w:tcPr>
          <w:p w:rsidR="003D31EB" w:rsidRPr="00605E42" w:rsidRDefault="003D31EB" w:rsidP="00CF6AFE">
            <w:pPr>
              <w:jc w:val="center"/>
              <w:rPr>
                <w:rFonts w:ascii="Arial" w:hAnsi="Arial" w:cs="Arial"/>
                <w:color w:val="000000"/>
                <w:sz w:val="20"/>
                <w:szCs w:val="20"/>
              </w:rPr>
            </w:pPr>
            <w:r w:rsidRPr="00605E42">
              <w:rPr>
                <w:rFonts w:ascii="Arial" w:hAnsi="Arial" w:cs="Arial"/>
                <w:color w:val="000000"/>
                <w:sz w:val="20"/>
                <w:szCs w:val="20"/>
              </w:rPr>
              <w:t>Enhanced volume ROI</w:t>
            </w:r>
          </w:p>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(mL)</w:t>
            </w:r>
          </w:p>
        </w:tc>
        <w:tc>
          <w:tcPr>
            <w:tcW w:w="1134" w:type="dxa"/>
            <w:tcBorders>
              <w:bottom w:val="single" w:sz="4" w:space="0" w:color="auto"/>
            </w:tcBorders>
            <w:vAlign w:val="center"/>
          </w:tcPr>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Enhanced volume control (mL)</w:t>
            </w:r>
          </w:p>
        </w:tc>
        <w:tc>
          <w:tcPr>
            <w:tcW w:w="1191" w:type="dxa"/>
            <w:tcBorders>
              <w:bottom w:val="single" w:sz="4" w:space="0" w:color="auto"/>
            </w:tcBorders>
            <w:vAlign w:val="center"/>
          </w:tcPr>
          <w:p w:rsidR="003D31EB" w:rsidRPr="00605E42" w:rsidRDefault="003D31EB" w:rsidP="00CF6AFE">
            <w:pPr>
              <w:jc w:val="center"/>
              <w:rPr>
                <w:rFonts w:ascii="Arial" w:hAnsi="Arial" w:cs="Arial"/>
                <w:b/>
                <w:bCs/>
                <w:sz w:val="20"/>
                <w:szCs w:val="20"/>
                <w:u w:val="single"/>
              </w:rPr>
            </w:pPr>
            <w:r w:rsidRPr="00605E42">
              <w:rPr>
                <w:rFonts w:ascii="Arial" w:hAnsi="Arial" w:cs="Arial"/>
                <w:color w:val="000000"/>
                <w:sz w:val="20"/>
                <w:szCs w:val="20"/>
              </w:rPr>
              <w:t>Difference</w:t>
            </w:r>
          </w:p>
        </w:tc>
      </w:tr>
      <w:tr w:rsidR="003D31EB" w:rsidRPr="00B3775A" w:rsidTr="00CF6AFE">
        <w:trPr>
          <w:jc w:val="center"/>
        </w:trPr>
        <w:tc>
          <w:tcPr>
            <w:tcW w:w="850" w:type="dxa"/>
            <w:tcBorders>
              <w:top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w:t>
            </w:r>
          </w:p>
        </w:tc>
        <w:tc>
          <w:tcPr>
            <w:tcW w:w="993" w:type="dxa"/>
            <w:tcBorders>
              <w:top w:val="single" w:sz="4" w:space="0" w:color="auto"/>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top w:val="single" w:sz="4" w:space="0" w:color="auto"/>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top w:val="single" w:sz="4" w:space="0" w:color="auto"/>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30.2</w:t>
            </w:r>
          </w:p>
        </w:tc>
        <w:tc>
          <w:tcPr>
            <w:tcW w:w="1020" w:type="dxa"/>
            <w:tcBorders>
              <w:top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13.8</w:t>
            </w:r>
          </w:p>
        </w:tc>
        <w:tc>
          <w:tcPr>
            <w:tcW w:w="1191" w:type="dxa"/>
            <w:tcBorders>
              <w:top w:val="single" w:sz="4" w:space="0" w:color="auto"/>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16.4*</w:t>
            </w:r>
          </w:p>
        </w:tc>
        <w:tc>
          <w:tcPr>
            <w:tcW w:w="1134" w:type="dxa"/>
            <w:tcBorders>
              <w:top w:val="single" w:sz="4" w:space="0" w:color="auto"/>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0.90</w:t>
            </w:r>
          </w:p>
        </w:tc>
        <w:tc>
          <w:tcPr>
            <w:tcW w:w="1134" w:type="dxa"/>
            <w:tcBorders>
              <w:top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0.29</w:t>
            </w:r>
          </w:p>
        </w:tc>
        <w:tc>
          <w:tcPr>
            <w:tcW w:w="1191" w:type="dxa"/>
            <w:tcBorders>
              <w:top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0.61</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42.4</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17.7</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24.7*</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1.22</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0.29</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0.93</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54.7</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16.7</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37.9*</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1.93</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0.42</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1.51</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51.9</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25.2</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26.7*</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1.06</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0.42</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0.64</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15.8</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10.8</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0.57</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0.33</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0.25</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19.6</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15.8</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3.8</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0.63</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0.32</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0.31</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3</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54.0</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12.3</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41.6*</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1.59</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0.25</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1.34</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5</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31.2</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12.1</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19.1*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0.59</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0.26</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0.33</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6</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4.0</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4.3</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0.32</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0.30</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0.02</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7</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0</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9.9</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6.2</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3.7</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0.35</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0.28</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0.08</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7</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0</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15.7</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12.6</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0.45</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0.28</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0.17</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8</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46.6</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25.6</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21.0*</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0.83</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0.32</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0.51</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8</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22.4</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18.1</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4.3</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0.52</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0.32</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0.20</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9</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3</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35.8</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7.6</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28.2*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1.11</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0.33</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0.77</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10</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31.6</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6.4</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25.2*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1.25</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0.27</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0.98</w:t>
            </w:r>
          </w:p>
        </w:tc>
      </w:tr>
      <w:tr w:rsidR="003D31EB" w:rsidRPr="00B3775A" w:rsidTr="00CF6AFE">
        <w:trPr>
          <w:jc w:val="center"/>
        </w:trPr>
        <w:tc>
          <w:tcPr>
            <w:tcW w:w="85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10</w:t>
            </w:r>
          </w:p>
        </w:tc>
        <w:tc>
          <w:tcPr>
            <w:tcW w:w="993"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3</w:t>
            </w:r>
          </w:p>
        </w:tc>
        <w:tc>
          <w:tcPr>
            <w:tcW w:w="1276" w:type="dxa"/>
            <w:tcBorders>
              <w:right w:val="single" w:sz="4" w:space="0" w:color="auto"/>
            </w:tcBorders>
            <w:vAlign w:val="center"/>
          </w:tcPr>
          <w:p w:rsidR="003D31EB" w:rsidRPr="00B3775A" w:rsidRDefault="003D31EB" w:rsidP="00CF6AFE">
            <w:pPr>
              <w:jc w:val="center"/>
              <w:rPr>
                <w:rFonts w:ascii="Arial" w:hAnsi="Arial" w:cs="Arial"/>
                <w:color w:val="000000"/>
                <w:sz w:val="22"/>
                <w:szCs w:val="22"/>
              </w:rPr>
            </w:pPr>
            <w:r w:rsidRPr="00B3775A">
              <w:rPr>
                <w:rFonts w:ascii="Arial" w:hAnsi="Arial" w:cs="Arial"/>
                <w:color w:val="000000"/>
                <w:sz w:val="22"/>
                <w:szCs w:val="22"/>
              </w:rPr>
              <w:t>2</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22.4</w:t>
            </w:r>
          </w:p>
        </w:tc>
        <w:tc>
          <w:tcPr>
            <w:tcW w:w="1020"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6.4</w:t>
            </w:r>
          </w:p>
        </w:tc>
        <w:tc>
          <w:tcPr>
            <w:tcW w:w="1191" w:type="dxa"/>
            <w:tcBorders>
              <w:righ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16.1*</w:t>
            </w:r>
          </w:p>
        </w:tc>
        <w:tc>
          <w:tcPr>
            <w:tcW w:w="1134" w:type="dxa"/>
            <w:tcBorders>
              <w:left w:val="single" w:sz="4" w:space="0" w:color="auto"/>
            </w:tcBorders>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0.78</w:t>
            </w:r>
          </w:p>
        </w:tc>
        <w:tc>
          <w:tcPr>
            <w:tcW w:w="1134"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0.27</w:t>
            </w:r>
          </w:p>
        </w:tc>
        <w:tc>
          <w:tcPr>
            <w:tcW w:w="1191" w:type="dxa"/>
            <w:vAlign w:val="center"/>
          </w:tcPr>
          <w:p w:rsidR="003D31EB" w:rsidRPr="00B3775A" w:rsidRDefault="003D31EB" w:rsidP="00CF6AFE">
            <w:pPr>
              <w:jc w:val="center"/>
              <w:rPr>
                <w:rFonts w:ascii="Arial" w:hAnsi="Arial" w:cs="Arial"/>
                <w:b/>
                <w:bCs/>
                <w:sz w:val="22"/>
                <w:szCs w:val="22"/>
                <w:u w:val="single"/>
              </w:rPr>
            </w:pPr>
            <w:r w:rsidRPr="00B3775A">
              <w:rPr>
                <w:rFonts w:ascii="Arial" w:hAnsi="Arial" w:cs="Arial"/>
                <w:color w:val="000000"/>
                <w:sz w:val="22"/>
                <w:szCs w:val="22"/>
              </w:rPr>
              <w:t>0.51</w:t>
            </w:r>
          </w:p>
        </w:tc>
      </w:tr>
    </w:tbl>
    <w:p w:rsidR="003D31EB" w:rsidRPr="00B3775A" w:rsidRDefault="003D31EB" w:rsidP="003D31EB">
      <w:pPr>
        <w:rPr>
          <w:rFonts w:ascii="Arial" w:hAnsi="Arial" w:cs="Arial"/>
          <w:b/>
          <w:bCs/>
          <w:sz w:val="18"/>
          <w:szCs w:val="18"/>
          <w:u w:val="single"/>
        </w:rPr>
      </w:pPr>
      <w:r w:rsidRPr="00B3775A">
        <w:rPr>
          <w:rFonts w:ascii="Arial" w:hAnsi="Arial" w:cs="Arial"/>
          <w:b/>
          <w:bCs/>
          <w:sz w:val="18"/>
          <w:szCs w:val="18"/>
          <w:u w:val="single"/>
        </w:rPr>
        <w:br w:type="page"/>
      </w:r>
    </w:p>
    <w:p w:rsidR="003D31EB" w:rsidRPr="001F3EE5" w:rsidRDefault="003D31EB" w:rsidP="003D31EB">
      <w:pPr>
        <w:jc w:val="both"/>
        <w:rPr>
          <w:rFonts w:ascii="Arial" w:hAnsi="Arial" w:cs="Arial"/>
          <w:szCs w:val="22"/>
        </w:rPr>
      </w:pPr>
      <w:r>
        <w:rPr>
          <w:rFonts w:ascii="Arial" w:hAnsi="Arial" w:cs="Arial"/>
          <w:b/>
          <w:bCs/>
        </w:rPr>
        <w:lastRenderedPageBreak/>
        <w:t xml:space="preserve">Supplementary </w:t>
      </w:r>
      <w:r w:rsidRPr="00B3775A">
        <w:rPr>
          <w:rFonts w:ascii="Arial" w:hAnsi="Arial" w:cs="Arial"/>
          <w:b/>
          <w:bCs/>
          <w:szCs w:val="22"/>
        </w:rPr>
        <w:t xml:space="preserve">Table </w:t>
      </w:r>
      <w:r>
        <w:rPr>
          <w:rFonts w:ascii="Arial" w:hAnsi="Arial" w:cs="Arial"/>
          <w:b/>
          <w:bCs/>
          <w:szCs w:val="22"/>
        </w:rPr>
        <w:t>2</w:t>
      </w:r>
      <w:r w:rsidRPr="001F3EE5">
        <w:rPr>
          <w:rFonts w:ascii="Arial" w:hAnsi="Arial" w:cs="Arial"/>
          <w:szCs w:val="22"/>
        </w:rPr>
        <w:t xml:space="preserve">. Regional standardized uptake value ratios (SUVR) obtained for the amyloid and FDG PET tracers at M0, M4 and M8, presented as average </w:t>
      </w:r>
      <w:r w:rsidRPr="001F3EE5">
        <w:rPr>
          <w:rFonts w:ascii="Arial" w:hAnsi="Arial" w:cs="Arial"/>
          <w:szCs w:val="22"/>
          <w:lang w:val="en-GB"/>
        </w:rPr>
        <w:t xml:space="preserve">± standard deviation. The amyloid uptake remained on average stable between M0 and M8 (no statistical difference according to the Wilcoxon signed rank test), while the FDG uptake decreased on average between M0 and M8 (significant difference in the left cortex, and in both the left and right angular + supramarginal + superior temporal gyri according to the Wilcoxon signed rank test after correction for multiple comparisons following the </w:t>
      </w:r>
      <w:r w:rsidRPr="001F3EE5">
        <w:rPr>
          <w:rFonts w:ascii="Arial" w:hAnsi="Arial" w:cs="Arial"/>
          <w:szCs w:val="22"/>
        </w:rPr>
        <w:t>Benjamini-Hochberg procedure</w:t>
      </w:r>
      <w:r w:rsidRPr="001F3EE5">
        <w:rPr>
          <w:rFonts w:ascii="Arial" w:hAnsi="Arial" w:cs="Arial"/>
          <w:szCs w:val="22"/>
          <w:lang w:val="en-GB"/>
        </w:rPr>
        <w:t>). L: left, R: right.</w:t>
      </w:r>
    </w:p>
    <w:p w:rsidR="003D31EB" w:rsidRPr="001F3EE5" w:rsidRDefault="003D31EB" w:rsidP="003D31EB">
      <w:pPr>
        <w:rPr>
          <w:rFonts w:ascii="Arial" w:hAnsi="Arial" w:cs="Arial"/>
          <w:szCs w:val="22"/>
        </w:rPr>
      </w:pPr>
    </w:p>
    <w:tbl>
      <w:tblPr>
        <w:tblW w:w="5000" w:type="pct"/>
        <w:tblCellMar>
          <w:left w:w="0" w:type="dxa"/>
          <w:right w:w="0" w:type="dxa"/>
        </w:tblCellMar>
        <w:tblLook w:val="0600" w:firstRow="0" w:lastRow="0" w:firstColumn="0" w:lastColumn="0" w:noHBand="1" w:noVBand="1"/>
      </w:tblPr>
      <w:tblGrid>
        <w:gridCol w:w="917"/>
        <w:gridCol w:w="1356"/>
        <w:gridCol w:w="944"/>
        <w:gridCol w:w="203"/>
        <w:gridCol w:w="145"/>
        <w:gridCol w:w="559"/>
        <w:gridCol w:w="181"/>
        <w:gridCol w:w="561"/>
        <w:gridCol w:w="559"/>
        <w:gridCol w:w="181"/>
        <w:gridCol w:w="561"/>
        <w:gridCol w:w="559"/>
        <w:gridCol w:w="181"/>
        <w:gridCol w:w="563"/>
        <w:gridCol w:w="787"/>
        <w:gridCol w:w="1103"/>
      </w:tblGrid>
      <w:tr w:rsidR="003D31EB" w:rsidRPr="001F3EE5" w:rsidTr="00CF6AFE">
        <w:trPr>
          <w:trHeight w:val="255"/>
        </w:trPr>
        <w:tc>
          <w:tcPr>
            <w:tcW w:w="1111" w:type="pct"/>
            <w:gridSpan w:val="2"/>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512"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116"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85" w:type="pct"/>
            <w:tcBorders>
              <w:top w:val="nil"/>
              <w:left w:val="nil"/>
              <w:bottom w:val="single" w:sz="8" w:space="0" w:color="000000"/>
              <w:right w:val="single" w:sz="8" w:space="0" w:color="000000"/>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2152" w:type="pct"/>
            <w:gridSpan w:val="9"/>
            <w:tcBorders>
              <w:top w:val="nil"/>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SUVR</w:t>
            </w:r>
          </w:p>
        </w:tc>
        <w:tc>
          <w:tcPr>
            <w:tcW w:w="1024" w:type="pct"/>
            <w:gridSpan w:val="2"/>
            <w:tcBorders>
              <w:top w:val="nil"/>
              <w:left w:val="single" w:sz="8" w:space="0" w:color="000000"/>
              <w:bottom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Evolution between M0 and M8</w:t>
            </w:r>
          </w:p>
        </w:tc>
      </w:tr>
      <w:tr w:rsidR="003D31EB" w:rsidRPr="001F3EE5" w:rsidTr="00CF6AFE">
        <w:trPr>
          <w:trHeight w:val="504"/>
        </w:trPr>
        <w:tc>
          <w:tcPr>
            <w:tcW w:w="1111" w:type="pct"/>
            <w:gridSpan w:val="2"/>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512"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116" w:type="pct"/>
            <w:tcBorders>
              <w:top w:val="single" w:sz="8" w:space="0" w:color="000000"/>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85" w:type="pct"/>
            <w:tcBorders>
              <w:top w:val="single" w:sz="8" w:space="0" w:color="000000"/>
              <w:left w:val="nil"/>
              <w:bottom w:val="single" w:sz="8" w:space="0" w:color="000000"/>
              <w:right w:val="single" w:sz="8" w:space="0" w:color="000000"/>
            </w:tcBorders>
            <w:shd w:val="clear" w:color="auto" w:fill="auto"/>
            <w:tcMar>
              <w:top w:w="13" w:type="dxa"/>
              <w:left w:w="13" w:type="dxa"/>
              <w:bottom w:w="0" w:type="dxa"/>
              <w:right w:w="13" w:type="dxa"/>
            </w:tcMar>
            <w:vAlign w:val="bottom"/>
            <w:hideMark/>
          </w:tcPr>
          <w:p w:rsidR="003D31EB" w:rsidRPr="00E96D41" w:rsidRDefault="003D31EB" w:rsidP="00CF6AFE">
            <w:pPr>
              <w:rPr>
                <w:rFonts w:ascii="Arial" w:hAnsi="Arial" w:cs="Arial"/>
                <w:sz w:val="21"/>
                <w:szCs w:val="20"/>
              </w:rPr>
            </w:pPr>
          </w:p>
        </w:tc>
        <w:tc>
          <w:tcPr>
            <w:tcW w:w="717" w:type="pct"/>
            <w:gridSpan w:val="3"/>
            <w:tcBorders>
              <w:top w:val="single" w:sz="8" w:space="0" w:color="000000"/>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M0</w:t>
            </w:r>
          </w:p>
        </w:tc>
        <w:tc>
          <w:tcPr>
            <w:tcW w:w="717" w:type="pct"/>
            <w:gridSpan w:val="3"/>
            <w:tcBorders>
              <w:top w:val="single" w:sz="8" w:space="0" w:color="000000"/>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M4</w:t>
            </w:r>
          </w:p>
        </w:tc>
        <w:tc>
          <w:tcPr>
            <w:tcW w:w="717" w:type="pct"/>
            <w:gridSpan w:val="3"/>
            <w:tcBorders>
              <w:top w:val="single" w:sz="8" w:space="0" w:color="000000"/>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M8</w:t>
            </w:r>
          </w:p>
        </w:tc>
        <w:tc>
          <w:tcPr>
            <w:tcW w:w="428" w:type="pct"/>
            <w:tcBorders>
              <w:top w:val="single" w:sz="8" w:space="0" w:color="000000"/>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p values</w:t>
            </w:r>
          </w:p>
        </w:tc>
        <w:tc>
          <w:tcPr>
            <w:tcW w:w="596" w:type="pct"/>
            <w:tcBorders>
              <w:top w:val="single" w:sz="8" w:space="0" w:color="000000"/>
              <w:left w:val="single" w:sz="8" w:space="0" w:color="000000"/>
              <w:bottom w:val="single" w:sz="8" w:space="0" w:color="000000"/>
            </w:tcBorders>
            <w:shd w:val="clear" w:color="auto" w:fill="auto"/>
            <w:tcMar>
              <w:top w:w="13" w:type="dxa"/>
              <w:left w:w="13" w:type="dxa"/>
              <w:bottom w:w="0" w:type="dxa"/>
              <w:right w:w="13" w:type="dxa"/>
            </w:tcMar>
            <w:vAlign w:val="center"/>
            <w:hideMark/>
          </w:tcPr>
          <w:p w:rsidR="003D31EB" w:rsidRPr="00E96D41" w:rsidRDefault="003D31EB" w:rsidP="00CF6AFE">
            <w:pPr>
              <w:jc w:val="center"/>
              <w:rPr>
                <w:rFonts w:ascii="Arial" w:hAnsi="Arial" w:cs="Arial"/>
                <w:sz w:val="21"/>
                <w:szCs w:val="20"/>
                <w:lang w:val="en-GB"/>
              </w:rPr>
            </w:pPr>
            <w:r w:rsidRPr="00E96D41">
              <w:rPr>
                <w:rFonts w:ascii="Arial" w:hAnsi="Arial" w:cs="Arial"/>
                <w:sz w:val="21"/>
                <w:szCs w:val="20"/>
                <w:lang w:val="en-GB"/>
              </w:rPr>
              <w:t>Corrected</w:t>
            </w:r>
          </w:p>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p values</w:t>
            </w:r>
          </w:p>
        </w:tc>
      </w:tr>
      <w:tr w:rsidR="003D31EB" w:rsidRPr="001F3EE5" w:rsidTr="00CF6AFE">
        <w:trPr>
          <w:trHeight w:val="368"/>
        </w:trPr>
        <w:tc>
          <w:tcPr>
            <w:tcW w:w="379" w:type="pct"/>
            <w:vMerge w:val="restart"/>
            <w:tcBorders>
              <w:top w:val="dashed" w:sz="4" w:space="0" w:color="auto"/>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Amyloid</w:t>
            </w:r>
          </w:p>
          <w:p w:rsidR="003D31EB" w:rsidRPr="00E96D41" w:rsidRDefault="003D31EB" w:rsidP="00CF6AFE">
            <w:pPr>
              <w:rPr>
                <w:rFonts w:ascii="Arial" w:hAnsi="Arial" w:cs="Arial"/>
                <w:sz w:val="21"/>
                <w:szCs w:val="20"/>
              </w:rPr>
            </w:pPr>
            <w:r w:rsidRPr="00E96D41">
              <w:rPr>
                <w:rFonts w:ascii="Arial" w:hAnsi="Arial" w:cs="Arial"/>
                <w:sz w:val="21"/>
                <w:szCs w:val="20"/>
                <w:lang w:val="en-GB"/>
              </w:rPr>
              <w:t>PET</w:t>
            </w:r>
          </w:p>
        </w:tc>
        <w:tc>
          <w:tcPr>
            <w:tcW w:w="1244" w:type="pct"/>
            <w:gridSpan w:val="2"/>
            <w:vMerge w:val="restart"/>
            <w:tcBorders>
              <w:top w:val="dashed" w:sz="4" w:space="0" w:color="auto"/>
              <w:left w:val="nil"/>
              <w:bottom w:val="dashed" w:sz="4" w:space="0" w:color="auto"/>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Whole cortex</w:t>
            </w:r>
          </w:p>
        </w:tc>
        <w:tc>
          <w:tcPr>
            <w:tcW w:w="201" w:type="pct"/>
            <w:gridSpan w:val="2"/>
            <w:tcBorders>
              <w:top w:val="dashed" w:sz="4" w:space="0" w:color="auto"/>
              <w:left w:val="nil"/>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L</w:t>
            </w:r>
          </w:p>
        </w:tc>
        <w:tc>
          <w:tcPr>
            <w:tcW w:w="306" w:type="pct"/>
            <w:tcBorders>
              <w:top w:val="dashed" w:sz="4" w:space="0" w:color="auto"/>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0.73</w:t>
            </w:r>
          </w:p>
        </w:tc>
        <w:tc>
          <w:tcPr>
            <w:tcW w:w="104" w:type="pct"/>
            <w:tcBorders>
              <w:top w:val="dashed" w:sz="4" w:space="0" w:color="auto"/>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0.23</w:t>
            </w:r>
          </w:p>
        </w:tc>
        <w:tc>
          <w:tcPr>
            <w:tcW w:w="306" w:type="pct"/>
            <w:tcBorders>
              <w:top w:val="dashed" w:sz="4" w:space="0" w:color="auto"/>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0.74</w:t>
            </w:r>
          </w:p>
        </w:tc>
        <w:tc>
          <w:tcPr>
            <w:tcW w:w="104" w:type="pct"/>
            <w:tcBorders>
              <w:top w:val="dashed" w:sz="4" w:space="0" w:color="auto"/>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0.23</w:t>
            </w:r>
          </w:p>
        </w:tc>
        <w:tc>
          <w:tcPr>
            <w:tcW w:w="306" w:type="pct"/>
            <w:tcBorders>
              <w:top w:val="dashed" w:sz="4" w:space="0" w:color="auto"/>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0.73</w:t>
            </w:r>
          </w:p>
        </w:tc>
        <w:tc>
          <w:tcPr>
            <w:tcW w:w="104" w:type="pct"/>
            <w:tcBorders>
              <w:top w:val="dashed" w:sz="4" w:space="0" w:color="auto"/>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0.23</w:t>
            </w:r>
          </w:p>
        </w:tc>
        <w:tc>
          <w:tcPr>
            <w:tcW w:w="428" w:type="pct"/>
            <w:tcBorders>
              <w:top w:val="dashed" w:sz="4" w:space="0" w:color="auto"/>
              <w:left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0.413</w:t>
            </w:r>
          </w:p>
        </w:tc>
        <w:tc>
          <w:tcPr>
            <w:tcW w:w="596" w:type="pct"/>
            <w:tcBorders>
              <w:top w:val="dashed" w:sz="4" w:space="0" w:color="auto"/>
              <w:lef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0.551</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tcBorders>
              <w:top w:val="single" w:sz="8" w:space="0" w:color="000000"/>
              <w:left w:val="nil"/>
              <w:bottom w:val="dashed" w:sz="4" w:space="0" w:color="auto"/>
              <w:right w:val="nil"/>
            </w:tcBorders>
            <w:vAlign w:val="center"/>
            <w:hideMark/>
          </w:tcPr>
          <w:p w:rsidR="003D31EB" w:rsidRPr="00E96D41" w:rsidRDefault="003D31EB" w:rsidP="00CF6AFE">
            <w:pPr>
              <w:rPr>
                <w:rFonts w:ascii="Arial" w:hAnsi="Arial" w:cs="Arial"/>
                <w:sz w:val="21"/>
                <w:szCs w:val="20"/>
              </w:rPr>
            </w:pPr>
          </w:p>
        </w:tc>
        <w:tc>
          <w:tcPr>
            <w:tcW w:w="201" w:type="pct"/>
            <w:gridSpan w:val="2"/>
            <w:tcBorders>
              <w:top w:val="nil"/>
              <w:left w:val="nil"/>
              <w:bottom w:val="dashed" w:sz="4" w:space="0" w:color="auto"/>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R</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0.73</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0.23</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0.76</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0.74</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0.23</w:t>
            </w:r>
          </w:p>
        </w:tc>
        <w:tc>
          <w:tcPr>
            <w:tcW w:w="428" w:type="pct"/>
            <w:tcBorders>
              <w:top w:val="nil"/>
              <w:left w:val="single" w:sz="8" w:space="0" w:color="000000"/>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0.206</w:t>
            </w:r>
          </w:p>
        </w:tc>
        <w:tc>
          <w:tcPr>
            <w:tcW w:w="596" w:type="pct"/>
            <w:tcBorders>
              <w:top w:val="nil"/>
              <w:left w:val="single" w:sz="8" w:space="0" w:color="000000"/>
              <w:bottom w:val="dashed" w:sz="4" w:space="0" w:color="auto"/>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0.551</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val="restart"/>
            <w:tcBorders>
              <w:top w:val="dashed" w:sz="4" w:space="0" w:color="auto"/>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lang w:val="pt-PT"/>
              </w:rPr>
            </w:pPr>
            <w:r w:rsidRPr="00E96D41">
              <w:rPr>
                <w:rFonts w:ascii="Arial" w:hAnsi="Arial" w:cs="Arial"/>
                <w:sz w:val="21"/>
                <w:szCs w:val="20"/>
                <w:lang w:val="pt-PT"/>
              </w:rPr>
              <w:t>Angular + supramarginal + superior temporal gyri</w:t>
            </w:r>
          </w:p>
        </w:tc>
        <w:tc>
          <w:tcPr>
            <w:tcW w:w="201" w:type="pct"/>
            <w:gridSpan w:val="2"/>
            <w:tcBorders>
              <w:top w:val="dashed" w:sz="4" w:space="0" w:color="auto"/>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L</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0.77</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0.78</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0.76</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428" w:type="pct"/>
            <w:tcBorders>
              <w:top w:val="dashed" w:sz="4" w:space="0" w:color="auto"/>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0.831</w:t>
            </w:r>
          </w:p>
        </w:tc>
        <w:tc>
          <w:tcPr>
            <w:tcW w:w="596" w:type="pct"/>
            <w:tcBorders>
              <w:top w:val="dashed" w:sz="4" w:space="0" w:color="auto"/>
              <w:left w:val="single" w:sz="8" w:space="0" w:color="000000"/>
              <w:bottom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0.831</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tcBorders>
              <w:top w:val="nil"/>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201" w:type="pct"/>
            <w:gridSpan w:val="2"/>
            <w:tcBorders>
              <w:top w:val="nil"/>
              <w:left w:val="nil"/>
              <w:bottom w:val="single" w:sz="8" w:space="0" w:color="000000"/>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R</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0.76</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0.80</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0.25</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0.76</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0.24</w:t>
            </w:r>
          </w:p>
        </w:tc>
        <w:tc>
          <w:tcPr>
            <w:tcW w:w="428" w:type="pct"/>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0.413</w:t>
            </w:r>
          </w:p>
        </w:tc>
        <w:tc>
          <w:tcPr>
            <w:tcW w:w="596" w:type="pct"/>
            <w:tcBorders>
              <w:top w:val="nil"/>
              <w:left w:val="single" w:sz="8" w:space="0" w:color="000000"/>
              <w:bottom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0.551</w:t>
            </w:r>
          </w:p>
        </w:tc>
      </w:tr>
      <w:tr w:rsidR="003D31EB" w:rsidRPr="001F3EE5" w:rsidTr="00CF6AFE">
        <w:trPr>
          <w:trHeight w:val="368"/>
        </w:trPr>
        <w:tc>
          <w:tcPr>
            <w:tcW w:w="379" w:type="pct"/>
            <w:vMerge w:val="restart"/>
            <w:tcBorders>
              <w:top w:val="single" w:sz="8" w:space="0" w:color="000000"/>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FDG PET</w:t>
            </w:r>
          </w:p>
        </w:tc>
        <w:tc>
          <w:tcPr>
            <w:tcW w:w="1244" w:type="pct"/>
            <w:gridSpan w:val="2"/>
            <w:vMerge w:val="restart"/>
            <w:tcBorders>
              <w:top w:val="single" w:sz="8" w:space="0" w:color="000000"/>
              <w:left w:val="nil"/>
              <w:bottom w:val="dashed" w:sz="4" w:space="0" w:color="auto"/>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Whole cortex</w:t>
            </w:r>
          </w:p>
        </w:tc>
        <w:tc>
          <w:tcPr>
            <w:tcW w:w="201" w:type="pct"/>
            <w:gridSpan w:val="2"/>
            <w:tcBorders>
              <w:top w:val="single" w:sz="8" w:space="0" w:color="000000"/>
              <w:left w:val="nil"/>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L</w:t>
            </w:r>
          </w:p>
        </w:tc>
        <w:tc>
          <w:tcPr>
            <w:tcW w:w="306" w:type="pct"/>
            <w:tcBorders>
              <w:top w:val="single"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0.97</w:t>
            </w:r>
          </w:p>
        </w:tc>
        <w:tc>
          <w:tcPr>
            <w:tcW w:w="104" w:type="pct"/>
            <w:tcBorders>
              <w:top w:val="single" w:sz="8" w:space="0" w:color="000000"/>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single" w:sz="8" w:space="0" w:color="000000"/>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0.30</w:t>
            </w:r>
          </w:p>
        </w:tc>
        <w:tc>
          <w:tcPr>
            <w:tcW w:w="306" w:type="pct"/>
            <w:tcBorders>
              <w:top w:val="single"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0.93</w:t>
            </w:r>
          </w:p>
        </w:tc>
        <w:tc>
          <w:tcPr>
            <w:tcW w:w="104" w:type="pct"/>
            <w:tcBorders>
              <w:top w:val="single" w:sz="8" w:space="0" w:color="000000"/>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single" w:sz="8" w:space="0" w:color="000000"/>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0.29</w:t>
            </w:r>
          </w:p>
        </w:tc>
        <w:tc>
          <w:tcPr>
            <w:tcW w:w="306" w:type="pct"/>
            <w:tcBorders>
              <w:top w:val="single"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0.92</w:t>
            </w:r>
          </w:p>
        </w:tc>
        <w:tc>
          <w:tcPr>
            <w:tcW w:w="104" w:type="pct"/>
            <w:tcBorders>
              <w:top w:val="single" w:sz="8" w:space="0" w:color="000000"/>
              <w:left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single" w:sz="8" w:space="0" w:color="000000"/>
              <w:left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0.29</w:t>
            </w:r>
          </w:p>
        </w:tc>
        <w:tc>
          <w:tcPr>
            <w:tcW w:w="428" w:type="pct"/>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0.032</w:t>
            </w:r>
          </w:p>
        </w:tc>
        <w:tc>
          <w:tcPr>
            <w:tcW w:w="596" w:type="pct"/>
            <w:tcBorders>
              <w:top w:val="single" w:sz="8" w:space="0" w:color="000000"/>
              <w:lef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b/>
                <w:bCs/>
                <w:sz w:val="21"/>
                <w:szCs w:val="20"/>
              </w:rPr>
            </w:pPr>
            <w:r w:rsidRPr="00E96D41">
              <w:rPr>
                <w:rFonts w:ascii="Arial" w:hAnsi="Arial" w:cs="Arial"/>
                <w:b/>
                <w:bCs/>
                <w:sz w:val="21"/>
                <w:szCs w:val="20"/>
              </w:rPr>
              <w:t>0.043</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tcBorders>
              <w:top w:val="single" w:sz="8" w:space="0" w:color="000000"/>
              <w:left w:val="nil"/>
              <w:bottom w:val="dashed" w:sz="4" w:space="0" w:color="auto"/>
              <w:right w:val="nil"/>
            </w:tcBorders>
            <w:vAlign w:val="center"/>
            <w:hideMark/>
          </w:tcPr>
          <w:p w:rsidR="003D31EB" w:rsidRPr="00E96D41" w:rsidRDefault="003D31EB" w:rsidP="00CF6AFE">
            <w:pPr>
              <w:rPr>
                <w:rFonts w:ascii="Arial" w:hAnsi="Arial" w:cs="Arial"/>
                <w:sz w:val="21"/>
                <w:szCs w:val="20"/>
              </w:rPr>
            </w:pPr>
          </w:p>
        </w:tc>
        <w:tc>
          <w:tcPr>
            <w:tcW w:w="201" w:type="pct"/>
            <w:gridSpan w:val="2"/>
            <w:tcBorders>
              <w:top w:val="nil"/>
              <w:left w:val="nil"/>
              <w:bottom w:val="dashed" w:sz="4" w:space="0" w:color="auto"/>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R</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0.97</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0.30</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0.96</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0.30</w:t>
            </w:r>
          </w:p>
        </w:tc>
        <w:tc>
          <w:tcPr>
            <w:tcW w:w="306" w:type="pct"/>
            <w:tcBorders>
              <w:top w:val="nil"/>
              <w:left w:val="single" w:sz="8" w:space="0" w:color="000000"/>
              <w:bottom w:val="dashed" w:sz="4" w:space="0" w:color="auto"/>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0.92</w:t>
            </w:r>
          </w:p>
        </w:tc>
        <w:tc>
          <w:tcPr>
            <w:tcW w:w="104" w:type="pct"/>
            <w:tcBorders>
              <w:top w:val="nil"/>
              <w:left w:val="nil"/>
              <w:bottom w:val="dashed" w:sz="4" w:space="0" w:color="auto"/>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0.29</w:t>
            </w:r>
          </w:p>
        </w:tc>
        <w:tc>
          <w:tcPr>
            <w:tcW w:w="428" w:type="pct"/>
            <w:tcBorders>
              <w:top w:val="nil"/>
              <w:left w:val="single" w:sz="8" w:space="0" w:color="000000"/>
              <w:bottom w:val="dashed" w:sz="4" w:space="0" w:color="auto"/>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0.067</w:t>
            </w:r>
          </w:p>
        </w:tc>
        <w:tc>
          <w:tcPr>
            <w:tcW w:w="596" w:type="pct"/>
            <w:tcBorders>
              <w:top w:val="nil"/>
              <w:left w:val="single" w:sz="8" w:space="0" w:color="000000"/>
              <w:bottom w:val="dashed" w:sz="4" w:space="0" w:color="auto"/>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0.067</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val="restart"/>
            <w:tcBorders>
              <w:top w:val="dashed" w:sz="4" w:space="0" w:color="auto"/>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lang w:val="pt-PT"/>
              </w:rPr>
            </w:pPr>
            <w:r w:rsidRPr="00E96D41">
              <w:rPr>
                <w:rFonts w:ascii="Arial" w:hAnsi="Arial" w:cs="Arial"/>
                <w:sz w:val="21"/>
                <w:szCs w:val="20"/>
                <w:lang w:val="pt-PT"/>
              </w:rPr>
              <w:t>Angular + supramarginal + superior temporal gyri</w:t>
            </w:r>
          </w:p>
        </w:tc>
        <w:tc>
          <w:tcPr>
            <w:tcW w:w="201" w:type="pct"/>
            <w:gridSpan w:val="2"/>
            <w:tcBorders>
              <w:top w:val="dashed" w:sz="4" w:space="0" w:color="auto"/>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L</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0.92</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0.29</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0.85</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0.27</w:t>
            </w:r>
          </w:p>
        </w:tc>
        <w:tc>
          <w:tcPr>
            <w:tcW w:w="306" w:type="pct"/>
            <w:tcBorders>
              <w:top w:val="dash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0.84</w:t>
            </w:r>
          </w:p>
        </w:tc>
        <w:tc>
          <w:tcPr>
            <w:tcW w:w="104" w:type="pct"/>
            <w:tcBorders>
              <w:top w:val="dashed" w:sz="4" w:space="0" w:color="auto"/>
              <w:left w:val="nil"/>
              <w:bottom w:val="nil"/>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dash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0.27</w:t>
            </w:r>
          </w:p>
        </w:tc>
        <w:tc>
          <w:tcPr>
            <w:tcW w:w="428" w:type="pct"/>
            <w:tcBorders>
              <w:top w:val="dashed" w:sz="4" w:space="0" w:color="auto"/>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0.014</w:t>
            </w:r>
          </w:p>
        </w:tc>
        <w:tc>
          <w:tcPr>
            <w:tcW w:w="596" w:type="pct"/>
            <w:tcBorders>
              <w:top w:val="dashed" w:sz="4" w:space="0" w:color="auto"/>
              <w:left w:val="single" w:sz="8" w:space="0" w:color="000000"/>
              <w:bottom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b/>
                <w:bCs/>
                <w:sz w:val="21"/>
                <w:szCs w:val="20"/>
              </w:rPr>
            </w:pPr>
            <w:r w:rsidRPr="00E96D41">
              <w:rPr>
                <w:rFonts w:ascii="Arial" w:hAnsi="Arial" w:cs="Arial"/>
                <w:b/>
                <w:bCs/>
                <w:sz w:val="21"/>
                <w:szCs w:val="20"/>
              </w:rPr>
              <w:t>0.043</w:t>
            </w:r>
          </w:p>
        </w:tc>
      </w:tr>
      <w:tr w:rsidR="003D31EB" w:rsidRPr="001F3EE5" w:rsidTr="00CF6AFE">
        <w:trPr>
          <w:trHeight w:val="369"/>
        </w:trPr>
        <w:tc>
          <w:tcPr>
            <w:tcW w:w="379" w:type="pct"/>
            <w:vMerge/>
            <w:tcBorders>
              <w:top w:val="single" w:sz="8" w:space="0" w:color="000000"/>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1244" w:type="pct"/>
            <w:gridSpan w:val="2"/>
            <w:vMerge/>
            <w:tcBorders>
              <w:top w:val="nil"/>
              <w:left w:val="nil"/>
              <w:bottom w:val="single" w:sz="8" w:space="0" w:color="000000"/>
              <w:right w:val="nil"/>
            </w:tcBorders>
            <w:vAlign w:val="center"/>
            <w:hideMark/>
          </w:tcPr>
          <w:p w:rsidR="003D31EB" w:rsidRPr="00E96D41" w:rsidRDefault="003D31EB" w:rsidP="00CF6AFE">
            <w:pPr>
              <w:rPr>
                <w:rFonts w:ascii="Arial" w:hAnsi="Arial" w:cs="Arial"/>
                <w:sz w:val="21"/>
                <w:szCs w:val="20"/>
              </w:rPr>
            </w:pPr>
          </w:p>
        </w:tc>
        <w:tc>
          <w:tcPr>
            <w:tcW w:w="201" w:type="pct"/>
            <w:gridSpan w:val="2"/>
            <w:tcBorders>
              <w:top w:val="nil"/>
              <w:left w:val="nil"/>
              <w:bottom w:val="single" w:sz="8" w:space="0" w:color="000000"/>
              <w:right w:val="single" w:sz="8" w:space="0" w:color="000000"/>
            </w:tcBorders>
            <w:shd w:val="clear" w:color="auto" w:fill="auto"/>
            <w:tcMar>
              <w:top w:w="13" w:type="dxa"/>
              <w:left w:w="57" w:type="dxa"/>
              <w:bottom w:w="0" w:type="dxa"/>
              <w:right w:w="113" w:type="dxa"/>
            </w:tcMar>
            <w:vAlign w:val="center"/>
            <w:hideMark/>
          </w:tcPr>
          <w:p w:rsidR="003D31EB" w:rsidRPr="00E96D41" w:rsidRDefault="003D31EB" w:rsidP="00CF6AFE">
            <w:pPr>
              <w:rPr>
                <w:rFonts w:ascii="Arial" w:hAnsi="Arial" w:cs="Arial"/>
                <w:sz w:val="21"/>
                <w:szCs w:val="20"/>
              </w:rPr>
            </w:pPr>
            <w:r w:rsidRPr="00E96D41">
              <w:rPr>
                <w:rFonts w:ascii="Arial" w:hAnsi="Arial" w:cs="Arial"/>
                <w:sz w:val="21"/>
                <w:szCs w:val="20"/>
                <w:lang w:val="en-GB"/>
              </w:rPr>
              <w:t>R</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0.92</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0.29</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0.91</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0.28</w:t>
            </w:r>
          </w:p>
        </w:tc>
        <w:tc>
          <w:tcPr>
            <w:tcW w:w="306"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0.87</w:t>
            </w:r>
          </w:p>
        </w:tc>
        <w:tc>
          <w:tcPr>
            <w:tcW w:w="104"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lang w:val="en-GB"/>
              </w:rPr>
              <w:t>±</w:t>
            </w:r>
          </w:p>
        </w:tc>
        <w:tc>
          <w:tcPr>
            <w:tcW w:w="307"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0.27</w:t>
            </w:r>
          </w:p>
        </w:tc>
        <w:tc>
          <w:tcPr>
            <w:tcW w:w="428" w:type="pct"/>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sz w:val="21"/>
                <w:szCs w:val="20"/>
              </w:rPr>
            </w:pPr>
            <w:r w:rsidRPr="00E96D41">
              <w:rPr>
                <w:rFonts w:ascii="Arial" w:hAnsi="Arial" w:cs="Arial"/>
                <w:sz w:val="21"/>
                <w:szCs w:val="20"/>
              </w:rPr>
              <w:t>0.024</w:t>
            </w:r>
          </w:p>
        </w:tc>
        <w:tc>
          <w:tcPr>
            <w:tcW w:w="596" w:type="pct"/>
            <w:tcBorders>
              <w:top w:val="nil"/>
              <w:left w:val="single" w:sz="8" w:space="0" w:color="000000"/>
              <w:bottom w:val="single" w:sz="8" w:space="0" w:color="000000"/>
            </w:tcBorders>
            <w:shd w:val="clear" w:color="auto" w:fill="auto"/>
            <w:tcMar>
              <w:top w:w="15" w:type="dxa"/>
              <w:left w:w="15" w:type="dxa"/>
              <w:bottom w:w="0" w:type="dxa"/>
              <w:right w:w="15" w:type="dxa"/>
            </w:tcMar>
            <w:vAlign w:val="bottom"/>
            <w:hideMark/>
          </w:tcPr>
          <w:p w:rsidR="003D31EB" w:rsidRPr="00E96D41" w:rsidRDefault="003D31EB" w:rsidP="00CF6AFE">
            <w:pPr>
              <w:jc w:val="center"/>
              <w:rPr>
                <w:rFonts w:ascii="Arial" w:hAnsi="Arial" w:cs="Arial"/>
                <w:b/>
                <w:bCs/>
                <w:sz w:val="21"/>
                <w:szCs w:val="20"/>
              </w:rPr>
            </w:pPr>
            <w:r w:rsidRPr="00E96D41">
              <w:rPr>
                <w:rFonts w:ascii="Arial" w:hAnsi="Arial" w:cs="Arial"/>
                <w:b/>
                <w:bCs/>
                <w:sz w:val="21"/>
                <w:szCs w:val="20"/>
              </w:rPr>
              <w:t>0.043</w:t>
            </w:r>
          </w:p>
        </w:tc>
      </w:tr>
    </w:tbl>
    <w:p w:rsidR="003D31EB" w:rsidRPr="001F3EE5" w:rsidRDefault="003D31EB" w:rsidP="003D31EB">
      <w:pPr>
        <w:rPr>
          <w:rFonts w:ascii="Arial" w:hAnsi="Arial" w:cs="Arial"/>
          <w:szCs w:val="22"/>
        </w:rPr>
      </w:pPr>
    </w:p>
    <w:p w:rsidR="003D31EB" w:rsidRDefault="003D31EB" w:rsidP="003D31EB">
      <w:pPr>
        <w:rPr>
          <w:rFonts w:ascii="Arial" w:hAnsi="Arial" w:cs="Arial"/>
          <w:szCs w:val="22"/>
        </w:rPr>
      </w:pPr>
    </w:p>
    <w:p w:rsidR="003D31EB" w:rsidRPr="00B3775A" w:rsidRDefault="003D31EB" w:rsidP="003D31EB">
      <w:pPr>
        <w:rPr>
          <w:rFonts w:ascii="Arial" w:hAnsi="Arial" w:cs="Arial"/>
          <w:szCs w:val="22"/>
        </w:rPr>
      </w:pPr>
    </w:p>
    <w:p w:rsidR="003D31EB" w:rsidRDefault="003D31EB" w:rsidP="003D31EB">
      <w:pPr>
        <w:rPr>
          <w:rFonts w:ascii="Arial" w:hAnsi="Arial" w:cs="Arial"/>
          <w:szCs w:val="22"/>
        </w:rPr>
      </w:pPr>
      <w:r>
        <w:rPr>
          <w:rFonts w:ascii="Arial" w:hAnsi="Arial" w:cs="Arial"/>
          <w:szCs w:val="22"/>
        </w:rPr>
        <w:br w:type="page"/>
      </w:r>
    </w:p>
    <w:p w:rsidR="003D31EB" w:rsidRPr="00B3775A" w:rsidRDefault="003D31EB" w:rsidP="003D31EB">
      <w:pPr>
        <w:jc w:val="both"/>
        <w:rPr>
          <w:rFonts w:ascii="Arial" w:hAnsi="Arial" w:cs="Arial"/>
          <w:szCs w:val="22"/>
        </w:rPr>
      </w:pPr>
      <w:r>
        <w:rPr>
          <w:rFonts w:ascii="Arial" w:hAnsi="Arial" w:cs="Arial"/>
          <w:b/>
          <w:bCs/>
        </w:rPr>
        <w:lastRenderedPageBreak/>
        <w:t xml:space="preserve">Supplementary </w:t>
      </w:r>
      <w:r w:rsidRPr="00B3775A">
        <w:rPr>
          <w:rFonts w:ascii="Arial" w:hAnsi="Arial" w:cs="Arial"/>
          <w:b/>
          <w:bCs/>
          <w:szCs w:val="22"/>
        </w:rPr>
        <w:t xml:space="preserve">Table </w:t>
      </w:r>
      <w:r>
        <w:rPr>
          <w:rFonts w:ascii="Arial" w:hAnsi="Arial" w:cs="Arial"/>
          <w:b/>
          <w:bCs/>
          <w:szCs w:val="22"/>
        </w:rPr>
        <w:t>3</w:t>
      </w:r>
      <w:r w:rsidRPr="00B3775A">
        <w:rPr>
          <w:rFonts w:ascii="Arial" w:hAnsi="Arial" w:cs="Arial"/>
          <w:b/>
          <w:bCs/>
          <w:szCs w:val="22"/>
        </w:rPr>
        <w:t>.</w:t>
      </w:r>
      <w:r w:rsidRPr="00B3775A">
        <w:rPr>
          <w:rFonts w:ascii="Arial" w:hAnsi="Arial" w:cs="Arial"/>
          <w:szCs w:val="22"/>
        </w:rPr>
        <w:t xml:space="preserve"> Comparison of the BOREAL and ADNI populations. No statistical difference exists in terms of age and </w:t>
      </w:r>
      <w:r w:rsidRPr="00B3775A">
        <w:rPr>
          <w:rFonts w:ascii="Arial" w:hAnsi="Arial" w:cs="Arial"/>
        </w:rPr>
        <w:t>mini mental state examination</w:t>
      </w:r>
      <w:r w:rsidRPr="00B3775A">
        <w:rPr>
          <w:rFonts w:ascii="Arial" w:hAnsi="Arial" w:cs="Arial"/>
          <w:szCs w:val="22"/>
        </w:rPr>
        <w:t xml:space="preserve"> (MMSE) score (Kruskal-Wallis H-test) between the BOREAL and ADNI populations, nor in terms of regional PET </w:t>
      </w:r>
      <w:r w:rsidRPr="00B3775A">
        <w:rPr>
          <w:rFonts w:ascii="Arial" w:hAnsi="Arial" w:cs="Arial"/>
        </w:rPr>
        <w:t>standardized uptake value ratio</w:t>
      </w:r>
      <w:r w:rsidRPr="00B3775A">
        <w:rPr>
          <w:rFonts w:ascii="Arial" w:hAnsi="Arial" w:cs="Arial"/>
          <w:szCs w:val="22"/>
        </w:rPr>
        <w:t xml:space="preserve"> (SUVR) at baseline and annualized percent change (APC) computed in both the large and small regions of interest (Kruskal-Wallis H-test with the Benjamini-Hochberg procedure to correct for multiple testing). </w:t>
      </w:r>
      <w:r w:rsidRPr="00B3775A">
        <w:rPr>
          <w:rFonts w:ascii="Arial" w:hAnsi="Arial" w:cs="Arial"/>
          <w:lang w:val="en-GB"/>
        </w:rPr>
        <w:t>L: left, R: right.</w:t>
      </w:r>
    </w:p>
    <w:p w:rsidR="003D31EB" w:rsidRPr="00B3775A" w:rsidRDefault="003D31EB" w:rsidP="003D31EB">
      <w:pPr>
        <w:jc w:val="center"/>
        <w:rPr>
          <w:rFonts w:ascii="Arial" w:hAnsi="Arial" w:cs="Arial"/>
          <w:szCs w:val="22"/>
        </w:rPr>
      </w:pPr>
    </w:p>
    <w:tbl>
      <w:tblPr>
        <w:tblW w:w="5000" w:type="pct"/>
        <w:tblCellMar>
          <w:left w:w="0" w:type="dxa"/>
          <w:right w:w="0" w:type="dxa"/>
        </w:tblCellMar>
        <w:tblLook w:val="0600" w:firstRow="0" w:lastRow="0" w:firstColumn="0" w:lastColumn="0" w:noHBand="1" w:noVBand="1"/>
      </w:tblPr>
      <w:tblGrid>
        <w:gridCol w:w="953"/>
        <w:gridCol w:w="704"/>
        <w:gridCol w:w="1546"/>
        <w:gridCol w:w="451"/>
        <w:gridCol w:w="607"/>
        <w:gridCol w:w="175"/>
        <w:gridCol w:w="663"/>
        <w:gridCol w:w="186"/>
        <w:gridCol w:w="669"/>
        <w:gridCol w:w="663"/>
        <w:gridCol w:w="187"/>
        <w:gridCol w:w="670"/>
        <w:gridCol w:w="894"/>
        <w:gridCol w:w="992"/>
      </w:tblGrid>
      <w:tr w:rsidR="003D31EB" w:rsidRPr="00B3775A" w:rsidTr="00CF6AFE">
        <w:trPr>
          <w:trHeight w:val="376"/>
        </w:trPr>
        <w:tc>
          <w:tcPr>
            <w:tcW w:w="881" w:type="pct"/>
            <w:gridSpan w:val="2"/>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p>
        </w:tc>
        <w:tc>
          <w:tcPr>
            <w:tcW w:w="1095" w:type="pct"/>
            <w:gridSpan w:val="2"/>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p>
        </w:tc>
        <w:tc>
          <w:tcPr>
            <w:tcW w:w="262"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p>
        </w:tc>
        <w:tc>
          <w:tcPr>
            <w:tcW w:w="76" w:type="pct"/>
            <w:tcBorders>
              <w:top w:val="nil"/>
              <w:left w:val="nil"/>
              <w:bottom w:val="single" w:sz="8" w:space="0" w:color="000000"/>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p>
        </w:tc>
        <w:tc>
          <w:tcPr>
            <w:tcW w:w="852" w:type="pct"/>
            <w:gridSpan w:val="3"/>
            <w:tcBorders>
              <w:top w:val="nil"/>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BOREAL</w:t>
            </w:r>
          </w:p>
        </w:tc>
        <w:tc>
          <w:tcPr>
            <w:tcW w:w="852" w:type="pct"/>
            <w:gridSpan w:val="3"/>
            <w:tcBorders>
              <w:top w:val="nil"/>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ADNI</w:t>
            </w:r>
          </w:p>
        </w:tc>
        <w:tc>
          <w:tcPr>
            <w:tcW w:w="491" w:type="pct"/>
            <w:tcBorders>
              <w:top w:val="nil"/>
              <w:left w:val="single" w:sz="8" w:space="0" w:color="000000"/>
              <w:bottom w:val="single" w:sz="8" w:space="0" w:color="000000"/>
              <w:right w:val="single" w:sz="8" w:space="0" w:color="000000"/>
            </w:tcBorders>
            <w:shd w:val="clear" w:color="auto" w:fill="auto"/>
            <w:tcMar>
              <w:top w:w="13" w:type="dxa"/>
              <w:left w:w="13" w:type="dxa"/>
              <w:bottom w:w="0" w:type="dxa"/>
              <w:right w:w="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p values</w:t>
            </w:r>
          </w:p>
        </w:tc>
        <w:tc>
          <w:tcPr>
            <w:tcW w:w="491" w:type="pct"/>
            <w:tcBorders>
              <w:top w:val="nil"/>
              <w:left w:val="single" w:sz="8" w:space="0" w:color="000000"/>
              <w:bottom w:val="single" w:sz="8" w:space="0" w:color="000000"/>
              <w:right w:val="nil"/>
            </w:tcBorders>
            <w:shd w:val="clear" w:color="auto" w:fill="auto"/>
            <w:tcMar>
              <w:top w:w="13" w:type="dxa"/>
              <w:left w:w="13" w:type="dxa"/>
              <w:bottom w:w="0" w:type="dxa"/>
              <w:right w:w="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Corrected p values</w:t>
            </w:r>
          </w:p>
        </w:tc>
      </w:tr>
      <w:tr w:rsidR="003D31EB" w:rsidRPr="00B3775A" w:rsidTr="00CF6AFE">
        <w:trPr>
          <w:trHeight w:val="374"/>
        </w:trPr>
        <w:tc>
          <w:tcPr>
            <w:tcW w:w="2314" w:type="pct"/>
            <w:gridSpan w:val="6"/>
            <w:tcBorders>
              <w:top w:val="single" w:sz="8" w:space="0" w:color="000000"/>
              <w:left w:val="nil"/>
              <w:bottom w:val="nil"/>
              <w:right w:val="single" w:sz="8" w:space="0" w:color="000000"/>
            </w:tcBorders>
            <w:shd w:val="clear" w:color="auto" w:fill="auto"/>
            <w:tcMar>
              <w:top w:w="13" w:type="dxa"/>
              <w:left w:w="57" w:type="dxa"/>
              <w:bottom w:w="0" w:type="dxa"/>
              <w:right w:w="113" w:type="dxa"/>
            </w:tcMar>
            <w:vAlign w:val="bottom"/>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Number of participants</w:t>
            </w:r>
          </w:p>
        </w:tc>
        <w:tc>
          <w:tcPr>
            <w:tcW w:w="852" w:type="pct"/>
            <w:gridSpan w:val="3"/>
            <w:tcBorders>
              <w:top w:val="single" w:sz="8" w:space="0" w:color="000000"/>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9</w:t>
            </w:r>
          </w:p>
        </w:tc>
        <w:tc>
          <w:tcPr>
            <w:tcW w:w="852" w:type="pct"/>
            <w:gridSpan w:val="3"/>
            <w:tcBorders>
              <w:top w:val="single" w:sz="8" w:space="0" w:color="000000"/>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45</w:t>
            </w:r>
          </w:p>
        </w:tc>
        <w:tc>
          <w:tcPr>
            <w:tcW w:w="491" w:type="pct"/>
            <w:tcBorders>
              <w:top w:val="single" w:sz="8" w:space="0" w:color="000000"/>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491" w:type="pct"/>
            <w:tcBorders>
              <w:top w:val="single" w:sz="8" w:space="0" w:color="000000"/>
              <w:left w:val="single" w:sz="8" w:space="0" w:color="000000"/>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r>
      <w:tr w:rsidR="003D31EB" w:rsidRPr="00B3775A" w:rsidTr="00CF6AFE">
        <w:trPr>
          <w:trHeight w:val="376"/>
        </w:trPr>
        <w:tc>
          <w:tcPr>
            <w:tcW w:w="2314" w:type="pct"/>
            <w:gridSpan w:val="6"/>
            <w:tcBorders>
              <w:top w:val="nil"/>
              <w:left w:val="nil"/>
              <w:bottom w:val="nil"/>
              <w:right w:val="single" w:sz="8" w:space="0" w:color="000000"/>
            </w:tcBorders>
            <w:shd w:val="clear" w:color="auto" w:fill="auto"/>
            <w:tcMar>
              <w:top w:w="13" w:type="dxa"/>
              <w:left w:w="57" w:type="dxa"/>
              <w:bottom w:w="0" w:type="dxa"/>
              <w:right w:w="113" w:type="dxa"/>
            </w:tcMar>
            <w:vAlign w:val="bottom"/>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Number of female participants</w:t>
            </w:r>
          </w:p>
        </w:tc>
        <w:tc>
          <w:tcPr>
            <w:tcW w:w="852" w:type="pct"/>
            <w:gridSpan w:val="3"/>
            <w:tcBorders>
              <w:top w:val="nil"/>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5</w:t>
            </w:r>
          </w:p>
        </w:tc>
        <w:tc>
          <w:tcPr>
            <w:tcW w:w="852" w:type="pct"/>
            <w:gridSpan w:val="3"/>
            <w:tcBorders>
              <w:top w:val="nil"/>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25</w:t>
            </w:r>
          </w:p>
        </w:tc>
        <w:tc>
          <w:tcPr>
            <w:tcW w:w="491" w:type="pct"/>
            <w:tcBorders>
              <w:top w:val="nil"/>
              <w:left w:val="single" w:sz="8" w:space="0" w:color="000000"/>
              <w:bottom w:val="nil"/>
              <w:right w:val="single" w:sz="8" w:space="0" w:color="000000"/>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491" w:type="pct"/>
            <w:tcBorders>
              <w:top w:val="nil"/>
              <w:left w:val="single" w:sz="8" w:space="0" w:color="000000"/>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r>
      <w:tr w:rsidR="003D31EB" w:rsidRPr="00B3775A" w:rsidTr="00CF6AFE">
        <w:trPr>
          <w:trHeight w:val="343"/>
        </w:trPr>
        <w:tc>
          <w:tcPr>
            <w:tcW w:w="2314" w:type="pct"/>
            <w:gridSpan w:val="6"/>
            <w:tcBorders>
              <w:top w:val="nil"/>
              <w:left w:val="nil"/>
              <w:bottom w:val="nil"/>
              <w:right w:val="single" w:sz="8" w:space="0" w:color="000000"/>
            </w:tcBorders>
            <w:shd w:val="clear" w:color="auto" w:fill="auto"/>
            <w:tcMar>
              <w:top w:w="13" w:type="dxa"/>
              <w:left w:w="57" w:type="dxa"/>
              <w:bottom w:w="0" w:type="dxa"/>
              <w:right w:w="113" w:type="dxa"/>
            </w:tcMar>
            <w:vAlign w:val="bottom"/>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Age at baseline</w:t>
            </w:r>
          </w:p>
        </w:tc>
        <w:tc>
          <w:tcPr>
            <w:tcW w:w="368" w:type="pct"/>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71.22</w:t>
            </w:r>
          </w:p>
        </w:tc>
        <w:tc>
          <w:tcPr>
            <w:tcW w:w="113" w:type="pct"/>
            <w:tcBorders>
              <w:top w:val="nil"/>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4.15</w:t>
            </w:r>
          </w:p>
        </w:tc>
        <w:tc>
          <w:tcPr>
            <w:tcW w:w="368" w:type="pct"/>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72.31</w:t>
            </w:r>
          </w:p>
        </w:tc>
        <w:tc>
          <w:tcPr>
            <w:tcW w:w="113" w:type="pct"/>
            <w:tcBorders>
              <w:top w:val="nil"/>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5.67</w:t>
            </w:r>
          </w:p>
        </w:tc>
        <w:tc>
          <w:tcPr>
            <w:tcW w:w="491" w:type="pct"/>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0.659</w:t>
            </w:r>
          </w:p>
        </w:tc>
        <w:tc>
          <w:tcPr>
            <w:tcW w:w="491" w:type="pct"/>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b/>
                <w:bCs/>
                <w:sz w:val="22"/>
                <w:szCs w:val="22"/>
                <w:lang w:val="en-GB"/>
              </w:rPr>
              <w:t>-</w:t>
            </w:r>
          </w:p>
        </w:tc>
      </w:tr>
      <w:tr w:rsidR="003D31EB" w:rsidRPr="00B3775A" w:rsidTr="00CF6AFE">
        <w:trPr>
          <w:trHeight w:val="343"/>
        </w:trPr>
        <w:tc>
          <w:tcPr>
            <w:tcW w:w="2314" w:type="pct"/>
            <w:gridSpan w:val="6"/>
            <w:tcBorders>
              <w:top w:val="nil"/>
              <w:left w:val="nil"/>
              <w:bottom w:val="single" w:sz="8" w:space="0" w:color="000000"/>
              <w:right w:val="single" w:sz="8" w:space="0" w:color="000000"/>
            </w:tcBorders>
            <w:shd w:val="clear" w:color="auto" w:fill="auto"/>
            <w:tcMar>
              <w:top w:w="13" w:type="dxa"/>
              <w:left w:w="57" w:type="dxa"/>
              <w:bottom w:w="0" w:type="dxa"/>
              <w:right w:w="113" w:type="dxa"/>
            </w:tcMar>
            <w:vAlign w:val="bottom"/>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MMSE at baseline</w:t>
            </w:r>
          </w:p>
        </w:tc>
        <w:tc>
          <w:tcPr>
            <w:tcW w:w="368"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23.78</w:t>
            </w:r>
          </w:p>
        </w:tc>
        <w:tc>
          <w:tcPr>
            <w:tcW w:w="113"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2.68</w:t>
            </w:r>
          </w:p>
        </w:tc>
        <w:tc>
          <w:tcPr>
            <w:tcW w:w="368"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24.58</w:t>
            </w:r>
          </w:p>
        </w:tc>
        <w:tc>
          <w:tcPr>
            <w:tcW w:w="113"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2.60</w:t>
            </w:r>
          </w:p>
        </w:tc>
        <w:tc>
          <w:tcPr>
            <w:tcW w:w="491" w:type="pct"/>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0.319</w:t>
            </w:r>
          </w:p>
        </w:tc>
        <w:tc>
          <w:tcPr>
            <w:tcW w:w="491"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b/>
                <w:bCs/>
                <w:sz w:val="22"/>
                <w:szCs w:val="22"/>
                <w:lang w:val="en-GB"/>
              </w:rPr>
              <w:t>-</w:t>
            </w:r>
          </w:p>
        </w:tc>
      </w:tr>
      <w:tr w:rsidR="003D31EB" w:rsidRPr="00B3775A" w:rsidTr="00CF6AFE">
        <w:trPr>
          <w:trHeight w:val="343"/>
        </w:trPr>
        <w:tc>
          <w:tcPr>
            <w:tcW w:w="491" w:type="pct"/>
            <w:vMerge w:val="restart"/>
            <w:tcBorders>
              <w:top w:val="single" w:sz="8" w:space="0" w:color="000000"/>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Amyloid</w:t>
            </w:r>
          </w:p>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PET</w:t>
            </w:r>
          </w:p>
        </w:tc>
        <w:tc>
          <w:tcPr>
            <w:tcW w:w="1230" w:type="pct"/>
            <w:gridSpan w:val="2"/>
            <w:vMerge w:val="restart"/>
            <w:tcBorders>
              <w:top w:val="single" w:sz="8" w:space="0" w:color="000000"/>
              <w:left w:val="nil"/>
              <w:bottom w:val="nil"/>
              <w:right w:val="nil"/>
            </w:tcBorders>
            <w:shd w:val="clear" w:color="auto" w:fill="auto"/>
            <w:tcMar>
              <w:top w:w="13" w:type="dxa"/>
              <w:left w:w="57" w:type="dxa"/>
              <w:bottom w:w="0" w:type="dxa"/>
              <w:right w:w="113" w:type="dxa"/>
            </w:tcMar>
            <w:vAlign w:val="center"/>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Whole cortex</w:t>
            </w:r>
          </w:p>
        </w:tc>
        <w:tc>
          <w:tcPr>
            <w:tcW w:w="255" w:type="pct"/>
            <w:vMerge w:val="restart"/>
            <w:tcBorders>
              <w:top w:val="single" w:sz="8" w:space="0" w:color="000000"/>
              <w:left w:val="nil"/>
              <w:bottom w:val="dashSmallGap"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L</w:t>
            </w:r>
          </w:p>
        </w:tc>
        <w:tc>
          <w:tcPr>
            <w:tcW w:w="338" w:type="pct"/>
            <w:gridSpan w:val="2"/>
            <w:tcBorders>
              <w:top w:val="single" w:sz="8" w:space="0" w:color="000000"/>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0.79</w:t>
            </w:r>
          </w:p>
        </w:tc>
        <w:tc>
          <w:tcPr>
            <w:tcW w:w="113" w:type="pct"/>
            <w:tcBorders>
              <w:top w:val="single"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0.09</w:t>
            </w:r>
          </w:p>
        </w:tc>
        <w:tc>
          <w:tcPr>
            <w:tcW w:w="368"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0.78</w:t>
            </w:r>
          </w:p>
        </w:tc>
        <w:tc>
          <w:tcPr>
            <w:tcW w:w="113" w:type="pct"/>
            <w:tcBorders>
              <w:top w:val="single"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0.12</w:t>
            </w:r>
          </w:p>
        </w:tc>
        <w:tc>
          <w:tcPr>
            <w:tcW w:w="491" w:type="pct"/>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0.880</w:t>
            </w:r>
          </w:p>
        </w:tc>
        <w:tc>
          <w:tcPr>
            <w:tcW w:w="491"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0.880</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nil"/>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single" w:sz="8" w:space="0" w:color="000000"/>
              <w:left w:val="nil"/>
              <w:bottom w:val="dashSmallGap"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ashSmallGap" w:sz="8" w:space="0" w:color="000000"/>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1.23</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4.34</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0.54</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1.82</w:t>
            </w:r>
          </w:p>
        </w:tc>
        <w:tc>
          <w:tcPr>
            <w:tcW w:w="491" w:type="pct"/>
            <w:tcBorders>
              <w:top w:val="nil"/>
              <w:left w:val="single" w:sz="8" w:space="0" w:color="000000"/>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0.862</w:t>
            </w:r>
          </w:p>
        </w:tc>
        <w:tc>
          <w:tcPr>
            <w:tcW w:w="491"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0.954</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nil"/>
              <w:right w:val="nil"/>
            </w:tcBorders>
            <w:vAlign w:val="center"/>
            <w:hideMark/>
          </w:tcPr>
          <w:p w:rsidR="003D31EB" w:rsidRPr="00B3775A" w:rsidRDefault="003D31EB" w:rsidP="00CF6AFE">
            <w:pPr>
              <w:jc w:val="right"/>
              <w:rPr>
                <w:rFonts w:ascii="Arial" w:hAnsi="Arial" w:cs="Arial"/>
                <w:sz w:val="22"/>
                <w:szCs w:val="22"/>
              </w:rPr>
            </w:pPr>
          </w:p>
        </w:tc>
        <w:tc>
          <w:tcPr>
            <w:tcW w:w="255" w:type="pct"/>
            <w:vMerge w:val="restart"/>
            <w:tcBorders>
              <w:top w:val="dashSmallGap" w:sz="8" w:space="0" w:color="000000"/>
              <w:left w:val="nil"/>
              <w:bottom w:val="nil"/>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R</w:t>
            </w:r>
          </w:p>
        </w:tc>
        <w:tc>
          <w:tcPr>
            <w:tcW w:w="338" w:type="pct"/>
            <w:gridSpan w:val="2"/>
            <w:tcBorders>
              <w:top w:val="dashSmallGap" w:sz="8" w:space="0" w:color="000000"/>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0.79</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0.10</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0.77</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0.12</w:t>
            </w:r>
          </w:p>
        </w:tc>
        <w:tc>
          <w:tcPr>
            <w:tcW w:w="491" w:type="pct"/>
            <w:tcBorders>
              <w:top w:val="dashSmallGap"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0.702</w:t>
            </w:r>
          </w:p>
        </w:tc>
        <w:tc>
          <w:tcPr>
            <w:tcW w:w="491"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0.880</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dotted" w:sz="4" w:space="0" w:color="auto"/>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dashSmallGap" w:sz="8" w:space="0" w:color="000000"/>
              <w:left w:val="nil"/>
              <w:bottom w:val="dotted"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otted" w:sz="4" w:space="0" w:color="auto"/>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1.42</w:t>
            </w:r>
          </w:p>
        </w:tc>
        <w:tc>
          <w:tcPr>
            <w:tcW w:w="113" w:type="pct"/>
            <w:tcBorders>
              <w:top w:val="nil"/>
              <w:left w:val="nil"/>
              <w:bottom w:val="dotted"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2.46</w:t>
            </w:r>
          </w:p>
        </w:tc>
        <w:tc>
          <w:tcPr>
            <w:tcW w:w="368"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0.67</w:t>
            </w:r>
          </w:p>
        </w:tc>
        <w:tc>
          <w:tcPr>
            <w:tcW w:w="113" w:type="pct"/>
            <w:tcBorders>
              <w:top w:val="nil"/>
              <w:left w:val="nil"/>
              <w:bottom w:val="dotted"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2.01</w:t>
            </w:r>
          </w:p>
        </w:tc>
        <w:tc>
          <w:tcPr>
            <w:tcW w:w="491" w:type="pct"/>
            <w:tcBorders>
              <w:top w:val="nil"/>
              <w:left w:val="single" w:sz="8" w:space="0" w:color="000000"/>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0.570</w:t>
            </w:r>
          </w:p>
        </w:tc>
        <w:tc>
          <w:tcPr>
            <w:tcW w:w="491"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0.954</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val="restart"/>
            <w:tcBorders>
              <w:top w:val="dotted" w:sz="4" w:space="0" w:color="auto"/>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right"/>
              <w:rPr>
                <w:rFonts w:ascii="Arial" w:hAnsi="Arial" w:cs="Arial"/>
                <w:sz w:val="22"/>
                <w:szCs w:val="22"/>
                <w:lang w:val="pt-PT"/>
              </w:rPr>
            </w:pPr>
            <w:r w:rsidRPr="00B3775A">
              <w:rPr>
                <w:rFonts w:ascii="Arial" w:hAnsi="Arial" w:cs="Arial"/>
                <w:sz w:val="22"/>
                <w:szCs w:val="22"/>
                <w:lang w:val="pt-PT"/>
              </w:rPr>
              <w:t>Angular + supramarginal + superior temporal gyri</w:t>
            </w:r>
          </w:p>
        </w:tc>
        <w:tc>
          <w:tcPr>
            <w:tcW w:w="255" w:type="pct"/>
            <w:vMerge w:val="restart"/>
            <w:tcBorders>
              <w:top w:val="dotted" w:sz="4" w:space="0" w:color="auto"/>
              <w:left w:val="nil"/>
              <w:bottom w:val="dashSmallGap"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L</w:t>
            </w:r>
          </w:p>
        </w:tc>
        <w:tc>
          <w:tcPr>
            <w:tcW w:w="338" w:type="pct"/>
            <w:gridSpan w:val="2"/>
            <w:tcBorders>
              <w:top w:val="dotted" w:sz="4" w:space="0" w:color="auto"/>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0.84</w:t>
            </w:r>
          </w:p>
        </w:tc>
        <w:tc>
          <w:tcPr>
            <w:tcW w:w="113" w:type="pct"/>
            <w:tcBorders>
              <w:top w:val="dotted" w:sz="4" w:space="0" w:color="auto"/>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ott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0.08</w:t>
            </w:r>
          </w:p>
        </w:tc>
        <w:tc>
          <w:tcPr>
            <w:tcW w:w="368"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0.80</w:t>
            </w:r>
          </w:p>
        </w:tc>
        <w:tc>
          <w:tcPr>
            <w:tcW w:w="113" w:type="pct"/>
            <w:tcBorders>
              <w:top w:val="dotted" w:sz="4" w:space="0" w:color="auto"/>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ott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0.14</w:t>
            </w:r>
          </w:p>
        </w:tc>
        <w:tc>
          <w:tcPr>
            <w:tcW w:w="491" w:type="pct"/>
            <w:tcBorders>
              <w:top w:val="dotted" w:sz="4" w:space="0" w:color="auto"/>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0.618</w:t>
            </w:r>
          </w:p>
        </w:tc>
        <w:tc>
          <w:tcPr>
            <w:tcW w:w="491"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0.880</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8" w:space="0" w:color="000000"/>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nil"/>
              <w:left w:val="nil"/>
              <w:bottom w:val="dashSmallGap"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ashSmallGap" w:sz="8" w:space="0" w:color="000000"/>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-0.67</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6.95</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0.57</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2.34</w:t>
            </w:r>
          </w:p>
        </w:tc>
        <w:tc>
          <w:tcPr>
            <w:tcW w:w="491" w:type="pct"/>
            <w:tcBorders>
              <w:top w:val="nil"/>
              <w:left w:val="single" w:sz="8" w:space="0" w:color="000000"/>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0.372</w:t>
            </w:r>
          </w:p>
        </w:tc>
        <w:tc>
          <w:tcPr>
            <w:tcW w:w="491"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0.954</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8" w:space="0" w:color="000000"/>
              <w:right w:val="nil"/>
            </w:tcBorders>
            <w:vAlign w:val="center"/>
            <w:hideMark/>
          </w:tcPr>
          <w:p w:rsidR="003D31EB" w:rsidRPr="00B3775A" w:rsidRDefault="003D31EB" w:rsidP="00CF6AFE">
            <w:pPr>
              <w:jc w:val="right"/>
              <w:rPr>
                <w:rFonts w:ascii="Arial" w:hAnsi="Arial" w:cs="Arial"/>
                <w:sz w:val="22"/>
                <w:szCs w:val="22"/>
              </w:rPr>
            </w:pPr>
          </w:p>
        </w:tc>
        <w:tc>
          <w:tcPr>
            <w:tcW w:w="255" w:type="pct"/>
            <w:vMerge w:val="restart"/>
            <w:tcBorders>
              <w:top w:val="dashSmallGap" w:sz="8" w:space="0" w:color="000000"/>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R</w:t>
            </w:r>
          </w:p>
        </w:tc>
        <w:tc>
          <w:tcPr>
            <w:tcW w:w="338" w:type="pct"/>
            <w:gridSpan w:val="2"/>
            <w:tcBorders>
              <w:top w:val="dashSmallGap" w:sz="8" w:space="0" w:color="000000"/>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0.83</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0.10</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0.79</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0.14</w:t>
            </w:r>
          </w:p>
        </w:tc>
        <w:tc>
          <w:tcPr>
            <w:tcW w:w="491" w:type="pct"/>
            <w:tcBorders>
              <w:top w:val="dashSmallGap"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0.602</w:t>
            </w:r>
          </w:p>
        </w:tc>
        <w:tc>
          <w:tcPr>
            <w:tcW w:w="491"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0.880</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8" w:space="0" w:color="000000"/>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dashSmallGap"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single" w:sz="8" w:space="0" w:color="000000"/>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w:t>
            </w:r>
          </w:p>
        </w:tc>
        <w:tc>
          <w:tcPr>
            <w:tcW w:w="113"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3.62</w:t>
            </w:r>
          </w:p>
        </w:tc>
        <w:tc>
          <w:tcPr>
            <w:tcW w:w="368"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0.87</w:t>
            </w:r>
          </w:p>
        </w:tc>
        <w:tc>
          <w:tcPr>
            <w:tcW w:w="113" w:type="pct"/>
            <w:tcBorders>
              <w:top w:val="nil"/>
              <w:left w:val="nil"/>
              <w:bottom w:val="single"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2.75</w:t>
            </w:r>
          </w:p>
        </w:tc>
        <w:tc>
          <w:tcPr>
            <w:tcW w:w="491" w:type="pct"/>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0.954</w:t>
            </w:r>
          </w:p>
        </w:tc>
        <w:tc>
          <w:tcPr>
            <w:tcW w:w="491" w:type="pct"/>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0.954</w:t>
            </w:r>
          </w:p>
        </w:tc>
      </w:tr>
      <w:tr w:rsidR="003D31EB" w:rsidRPr="00B3775A" w:rsidTr="00CF6AFE">
        <w:trPr>
          <w:trHeight w:val="343"/>
        </w:trPr>
        <w:tc>
          <w:tcPr>
            <w:tcW w:w="491" w:type="pct"/>
            <w:vMerge w:val="restart"/>
            <w:tcBorders>
              <w:top w:val="single" w:sz="8" w:space="0" w:color="000000"/>
              <w:left w:val="nil"/>
              <w:bottom w:val="single"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FDG PET</w:t>
            </w:r>
          </w:p>
        </w:tc>
        <w:tc>
          <w:tcPr>
            <w:tcW w:w="1230" w:type="pct"/>
            <w:gridSpan w:val="2"/>
            <w:vMerge w:val="restart"/>
            <w:tcBorders>
              <w:top w:val="single" w:sz="8" w:space="0" w:color="000000"/>
              <w:left w:val="nil"/>
              <w:bottom w:val="nil"/>
              <w:right w:val="nil"/>
            </w:tcBorders>
            <w:shd w:val="clear" w:color="auto" w:fill="auto"/>
            <w:tcMar>
              <w:top w:w="13" w:type="dxa"/>
              <w:left w:w="57" w:type="dxa"/>
              <w:bottom w:w="0" w:type="dxa"/>
              <w:right w:w="113" w:type="dxa"/>
            </w:tcMar>
            <w:vAlign w:val="center"/>
            <w:hideMark/>
          </w:tcPr>
          <w:p w:rsidR="003D31EB" w:rsidRPr="00B3775A" w:rsidRDefault="003D31EB" w:rsidP="00CF6AFE">
            <w:pPr>
              <w:jc w:val="right"/>
              <w:rPr>
                <w:rFonts w:ascii="Arial" w:hAnsi="Arial" w:cs="Arial"/>
                <w:sz w:val="22"/>
                <w:szCs w:val="22"/>
              </w:rPr>
            </w:pPr>
            <w:r w:rsidRPr="00B3775A">
              <w:rPr>
                <w:rFonts w:ascii="Arial" w:hAnsi="Arial" w:cs="Arial"/>
                <w:sz w:val="22"/>
                <w:szCs w:val="22"/>
                <w:lang w:val="en-GB"/>
              </w:rPr>
              <w:t>Whole cortex</w:t>
            </w:r>
          </w:p>
        </w:tc>
        <w:tc>
          <w:tcPr>
            <w:tcW w:w="255" w:type="pct"/>
            <w:vMerge w:val="restart"/>
            <w:tcBorders>
              <w:top w:val="single" w:sz="8" w:space="0" w:color="000000"/>
              <w:left w:val="nil"/>
              <w:bottom w:val="dashSmallGap"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L</w:t>
            </w:r>
          </w:p>
        </w:tc>
        <w:tc>
          <w:tcPr>
            <w:tcW w:w="338" w:type="pct"/>
            <w:gridSpan w:val="2"/>
            <w:tcBorders>
              <w:top w:val="single" w:sz="8" w:space="0" w:color="000000"/>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1.05</w:t>
            </w:r>
          </w:p>
        </w:tc>
        <w:tc>
          <w:tcPr>
            <w:tcW w:w="113" w:type="pct"/>
            <w:tcBorders>
              <w:top w:val="single"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0.10</w:t>
            </w:r>
          </w:p>
        </w:tc>
        <w:tc>
          <w:tcPr>
            <w:tcW w:w="368"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1.06</w:t>
            </w:r>
          </w:p>
        </w:tc>
        <w:tc>
          <w:tcPr>
            <w:tcW w:w="113" w:type="pct"/>
            <w:tcBorders>
              <w:top w:val="single"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0.10</w:t>
            </w:r>
          </w:p>
        </w:tc>
        <w:tc>
          <w:tcPr>
            <w:tcW w:w="491" w:type="pct"/>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c>
          <w:tcPr>
            <w:tcW w:w="491" w:type="pct"/>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nil"/>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single" w:sz="8" w:space="0" w:color="000000"/>
              <w:left w:val="nil"/>
              <w:bottom w:val="dashSmallGap"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ashSmallGap" w:sz="8" w:space="0" w:color="000000"/>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-6.50</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8.26</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-1.93</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2.21</w:t>
            </w:r>
          </w:p>
        </w:tc>
        <w:tc>
          <w:tcPr>
            <w:tcW w:w="491" w:type="pct"/>
            <w:tcBorders>
              <w:top w:val="nil"/>
              <w:left w:val="single" w:sz="8" w:space="0" w:color="000000"/>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0.092</w:t>
            </w:r>
          </w:p>
        </w:tc>
        <w:tc>
          <w:tcPr>
            <w:tcW w:w="491"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0.092</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nil"/>
              <w:right w:val="nil"/>
            </w:tcBorders>
            <w:vAlign w:val="center"/>
            <w:hideMark/>
          </w:tcPr>
          <w:p w:rsidR="003D31EB" w:rsidRPr="00B3775A" w:rsidRDefault="003D31EB" w:rsidP="00CF6AFE">
            <w:pPr>
              <w:jc w:val="right"/>
              <w:rPr>
                <w:rFonts w:ascii="Arial" w:hAnsi="Arial" w:cs="Arial"/>
                <w:sz w:val="22"/>
                <w:szCs w:val="22"/>
              </w:rPr>
            </w:pPr>
          </w:p>
        </w:tc>
        <w:tc>
          <w:tcPr>
            <w:tcW w:w="255" w:type="pct"/>
            <w:vMerge w:val="restart"/>
            <w:tcBorders>
              <w:top w:val="dashSmallGap" w:sz="8" w:space="0" w:color="000000"/>
              <w:left w:val="nil"/>
              <w:bottom w:val="nil"/>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R</w:t>
            </w:r>
          </w:p>
        </w:tc>
        <w:tc>
          <w:tcPr>
            <w:tcW w:w="338" w:type="pct"/>
            <w:gridSpan w:val="2"/>
            <w:tcBorders>
              <w:top w:val="dashSmallGap" w:sz="8" w:space="0" w:color="000000"/>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1.06</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0.08</w:t>
            </w:r>
          </w:p>
        </w:tc>
        <w:tc>
          <w:tcPr>
            <w:tcW w:w="368"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1.06</w:t>
            </w:r>
          </w:p>
        </w:tc>
        <w:tc>
          <w:tcPr>
            <w:tcW w:w="113" w:type="pct"/>
            <w:tcBorders>
              <w:top w:val="dashSmallGap" w:sz="8" w:space="0" w:color="000000"/>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0.10</w:t>
            </w:r>
          </w:p>
        </w:tc>
        <w:tc>
          <w:tcPr>
            <w:tcW w:w="491" w:type="pct"/>
            <w:tcBorders>
              <w:top w:val="dashSmallGap"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c>
          <w:tcPr>
            <w:tcW w:w="491" w:type="pct"/>
            <w:tcBorders>
              <w:top w:val="dashSmallGap"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single" w:sz="8" w:space="0" w:color="000000"/>
              <w:left w:val="nil"/>
              <w:bottom w:val="dotted" w:sz="4" w:space="0" w:color="auto"/>
              <w:right w:val="nil"/>
            </w:tcBorders>
            <w:vAlign w:val="center"/>
            <w:hideMark/>
          </w:tcPr>
          <w:p w:rsidR="003D31EB" w:rsidRPr="00B3775A" w:rsidRDefault="003D31EB" w:rsidP="00CF6AFE">
            <w:pPr>
              <w:jc w:val="right"/>
              <w:rPr>
                <w:rFonts w:ascii="Arial" w:hAnsi="Arial" w:cs="Arial"/>
                <w:sz w:val="22"/>
                <w:szCs w:val="22"/>
              </w:rPr>
            </w:pPr>
          </w:p>
        </w:tc>
        <w:tc>
          <w:tcPr>
            <w:tcW w:w="255" w:type="pct"/>
            <w:vMerge/>
            <w:tcBorders>
              <w:top w:val="dashSmallGap" w:sz="8" w:space="0" w:color="000000"/>
              <w:left w:val="nil"/>
              <w:bottom w:val="dotted"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otted" w:sz="4" w:space="0" w:color="auto"/>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-6.65</w:t>
            </w:r>
          </w:p>
        </w:tc>
        <w:tc>
          <w:tcPr>
            <w:tcW w:w="113" w:type="pct"/>
            <w:tcBorders>
              <w:top w:val="nil"/>
              <w:left w:val="nil"/>
              <w:bottom w:val="dotted"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9.36</w:t>
            </w:r>
          </w:p>
        </w:tc>
        <w:tc>
          <w:tcPr>
            <w:tcW w:w="368"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-1.76</w:t>
            </w:r>
          </w:p>
        </w:tc>
        <w:tc>
          <w:tcPr>
            <w:tcW w:w="113" w:type="pct"/>
            <w:tcBorders>
              <w:top w:val="nil"/>
              <w:left w:val="nil"/>
              <w:bottom w:val="dotted"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2.18</w:t>
            </w:r>
          </w:p>
        </w:tc>
        <w:tc>
          <w:tcPr>
            <w:tcW w:w="491" w:type="pct"/>
            <w:tcBorders>
              <w:top w:val="nil"/>
              <w:left w:val="single" w:sz="8" w:space="0" w:color="000000"/>
              <w:bottom w:val="dotted"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0.059</w:t>
            </w:r>
          </w:p>
        </w:tc>
        <w:tc>
          <w:tcPr>
            <w:tcW w:w="491" w:type="pct"/>
            <w:tcBorders>
              <w:top w:val="nil"/>
              <w:left w:val="single" w:sz="8" w:space="0" w:color="000000"/>
              <w:bottom w:val="dotted"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0.078</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val="restart"/>
            <w:tcBorders>
              <w:top w:val="dotted" w:sz="4" w:space="0" w:color="auto"/>
              <w:left w:val="nil"/>
              <w:bottom w:val="single" w:sz="4" w:space="0" w:color="auto"/>
              <w:right w:val="nil"/>
            </w:tcBorders>
            <w:shd w:val="clear" w:color="auto" w:fill="auto"/>
            <w:tcMar>
              <w:top w:w="13" w:type="dxa"/>
              <w:left w:w="57" w:type="dxa"/>
              <w:bottom w:w="0" w:type="dxa"/>
              <w:right w:w="113" w:type="dxa"/>
            </w:tcMar>
            <w:vAlign w:val="center"/>
            <w:hideMark/>
          </w:tcPr>
          <w:p w:rsidR="003D31EB" w:rsidRPr="00B3775A" w:rsidRDefault="003D31EB" w:rsidP="00CF6AFE">
            <w:pPr>
              <w:jc w:val="right"/>
              <w:rPr>
                <w:rFonts w:ascii="Arial" w:hAnsi="Arial" w:cs="Arial"/>
                <w:sz w:val="22"/>
                <w:szCs w:val="22"/>
                <w:lang w:val="pt-PT"/>
              </w:rPr>
            </w:pPr>
            <w:r w:rsidRPr="00B3775A">
              <w:rPr>
                <w:rFonts w:ascii="Arial" w:hAnsi="Arial" w:cs="Arial"/>
                <w:sz w:val="22"/>
                <w:szCs w:val="22"/>
                <w:lang w:val="pt-PT"/>
              </w:rPr>
              <w:t>Angular + supramarginal + superior temporal gyri</w:t>
            </w:r>
          </w:p>
        </w:tc>
        <w:tc>
          <w:tcPr>
            <w:tcW w:w="255" w:type="pct"/>
            <w:vMerge w:val="restart"/>
            <w:tcBorders>
              <w:top w:val="dotted" w:sz="4" w:space="0" w:color="auto"/>
              <w:left w:val="nil"/>
              <w:bottom w:val="dashSmallGap" w:sz="8" w:space="0" w:color="000000"/>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L</w:t>
            </w:r>
          </w:p>
        </w:tc>
        <w:tc>
          <w:tcPr>
            <w:tcW w:w="338" w:type="pct"/>
            <w:gridSpan w:val="2"/>
            <w:tcBorders>
              <w:top w:val="dotted" w:sz="4" w:space="0" w:color="auto"/>
              <w:left w:val="nil"/>
              <w:bottom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0.99</w:t>
            </w:r>
          </w:p>
        </w:tc>
        <w:tc>
          <w:tcPr>
            <w:tcW w:w="113" w:type="pct"/>
            <w:tcBorders>
              <w:top w:val="dotted" w:sz="4" w:space="0" w:color="auto"/>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ott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0.16</w:t>
            </w:r>
          </w:p>
        </w:tc>
        <w:tc>
          <w:tcPr>
            <w:tcW w:w="368"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1.02</w:t>
            </w:r>
          </w:p>
        </w:tc>
        <w:tc>
          <w:tcPr>
            <w:tcW w:w="113" w:type="pct"/>
            <w:tcBorders>
              <w:top w:val="dotted" w:sz="4" w:space="0" w:color="auto"/>
              <w:left w:val="nil"/>
              <w:bottom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otted" w:sz="4" w:space="0" w:color="auto"/>
              <w:left w:val="nil"/>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0.15</w:t>
            </w:r>
          </w:p>
        </w:tc>
        <w:tc>
          <w:tcPr>
            <w:tcW w:w="491" w:type="pct"/>
            <w:tcBorders>
              <w:top w:val="dotted" w:sz="4" w:space="0" w:color="auto"/>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0.602</w:t>
            </w:r>
          </w:p>
        </w:tc>
        <w:tc>
          <w:tcPr>
            <w:tcW w:w="491" w:type="pct"/>
            <w:tcBorders>
              <w:top w:val="dotted" w:sz="4" w:space="0" w:color="auto"/>
              <w:left w:val="single" w:sz="8" w:space="0" w:color="000000"/>
              <w:bottom w:val="nil"/>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255" w:type="pct"/>
            <w:vMerge/>
            <w:tcBorders>
              <w:top w:val="nil"/>
              <w:left w:val="nil"/>
              <w:bottom w:val="dashSmallGap"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dashSmallGap" w:sz="8" w:space="0" w:color="000000"/>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-11.21</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9.61</w:t>
            </w:r>
          </w:p>
        </w:tc>
        <w:tc>
          <w:tcPr>
            <w:tcW w:w="368"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-3.00</w:t>
            </w:r>
          </w:p>
        </w:tc>
        <w:tc>
          <w:tcPr>
            <w:tcW w:w="113" w:type="pct"/>
            <w:tcBorders>
              <w:top w:val="nil"/>
              <w:left w:val="nil"/>
              <w:bottom w:val="dashSmallGap" w:sz="8" w:space="0" w:color="000000"/>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3.47</w:t>
            </w:r>
          </w:p>
        </w:tc>
        <w:tc>
          <w:tcPr>
            <w:tcW w:w="491" w:type="pct"/>
            <w:tcBorders>
              <w:top w:val="nil"/>
              <w:left w:val="single" w:sz="8" w:space="0" w:color="000000"/>
              <w:bottom w:val="dashSmallGap"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0.032</w:t>
            </w:r>
          </w:p>
        </w:tc>
        <w:tc>
          <w:tcPr>
            <w:tcW w:w="491" w:type="pct"/>
            <w:tcBorders>
              <w:top w:val="nil"/>
              <w:left w:val="single" w:sz="8" w:space="0" w:color="000000"/>
              <w:bottom w:val="dashSmallGap"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0.076</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255" w:type="pct"/>
            <w:vMerge w:val="restart"/>
            <w:tcBorders>
              <w:top w:val="dashSmallGap" w:sz="8" w:space="0" w:color="000000"/>
              <w:left w:val="nil"/>
              <w:bottom w:val="single" w:sz="4" w:space="0" w:color="auto"/>
              <w:right w:val="nil"/>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R</w:t>
            </w:r>
          </w:p>
        </w:tc>
        <w:tc>
          <w:tcPr>
            <w:tcW w:w="338" w:type="pct"/>
            <w:gridSpan w:val="2"/>
            <w:tcBorders>
              <w:top w:val="dashSmallGap" w:sz="8" w:space="0" w:color="000000"/>
              <w:left w:val="nil"/>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SUVR</w:t>
            </w:r>
          </w:p>
        </w:tc>
        <w:tc>
          <w:tcPr>
            <w:tcW w:w="368" w:type="pct"/>
            <w:tcBorders>
              <w:top w:val="dashSmallGap"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1.00</w:t>
            </w:r>
          </w:p>
        </w:tc>
        <w:tc>
          <w:tcPr>
            <w:tcW w:w="113" w:type="pct"/>
            <w:tcBorders>
              <w:top w:val="dashSmallGap" w:sz="8" w:space="0" w:color="000000"/>
              <w:left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0.12</w:t>
            </w:r>
          </w:p>
        </w:tc>
        <w:tc>
          <w:tcPr>
            <w:tcW w:w="368" w:type="pct"/>
            <w:tcBorders>
              <w:top w:val="dashSmallGap"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1.03</w:t>
            </w:r>
          </w:p>
        </w:tc>
        <w:tc>
          <w:tcPr>
            <w:tcW w:w="113" w:type="pct"/>
            <w:tcBorders>
              <w:top w:val="dashSmallGap" w:sz="8" w:space="0" w:color="000000"/>
              <w:left w:val="nil"/>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dashSmallGap" w:sz="8" w:space="0" w:color="000000"/>
              <w:left w:val="nil"/>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0.15</w:t>
            </w:r>
          </w:p>
        </w:tc>
        <w:tc>
          <w:tcPr>
            <w:tcW w:w="491" w:type="pct"/>
            <w:tcBorders>
              <w:top w:val="dashSmallGap" w:sz="8" w:space="0" w:color="000000"/>
              <w:left w:val="single" w:sz="8" w:space="0" w:color="000000"/>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0.494</w:t>
            </w:r>
          </w:p>
        </w:tc>
        <w:tc>
          <w:tcPr>
            <w:tcW w:w="491" w:type="pct"/>
            <w:tcBorders>
              <w:top w:val="dashSmallGap" w:sz="8" w:space="0" w:color="000000"/>
              <w:left w:val="single" w:sz="8" w:space="0" w:color="000000"/>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0.898</w:t>
            </w:r>
          </w:p>
        </w:tc>
      </w:tr>
      <w:tr w:rsidR="003D31EB" w:rsidRPr="00B3775A" w:rsidTr="00CF6AFE">
        <w:trPr>
          <w:trHeight w:val="343"/>
        </w:trPr>
        <w:tc>
          <w:tcPr>
            <w:tcW w:w="491" w:type="pct"/>
            <w:vMerge/>
            <w:tcBorders>
              <w:top w:val="single" w:sz="8" w:space="0" w:color="000000"/>
              <w:left w:val="nil"/>
              <w:bottom w:val="single" w:sz="8" w:space="0" w:color="000000"/>
              <w:right w:val="nil"/>
            </w:tcBorders>
            <w:vAlign w:val="center"/>
            <w:hideMark/>
          </w:tcPr>
          <w:p w:rsidR="003D31EB" w:rsidRPr="00B3775A" w:rsidRDefault="003D31EB" w:rsidP="00CF6AFE">
            <w:pPr>
              <w:jc w:val="center"/>
              <w:rPr>
                <w:rFonts w:ascii="Arial" w:hAnsi="Arial" w:cs="Arial"/>
                <w:sz w:val="22"/>
                <w:szCs w:val="22"/>
              </w:rPr>
            </w:pPr>
          </w:p>
        </w:tc>
        <w:tc>
          <w:tcPr>
            <w:tcW w:w="1230" w:type="pct"/>
            <w:gridSpan w:val="2"/>
            <w:vMerge/>
            <w:tcBorders>
              <w:top w:val="nil"/>
              <w:left w:val="nil"/>
              <w:bottom w:val="single"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255" w:type="pct"/>
            <w:vMerge/>
            <w:tcBorders>
              <w:top w:val="dashSmallGap" w:sz="8" w:space="0" w:color="000000"/>
              <w:left w:val="nil"/>
              <w:bottom w:val="single" w:sz="4" w:space="0" w:color="auto"/>
              <w:right w:val="nil"/>
            </w:tcBorders>
            <w:vAlign w:val="center"/>
            <w:hideMark/>
          </w:tcPr>
          <w:p w:rsidR="003D31EB" w:rsidRPr="00B3775A" w:rsidRDefault="003D31EB" w:rsidP="00CF6AFE">
            <w:pPr>
              <w:jc w:val="center"/>
              <w:rPr>
                <w:rFonts w:ascii="Arial" w:hAnsi="Arial" w:cs="Arial"/>
                <w:sz w:val="22"/>
                <w:szCs w:val="22"/>
              </w:rPr>
            </w:pPr>
          </w:p>
        </w:tc>
        <w:tc>
          <w:tcPr>
            <w:tcW w:w="338" w:type="pct"/>
            <w:gridSpan w:val="2"/>
            <w:tcBorders>
              <w:top w:val="nil"/>
              <w:left w:val="nil"/>
              <w:bottom w:val="single" w:sz="4" w:space="0" w:color="auto"/>
              <w:right w:val="single" w:sz="8" w:space="0" w:color="000000"/>
            </w:tcBorders>
            <w:shd w:val="clear" w:color="auto" w:fill="auto"/>
            <w:tcMar>
              <w:top w:w="13" w:type="dxa"/>
              <w:left w:w="57" w:type="dxa"/>
              <w:bottom w:w="0" w:type="dxa"/>
              <w:right w:w="113" w:type="dxa"/>
            </w:tcMar>
            <w:vAlign w:val="center"/>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APC</w:t>
            </w:r>
          </w:p>
        </w:tc>
        <w:tc>
          <w:tcPr>
            <w:tcW w:w="368" w:type="pct"/>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-8.33</w:t>
            </w:r>
          </w:p>
        </w:tc>
        <w:tc>
          <w:tcPr>
            <w:tcW w:w="113" w:type="pct"/>
            <w:tcBorders>
              <w:top w:val="nil"/>
              <w:left w:val="nil"/>
              <w:bottom w:val="single"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9.36</w:t>
            </w:r>
          </w:p>
        </w:tc>
        <w:tc>
          <w:tcPr>
            <w:tcW w:w="368" w:type="pct"/>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-2.48</w:t>
            </w:r>
          </w:p>
        </w:tc>
        <w:tc>
          <w:tcPr>
            <w:tcW w:w="113" w:type="pct"/>
            <w:tcBorders>
              <w:top w:val="nil"/>
              <w:left w:val="nil"/>
              <w:bottom w:val="single" w:sz="4" w:space="0" w:color="auto"/>
              <w:right w:val="nil"/>
            </w:tcBorders>
            <w:shd w:val="clear" w:color="auto" w:fill="auto"/>
            <w:tcMar>
              <w:top w:w="13" w:type="dxa"/>
              <w:left w:w="13" w:type="dxa"/>
              <w:bottom w:w="0" w:type="dxa"/>
              <w:right w:w="13"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lang w:val="en-GB"/>
              </w:rPr>
              <w:t>±</w:t>
            </w:r>
          </w:p>
        </w:tc>
        <w:tc>
          <w:tcPr>
            <w:tcW w:w="371" w:type="pct"/>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3.25</w:t>
            </w:r>
          </w:p>
        </w:tc>
        <w:tc>
          <w:tcPr>
            <w:tcW w:w="491" w:type="pct"/>
            <w:tcBorders>
              <w:top w:val="nil"/>
              <w:left w:val="single" w:sz="8" w:space="0" w:color="000000"/>
              <w:bottom w:val="single" w:sz="4" w:space="0" w:color="auto"/>
              <w:right w:val="single" w:sz="8" w:space="0" w:color="000000"/>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0.038</w:t>
            </w:r>
          </w:p>
        </w:tc>
        <w:tc>
          <w:tcPr>
            <w:tcW w:w="491" w:type="pct"/>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rsidR="003D31EB" w:rsidRPr="00B3775A" w:rsidRDefault="003D31EB" w:rsidP="00CF6AFE">
            <w:pPr>
              <w:jc w:val="center"/>
              <w:rPr>
                <w:rFonts w:ascii="Arial" w:hAnsi="Arial" w:cs="Arial"/>
                <w:sz w:val="22"/>
                <w:szCs w:val="22"/>
              </w:rPr>
            </w:pPr>
            <w:r w:rsidRPr="00B3775A">
              <w:rPr>
                <w:rFonts w:ascii="Arial" w:hAnsi="Arial" w:cs="Arial"/>
                <w:sz w:val="22"/>
                <w:szCs w:val="22"/>
              </w:rPr>
              <w:t>0.076</w:t>
            </w:r>
          </w:p>
        </w:tc>
      </w:tr>
    </w:tbl>
    <w:p w:rsidR="003D31EB" w:rsidRPr="00B3775A" w:rsidRDefault="003D31EB" w:rsidP="003D31EB">
      <w:pPr>
        <w:rPr>
          <w:rFonts w:ascii="Arial" w:hAnsi="Arial" w:cs="Arial"/>
          <w:b/>
          <w:bCs/>
          <w:szCs w:val="22"/>
        </w:rPr>
      </w:pPr>
    </w:p>
    <w:p w:rsidR="003D31EB" w:rsidRPr="00B3775A" w:rsidRDefault="003D31EB" w:rsidP="003D31EB">
      <w:pPr>
        <w:jc w:val="both"/>
        <w:rPr>
          <w:rFonts w:ascii="Arial" w:hAnsi="Arial" w:cs="Arial"/>
          <w:b/>
          <w:bCs/>
          <w:sz w:val="18"/>
          <w:szCs w:val="18"/>
          <w:u w:val="single"/>
          <w:lang w:eastAsia="en-US"/>
        </w:rPr>
      </w:pPr>
    </w:p>
    <w:p w:rsidR="00B57F37" w:rsidRDefault="003D31EB">
      <w:bookmarkStart w:id="0" w:name="_GoBack"/>
      <w:bookmarkEnd w:id="0"/>
    </w:p>
    <w:sectPr w:rsidR="00B57F37" w:rsidSect="00A00E99">
      <w:footerReference w:type="default" r:id="rId7"/>
      <w:pgSz w:w="12240" w:h="15840"/>
      <w:pgMar w:top="1440" w:right="1440" w:bottom="1440" w:left="1440" w:header="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224A" w:rsidRPr="00E20079" w:rsidRDefault="003D31EB" w:rsidP="00902AE0">
    <w:pPr>
      <w:pStyle w:val="Footer"/>
      <w:jc w:val="center"/>
      <w:rPr>
        <w:rFonts w:ascii="Arial" w:hAnsi="Arial" w:cs="Arial"/>
        <w:sz w:val="22"/>
        <w:szCs w:val="22"/>
      </w:rPr>
    </w:pPr>
    <w:r w:rsidRPr="00E20079">
      <w:rPr>
        <w:rFonts w:ascii="Arial" w:hAnsi="Arial" w:cs="Arial"/>
        <w:sz w:val="22"/>
        <w:szCs w:val="22"/>
      </w:rPr>
      <w:t xml:space="preserve">Page </w:t>
    </w:r>
    <w:r w:rsidRPr="00E20079">
      <w:rPr>
        <w:rFonts w:ascii="Arial" w:hAnsi="Arial" w:cs="Arial"/>
        <w:sz w:val="22"/>
        <w:szCs w:val="22"/>
      </w:rPr>
      <w:fldChar w:fldCharType="begin"/>
    </w:r>
    <w:r w:rsidRPr="00E20079">
      <w:rPr>
        <w:rFonts w:ascii="Arial" w:hAnsi="Arial" w:cs="Arial"/>
        <w:sz w:val="22"/>
        <w:szCs w:val="22"/>
      </w:rPr>
      <w:instrText xml:space="preserve"> PAGE </w:instrText>
    </w:r>
    <w:r w:rsidRPr="00E20079">
      <w:rPr>
        <w:rFonts w:ascii="Arial" w:hAnsi="Arial" w:cs="Arial"/>
        <w:sz w:val="22"/>
        <w:szCs w:val="22"/>
      </w:rPr>
      <w:fldChar w:fldCharType="separate"/>
    </w:r>
    <w:r>
      <w:rPr>
        <w:rFonts w:ascii="Arial" w:hAnsi="Arial" w:cs="Arial"/>
        <w:noProof/>
        <w:sz w:val="22"/>
        <w:szCs w:val="22"/>
      </w:rPr>
      <w:t>1</w:t>
    </w:r>
    <w:r w:rsidRPr="00E20079">
      <w:rPr>
        <w:rFonts w:ascii="Arial" w:hAnsi="Arial" w:cs="Arial"/>
        <w:sz w:val="22"/>
        <w:szCs w:val="22"/>
      </w:rPr>
      <w:fldChar w:fldCharType="end"/>
    </w:r>
    <w:r w:rsidRPr="00E20079">
      <w:rPr>
        <w:rFonts w:ascii="Arial" w:hAnsi="Arial" w:cs="Arial"/>
        <w:sz w:val="22"/>
        <w:szCs w:val="22"/>
      </w:rPr>
      <w:t xml:space="preserve"> of </w:t>
    </w:r>
    <w:r w:rsidRPr="00E20079">
      <w:rPr>
        <w:rFonts w:ascii="Arial" w:hAnsi="Arial" w:cs="Arial"/>
        <w:sz w:val="22"/>
        <w:szCs w:val="22"/>
      </w:rPr>
      <w:fldChar w:fldCharType="begin"/>
    </w:r>
    <w:r w:rsidRPr="00E20079">
      <w:rPr>
        <w:rFonts w:ascii="Arial" w:hAnsi="Arial" w:cs="Arial"/>
        <w:sz w:val="22"/>
        <w:szCs w:val="22"/>
      </w:rPr>
      <w:instrText xml:space="preserve"> NUMPAGES </w:instrText>
    </w:r>
    <w:r w:rsidRPr="00E20079">
      <w:rPr>
        <w:rFonts w:ascii="Arial" w:hAnsi="Arial" w:cs="Arial"/>
        <w:sz w:val="22"/>
        <w:szCs w:val="22"/>
      </w:rPr>
      <w:fldChar w:fldCharType="separate"/>
    </w:r>
    <w:r>
      <w:rPr>
        <w:rFonts w:ascii="Arial" w:hAnsi="Arial" w:cs="Arial"/>
        <w:noProof/>
        <w:sz w:val="22"/>
        <w:szCs w:val="22"/>
      </w:rPr>
      <w:t>7</w:t>
    </w:r>
    <w:r w:rsidRPr="00E20079">
      <w:rPr>
        <w:rFonts w:ascii="Arial" w:hAnsi="Arial" w:cs="Arial"/>
        <w:sz w:val="22"/>
        <w:szCs w:val="22"/>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EB"/>
    <w:rsid w:val="003D31EB"/>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3E8855-3B71-47D0-A85B-7A232422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31EB"/>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3D31EB"/>
    <w:pP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1EB"/>
    <w:rPr>
      <w:rFonts w:ascii="Arial" w:eastAsia="Times New Roman" w:hAnsi="Arial" w:cs="Arial"/>
      <w:b/>
      <w:bCs/>
      <w:sz w:val="24"/>
      <w:szCs w:val="24"/>
      <w:lang w:eastAsia="en-GB"/>
    </w:rPr>
  </w:style>
  <w:style w:type="table" w:styleId="TableGrid">
    <w:name w:val="Table Grid"/>
    <w:basedOn w:val="TableNormal"/>
    <w:uiPriority w:val="59"/>
    <w:rsid w:val="003D31E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D31EB"/>
    <w:pPr>
      <w:tabs>
        <w:tab w:val="center" w:pos="4680"/>
        <w:tab w:val="right" w:pos="9360"/>
      </w:tabs>
    </w:pPr>
    <w:rPr>
      <w:lang w:val="fr-FR" w:eastAsia="fr-FR"/>
    </w:rPr>
  </w:style>
  <w:style w:type="character" w:customStyle="1" w:styleId="FooterChar">
    <w:name w:val="Footer Char"/>
    <w:basedOn w:val="DefaultParagraphFont"/>
    <w:link w:val="Footer"/>
    <w:uiPriority w:val="99"/>
    <w:rsid w:val="003D31EB"/>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2584</Words>
  <Characters>14734</Characters>
  <Application>Microsoft Office Word</Application>
  <DocSecurity>0</DocSecurity>
  <Lines>122</Lines>
  <Paragraphs>34</Paragraphs>
  <ScaleCrop>false</ScaleCrop>
  <Company>Springer Nature IT</Company>
  <LinksUpToDate>false</LinksUpToDate>
  <CharactersWithSpaces>17284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2021-10-25T16:01:00Z</dcterms:created>
  <dcterms:modified xsi:type="dcterms:W3CDTF">2021-10-25T16:03:00Z</dcterms:modified>
</cp:coreProperties>
</file>