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1AD" w:rsidRDefault="00A201AD" w:rsidP="00A201AD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 xml:space="preserve">Supplemental Table 1: Antibodies </w:t>
      </w: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tbl>
      <w:tblPr>
        <w:tblStyle w:val="TableGrid"/>
        <w:tblW w:w="9445" w:type="dxa"/>
        <w:tblInd w:w="0" w:type="dxa"/>
        <w:tblLook w:val="04A0" w:firstRow="1" w:lastRow="0" w:firstColumn="1" w:lastColumn="0" w:noHBand="0" w:noVBand="1"/>
      </w:tblPr>
      <w:tblGrid>
        <w:gridCol w:w="2605"/>
        <w:gridCol w:w="6840"/>
      </w:tblGrid>
      <w:tr w:rsidR="00A201AD" w:rsidTr="00A201AD">
        <w:trPr>
          <w:trHeight w:val="315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bookmarkStart w:id="0" w:name="_Hlk71470696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Antibody 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Manufacturer </w:t>
            </w:r>
          </w:p>
        </w:tc>
      </w:tr>
      <w:tr w:rsidR="00A201AD" w:rsidTr="00A201AD">
        <w:trPr>
          <w:trHeight w:val="3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CD73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Miltenyi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MSC Phenotyping Kit 130-095-198</w:t>
            </w:r>
          </w:p>
        </w:tc>
      </w:tr>
      <w:tr w:rsidR="00A201AD" w:rsidTr="00A201AD">
        <w:trPr>
          <w:trHeight w:val="3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CD90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Miltenyi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MSC Phenotyping Kit 130-095-198</w:t>
            </w:r>
          </w:p>
        </w:tc>
      </w:tr>
      <w:tr w:rsidR="00A201AD" w:rsidTr="00A201AD">
        <w:trPr>
          <w:trHeight w:val="3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CD105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Miltenyi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MSC Phenotyping Kit 130-095-198</w:t>
            </w:r>
          </w:p>
        </w:tc>
      </w:tr>
      <w:tr w:rsidR="00A201AD" w:rsidTr="00A201AD">
        <w:trPr>
          <w:trHeight w:val="315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CD14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Miltenyi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MSC Phenotyping Kit 130-095-198</w:t>
            </w:r>
          </w:p>
        </w:tc>
      </w:tr>
      <w:tr w:rsidR="00A201AD" w:rsidTr="00A201AD">
        <w:trPr>
          <w:trHeight w:val="315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CD20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Miltenyi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MSC Phenotyping Kit 130-095-198</w:t>
            </w:r>
          </w:p>
        </w:tc>
      </w:tr>
      <w:tr w:rsidR="00A201AD" w:rsidTr="00A201AD">
        <w:trPr>
          <w:trHeight w:val="3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CD34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Miltenyi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MSC Phenotyping Kit 130-095-198</w:t>
            </w:r>
          </w:p>
        </w:tc>
      </w:tr>
      <w:tr w:rsidR="00A201AD" w:rsidTr="00A201AD">
        <w:trPr>
          <w:trHeight w:val="3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CD45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Miltenyi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MSC Phenotyping Kit 130-095-198</w:t>
            </w:r>
          </w:p>
        </w:tc>
      </w:tr>
      <w:tr w:rsidR="00A201AD" w:rsidTr="00A201AD">
        <w:trPr>
          <w:trHeight w:val="3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MHC I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Miltenyi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Biotec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130-101-459</w:t>
            </w:r>
          </w:p>
        </w:tc>
      </w:tr>
      <w:tr w:rsidR="00A201AD" w:rsidTr="00A201AD">
        <w:trPr>
          <w:trHeight w:val="3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MHC II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Miltenyi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Biotec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130-104-826</w:t>
            </w:r>
          </w:p>
        </w:tc>
      </w:tr>
      <w:tr w:rsidR="00A201AD" w:rsidTr="00A201AD">
        <w:trPr>
          <w:trHeight w:val="3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IDO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eBioscience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12-9477-41</w:t>
            </w:r>
          </w:p>
        </w:tc>
      </w:tr>
      <w:tr w:rsidR="00A201AD" w:rsidTr="00A201AD">
        <w:trPr>
          <w:trHeight w:val="3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ICAM-1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Miltenyi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Biotec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130-103-840</w:t>
            </w:r>
          </w:p>
        </w:tc>
      </w:tr>
      <w:tr w:rsidR="00A201AD" w:rsidTr="00A201AD">
        <w:trPr>
          <w:trHeight w:val="3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PD-L1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BioLegend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329733</w:t>
            </w:r>
          </w:p>
        </w:tc>
      </w:tr>
      <w:tr w:rsidR="00A201AD" w:rsidTr="00A201AD">
        <w:trPr>
          <w:trHeight w:val="3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GDNF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Human GDNF ELISA Kit, Invitrogen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ThermoFisher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Scientific EHGDNF </w:t>
            </w:r>
          </w:p>
        </w:tc>
      </w:tr>
      <w:tr w:rsidR="00A201AD" w:rsidTr="00A201AD">
        <w:trPr>
          <w:trHeight w:val="33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Wnt</w:t>
            </w:r>
            <w:proofErr w:type="spellEnd"/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MyBioSource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Human WNT1 ELISA Kit MBS9713699  </w:t>
            </w:r>
          </w:p>
        </w:tc>
      </w:tr>
      <w:tr w:rsidR="00A201AD" w:rsidTr="00A201AD">
        <w:trPr>
          <w:trHeight w:val="33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spondin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MyBioSource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Human R-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spondin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1 ELISA Kit MBS050315</w:t>
            </w:r>
          </w:p>
        </w:tc>
      </w:tr>
      <w:tr w:rsidR="00A201AD" w:rsidTr="00A201AD">
        <w:trPr>
          <w:trHeight w:val="647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VEGF, HGF, FGF, IL8, IL12, MCP1, MIG, IFN</w:t>
            </w:r>
            <w:r>
              <w:rPr>
                <w:rFonts w:ascii="Times New Roman" w:hAnsi="Times New Roman" w:cs="Times New Roman"/>
              </w:rPr>
              <w:sym w:font="Symbol" w:char="F067"/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01AD" w:rsidRDefault="00A201A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Human Cytokine Magnetic 30-Plex Panel, Invitrogen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ThermoFisher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Scientific LHC6003M</w:t>
            </w:r>
          </w:p>
        </w:tc>
      </w:tr>
      <w:bookmarkEnd w:id="0"/>
    </w:tbl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lastRenderedPageBreak/>
        <w:t>Supplemental figure 1: Phenotypic analysis of HNC BM-MSCs by flow cytometry pre- (gray curve) and post IFN</w:t>
      </w:r>
      <w:r>
        <w:rPr>
          <w:rFonts w:ascii="Symbol" w:eastAsia="Symbol" w:hAnsi="Symbol" w:cs="Symbol"/>
          <w:sz w:val="22"/>
          <w:szCs w:val="22"/>
        </w:rPr>
        <w:t></w:t>
      </w:r>
      <w:r>
        <w:rPr>
          <w:rFonts w:ascii="Symbol" w:eastAsia="Symbol" w:hAnsi="Symbol" w:cs="Symbol"/>
          <w:sz w:val="22"/>
          <w:szCs w:val="22"/>
        </w:rPr>
        <w:t></w:t>
      </w:r>
      <w:r>
        <w:rPr>
          <w:rFonts w:ascii="Times" w:hAnsi="Times"/>
          <w:sz w:val="22"/>
          <w:szCs w:val="22"/>
        </w:rPr>
        <w:t>stimulation. Histograms of the 6</w:t>
      </w:r>
      <w:r>
        <w:rPr>
          <w:rFonts w:ascii="Times" w:hAnsi="Times" w:cs="Arial"/>
          <w:sz w:val="22"/>
          <w:szCs w:val="22"/>
        </w:rPr>
        <w:t xml:space="preserve"> HNC BM-MSCs </w:t>
      </w:r>
      <w:r>
        <w:rPr>
          <w:rFonts w:ascii="Times" w:hAnsi="Times"/>
          <w:sz w:val="22"/>
          <w:szCs w:val="22"/>
        </w:rPr>
        <w:t>showing the expression of immunosuppressive markers: MHC I, MHC II, IDO, ICAM, and PD-L1 (Isotype control shown as dotted black line, non-IFN</w:t>
      </w:r>
      <w:r>
        <w:rPr>
          <w:rFonts w:ascii="Symbol" w:eastAsia="Symbol" w:hAnsi="Symbol" w:cs="Symbol"/>
          <w:sz w:val="22"/>
          <w:szCs w:val="22"/>
        </w:rPr>
        <w:t></w:t>
      </w:r>
      <w:r>
        <w:rPr>
          <w:rFonts w:ascii="Times" w:hAnsi="Times"/>
          <w:sz w:val="22"/>
          <w:szCs w:val="22"/>
        </w:rPr>
        <w:t xml:space="preserve"> stimulated BM-MSCs shown as gray curve, and IFN</w:t>
      </w:r>
      <w:r>
        <w:rPr>
          <w:rFonts w:ascii="Symbol" w:eastAsia="Symbol" w:hAnsi="Symbol" w:cs="Symbol"/>
          <w:sz w:val="22"/>
          <w:szCs w:val="22"/>
        </w:rPr>
        <w:t></w:t>
      </w:r>
      <w:r>
        <w:rPr>
          <w:rFonts w:ascii="Times" w:hAnsi="Times"/>
          <w:sz w:val="22"/>
          <w:szCs w:val="22"/>
        </w:rPr>
        <w:t xml:space="preserve"> stimulated BM-MSC shown as black outline)</w:t>
      </w:r>
      <w:r>
        <w:rPr>
          <w:rFonts w:ascii="Times" w:hAnsi="Times" w:cs="Arial"/>
          <w:sz w:val="22"/>
          <w:szCs w:val="22"/>
        </w:rPr>
        <w:t xml:space="preserve">. </w:t>
      </w:r>
    </w:p>
    <w:p w:rsidR="00A201AD" w:rsidRDefault="00A201AD" w:rsidP="00A201AD">
      <w:pPr>
        <w:rPr>
          <w:rFonts w:ascii="Times" w:hAnsi="Times"/>
          <w:sz w:val="22"/>
          <w:szCs w:val="22"/>
        </w:rPr>
      </w:pPr>
    </w:p>
    <w:p w:rsidR="00A201AD" w:rsidRDefault="00A201AD" w:rsidP="00A201AD">
      <w:pPr>
        <w:rPr>
          <w:rFonts w:ascii="Times" w:hAnsi="Times"/>
          <w:sz w:val="22"/>
          <w:szCs w:val="22"/>
        </w:rPr>
      </w:pPr>
      <w:r>
        <w:rPr>
          <w:noProof/>
        </w:rPr>
        <w:drawing>
          <wp:inline distT="0" distB="0" distL="0" distR="0">
            <wp:extent cx="5943600" cy="6953250"/>
            <wp:effectExtent l="0" t="0" r="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95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1AD" w:rsidRDefault="00A201AD" w:rsidP="00A201AD">
      <w:pPr>
        <w:rPr>
          <w:rFonts w:ascii="Times" w:hAnsi="Times"/>
          <w:sz w:val="22"/>
          <w:szCs w:val="22"/>
        </w:rPr>
      </w:pPr>
      <w:bookmarkStart w:id="1" w:name="_GoBack"/>
      <w:bookmarkEnd w:id="1"/>
    </w:p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1AD"/>
    <w:rsid w:val="00A201AD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C96E9D-C33E-4407-B2F4-4F130CFBE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01AD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01AD"/>
    <w:pPr>
      <w:spacing w:after="0" w:line="240" w:lineRule="auto"/>
    </w:pPr>
    <w:rPr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1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2021-10-18T12:35:00Z</dcterms:created>
  <dcterms:modified xsi:type="dcterms:W3CDTF">2021-10-18T12:35:00Z</dcterms:modified>
</cp:coreProperties>
</file>