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1082D" w14:textId="77777777" w:rsidR="00AB1DDB" w:rsidRDefault="00D815AB">
      <w:pPr>
        <w:pStyle w:val="SuppTitle"/>
        <w:spacing w:after="0" w:line="480" w:lineRule="auto"/>
        <w:jc w:val="center"/>
      </w:pPr>
      <w:r>
        <w:t>Supplementary Information</w:t>
      </w:r>
    </w:p>
    <w:p w14:paraId="4EE3A68D" w14:textId="6EC2D697" w:rsidR="00AB1DDB" w:rsidRDefault="00ED0366">
      <w:pPr>
        <w:pStyle w:val="SuppSubtitle"/>
        <w:spacing w:after="0" w:line="480" w:lineRule="auto"/>
        <w:jc w:val="center"/>
      </w:pPr>
      <w:r w:rsidRPr="00ED0366">
        <w:t xml:space="preserve">Biosensor-assisted growth-coupled selection facilitates the evolution of glycosyltransferase for </w:t>
      </w:r>
      <w:proofErr w:type="spellStart"/>
      <w:r w:rsidRPr="00ED0366">
        <w:t>heparosan</w:t>
      </w:r>
      <w:proofErr w:type="spellEnd"/>
      <w:r w:rsidRPr="00ED0366">
        <w:t xml:space="preserve"> biosynthesis in Escherichia coli K5</w:t>
      </w:r>
    </w:p>
    <w:p w14:paraId="0E7940F9" w14:textId="77777777" w:rsidR="00AB1DDB" w:rsidRDefault="00D815AB">
      <w:pPr>
        <w:spacing w:after="0" w:line="480" w:lineRule="auto"/>
      </w:pPr>
      <w:r>
        <w:t>Abbreviation and formatting note. cAMP-activated global transcriptional regulator (CRP), green fluorescent protein (GFP), optical density at 600 nm (OD600), polymerase chain reaction (PCR), electrophoretic mobility shift assay (EMSA), Gene Ontology (GO), sodium dodecyl sulfate-polyacrylamide gel electrophoresis (SDS-PAGE), reduced nicotinamide adenine dinucleotide (NADH), and whole-genome-evolved K5 (K5-WGE) are defined here for the Supplementary Information. Bacterial Latin binomials are italicized, gene names are italicized, and protein names are presented in roman type. Nomenclature note. Across the main text and Supplementary Tables S5-S6, the standardized construct names are used consistently as follows: pNG, pETDuet-1_</w:t>
      </w:r>
      <w:r>
        <w:rPr>
          <w:i/>
        </w:rPr>
        <w:t>Pgnt</w:t>
      </w:r>
      <w:r>
        <w:t>_</w:t>
      </w:r>
      <w:r>
        <w:rPr>
          <w:i/>
        </w:rPr>
        <w:t>gfp</w:t>
      </w:r>
      <w:r>
        <w:t>; pNT, pETDuet-1_</w:t>
      </w:r>
      <w:r>
        <w:rPr>
          <w:i/>
        </w:rPr>
        <w:t>Pgnt</w:t>
      </w:r>
      <w:r>
        <w:t>_</w:t>
      </w:r>
      <w:r>
        <w:rPr>
          <w:i/>
        </w:rPr>
        <w:t>tetA</w:t>
      </w:r>
      <w:r>
        <w:t>; NCT, pETDuet-1_</w:t>
      </w:r>
      <w:r>
        <w:rPr>
          <w:i/>
        </w:rPr>
        <w:t>Pgnt</w:t>
      </w:r>
      <w:r>
        <w:t>_</w:t>
      </w:r>
      <w:r>
        <w:rPr>
          <w:i/>
        </w:rPr>
        <w:t>tetA</w:t>
      </w:r>
      <w:r>
        <w:t>_P34_CRP; pNTG-CRP, pETDuet-1_</w:t>
      </w:r>
      <w:r>
        <w:rPr>
          <w:i/>
        </w:rPr>
        <w:t>Pgnt</w:t>
      </w:r>
      <w:r>
        <w:t>_</w:t>
      </w:r>
      <w:r>
        <w:rPr>
          <w:i/>
        </w:rPr>
        <w:t>tetA</w:t>
      </w:r>
      <w:r>
        <w:t>_</w:t>
      </w:r>
      <w:r>
        <w:rPr>
          <w:i/>
        </w:rPr>
        <w:t>gfp</w:t>
      </w:r>
      <w:r>
        <w:t>_Pbad_</w:t>
      </w:r>
      <w:r>
        <w:rPr>
          <w:i/>
        </w:rPr>
        <w:t>crp</w:t>
      </w:r>
      <w:r>
        <w:t>; pACYC-</w:t>
      </w:r>
      <w:r>
        <w:rPr>
          <w:i/>
        </w:rPr>
        <w:t>NaKfiA/kfiC</w:t>
      </w:r>
      <w:r>
        <w:t>, pACYC_P34_NaKfiA(mut)_P34_</w:t>
      </w:r>
      <w:r>
        <w:rPr>
          <w:i/>
        </w:rPr>
        <w:t>kfiC</w:t>
      </w:r>
      <w:r>
        <w:t xml:space="preserve">; K5AC, </w:t>
      </w:r>
      <w:r>
        <w:rPr>
          <w:i/>
        </w:rPr>
        <w:t>E. coli</w:t>
      </w:r>
      <w:r>
        <w:t xml:space="preserve"> K5 Δ</w:t>
      </w:r>
      <w:r>
        <w:rPr>
          <w:i/>
        </w:rPr>
        <w:t>kfiA</w:t>
      </w:r>
      <w:r>
        <w:t xml:space="preserve"> Δ</w:t>
      </w:r>
      <w:r>
        <w:rPr>
          <w:i/>
        </w:rPr>
        <w:t>kfiC</w:t>
      </w:r>
      <w:r>
        <w:t xml:space="preserve">. In the revised Figure 3 workflow, K5AC denotes the clean chassis used for benchmarking, pNG denotes the </w:t>
      </w:r>
      <w:r>
        <w:rPr>
          <w:i/>
        </w:rPr>
        <w:t>Pgnt</w:t>
      </w:r>
      <w:r>
        <w:t>-only GFP reporter plasmid, and pNTG-CRP denotes the CRP-assisted dual-output selection plasmid. Final Figure 3 method details: pNTG-CRP induction used 2 mg·mL−1 arabinose, induction was synchronized with culture transfer, mixed-population validation used OD600 = 0.01 normalization, and endpoint genotyping was performed by colony PCR followed by Sanger sequencing. CRP-assisted circuit construction denotes additional biosensor-plasmid-borne CRP expression in a CRP-positive K5AC background, not complementation of a CRP-deficient chassis.</w:t>
      </w:r>
    </w:p>
    <w:p w14:paraId="5CBE4A73" w14:textId="77777777" w:rsidR="00AB1DDB" w:rsidRDefault="00D815AB">
      <w:pPr>
        <w:pStyle w:val="SuppSection"/>
        <w:keepNext/>
        <w:spacing w:after="0" w:line="480" w:lineRule="auto"/>
      </w:pPr>
      <w:r>
        <w:rPr>
          <w:rFonts w:ascii="Arial" w:eastAsia="Arial" w:hAnsi="Arial"/>
          <w:sz w:val="22"/>
        </w:rPr>
        <w:lastRenderedPageBreak/>
        <w:t>Section I. Genome editing, transcriptomic prioritization, and Pgnt characterization</w:t>
      </w:r>
    </w:p>
    <w:p w14:paraId="0B3B0E40" w14:textId="77777777" w:rsidR="00AB1DDB" w:rsidRDefault="00D815AB">
      <w:pPr>
        <w:pStyle w:val="SuppFigure"/>
        <w:keepNext/>
        <w:spacing w:after="0" w:line="480" w:lineRule="auto"/>
      </w:pPr>
      <w:r>
        <w:t>Supplementary Figure S1. Raw PCR gel for Δ</w:t>
      </w:r>
      <w:r>
        <w:rPr>
          <w:i/>
        </w:rPr>
        <w:t>kfiA</w:t>
      </w:r>
      <w:r>
        <w:t xml:space="preserve"> validation.</w:t>
      </w:r>
    </w:p>
    <w:p w14:paraId="739E5303" w14:textId="77777777" w:rsidR="00AB1DDB" w:rsidRDefault="00D815AB">
      <w:pPr>
        <w:spacing w:after="0" w:line="480" w:lineRule="auto"/>
        <w:jc w:val="center"/>
      </w:pPr>
      <w:r>
        <w:rPr>
          <w:noProof/>
        </w:rPr>
        <w:drawing>
          <wp:inline distT="0" distB="0" distL="0" distR="0" wp14:anchorId="41BAC1EA" wp14:editId="34AE115D">
            <wp:extent cx="4320000" cy="39556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8"/>
                    <a:stretch>
                      <a:fillRect/>
                    </a:stretch>
                  </pic:blipFill>
                  <pic:spPr>
                    <a:xfrm>
                      <a:off x="0" y="0"/>
                      <a:ext cx="4320000" cy="3955663"/>
                    </a:xfrm>
                    <a:prstGeom prst="rect">
                      <a:avLst/>
                    </a:prstGeom>
                  </pic:spPr>
                </pic:pic>
              </a:graphicData>
            </a:graphic>
          </wp:inline>
        </w:drawing>
      </w:r>
    </w:p>
    <w:p w14:paraId="1BE388E9" w14:textId="77777777" w:rsidR="00AB1DDB" w:rsidRDefault="00D815AB">
      <w:pPr>
        <w:pStyle w:val="SuppCaption"/>
        <w:spacing w:after="0" w:line="480" w:lineRule="auto"/>
      </w:pPr>
      <w:r>
        <w:t>Lane M1, DNA Marker III; lane 1, K5 fragment; lane 2, K5A fragment; lane 3, positive control.</w:t>
      </w:r>
    </w:p>
    <w:p w14:paraId="03081F00" w14:textId="77777777" w:rsidR="00AB1DDB" w:rsidRDefault="00D815AB">
      <w:pPr>
        <w:spacing w:after="0" w:line="480" w:lineRule="auto"/>
      </w:pPr>
      <w:r>
        <w:br w:type="page"/>
      </w:r>
    </w:p>
    <w:p w14:paraId="6999F9FF" w14:textId="77777777" w:rsidR="00AB1DDB" w:rsidRDefault="00D815AB">
      <w:pPr>
        <w:pStyle w:val="SuppFigure"/>
        <w:keepNext/>
        <w:spacing w:after="0" w:line="480" w:lineRule="auto"/>
      </w:pPr>
      <w:r>
        <w:lastRenderedPageBreak/>
        <w:t>Supplementary Figure S2. K5 versus K5A MA plot.</w:t>
      </w:r>
    </w:p>
    <w:p w14:paraId="531891EA" w14:textId="77777777" w:rsidR="00AB1DDB" w:rsidRDefault="00D815AB">
      <w:pPr>
        <w:spacing w:after="0" w:line="480" w:lineRule="auto"/>
        <w:jc w:val="center"/>
      </w:pPr>
      <w:r>
        <w:rPr>
          <w:noProof/>
        </w:rPr>
        <w:drawing>
          <wp:inline distT="0" distB="0" distL="0" distR="0" wp14:anchorId="14DCF115" wp14:editId="7B19735D">
            <wp:extent cx="5580000" cy="54143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png"/>
                    <pic:cNvPicPr/>
                  </pic:nvPicPr>
                  <pic:blipFill>
                    <a:blip r:embed="rId9"/>
                    <a:stretch>
                      <a:fillRect/>
                    </a:stretch>
                  </pic:blipFill>
                  <pic:spPr>
                    <a:xfrm>
                      <a:off x="0" y="0"/>
                      <a:ext cx="5580000" cy="5414310"/>
                    </a:xfrm>
                    <a:prstGeom prst="rect">
                      <a:avLst/>
                    </a:prstGeom>
                  </pic:spPr>
                </pic:pic>
              </a:graphicData>
            </a:graphic>
          </wp:inline>
        </w:drawing>
      </w:r>
    </w:p>
    <w:p w14:paraId="70A2AC86" w14:textId="77777777" w:rsidR="00AB1DDB" w:rsidRDefault="00D815AB">
      <w:pPr>
        <w:pStyle w:val="SuppCaption"/>
        <w:spacing w:after="0" w:line="480" w:lineRule="auto"/>
      </w:pPr>
      <w:r>
        <w:t>MA plot for K5 versus K5A.</w:t>
      </w:r>
    </w:p>
    <w:p w14:paraId="2BC18DD0" w14:textId="77777777" w:rsidR="00AB1DDB" w:rsidRDefault="00D815AB">
      <w:pPr>
        <w:spacing w:after="0" w:line="480" w:lineRule="auto"/>
      </w:pPr>
      <w:r>
        <w:br w:type="page"/>
      </w:r>
    </w:p>
    <w:p w14:paraId="3B6A253A" w14:textId="77777777" w:rsidR="00AB1DDB" w:rsidRDefault="00D815AB">
      <w:pPr>
        <w:pStyle w:val="SuppFigure"/>
        <w:keepNext/>
        <w:spacing w:after="0" w:line="480" w:lineRule="auto"/>
      </w:pPr>
      <w:r>
        <w:lastRenderedPageBreak/>
        <w:t>Supplementary Figure S3. K5 versus K5A volcano plot.</w:t>
      </w:r>
    </w:p>
    <w:p w14:paraId="7222F28A" w14:textId="77777777" w:rsidR="00AB1DDB" w:rsidRDefault="00D815AB">
      <w:pPr>
        <w:spacing w:after="0" w:line="480" w:lineRule="auto"/>
        <w:jc w:val="center"/>
      </w:pPr>
      <w:r>
        <w:rPr>
          <w:noProof/>
        </w:rPr>
        <w:drawing>
          <wp:inline distT="0" distB="0" distL="0" distR="0" wp14:anchorId="1A6BB498" wp14:editId="30FBDDCC">
            <wp:extent cx="5580000" cy="54143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5.png"/>
                    <pic:cNvPicPr/>
                  </pic:nvPicPr>
                  <pic:blipFill>
                    <a:blip r:embed="rId10"/>
                    <a:stretch>
                      <a:fillRect/>
                    </a:stretch>
                  </pic:blipFill>
                  <pic:spPr>
                    <a:xfrm>
                      <a:off x="0" y="0"/>
                      <a:ext cx="5580000" cy="5414310"/>
                    </a:xfrm>
                    <a:prstGeom prst="rect">
                      <a:avLst/>
                    </a:prstGeom>
                  </pic:spPr>
                </pic:pic>
              </a:graphicData>
            </a:graphic>
          </wp:inline>
        </w:drawing>
      </w:r>
    </w:p>
    <w:p w14:paraId="41BF9B7B" w14:textId="77777777" w:rsidR="00AB1DDB" w:rsidRDefault="00D815AB">
      <w:pPr>
        <w:pStyle w:val="SuppCaption"/>
        <w:spacing w:after="0" w:line="480" w:lineRule="auto"/>
      </w:pPr>
      <w:r>
        <w:t>Volcano plot for K5 versus K5A.</w:t>
      </w:r>
    </w:p>
    <w:p w14:paraId="6EBCA78E" w14:textId="77777777" w:rsidR="00AB1DDB" w:rsidRDefault="00D815AB">
      <w:pPr>
        <w:spacing w:after="0" w:line="480" w:lineRule="auto"/>
      </w:pPr>
      <w:r>
        <w:br w:type="page"/>
      </w:r>
    </w:p>
    <w:p w14:paraId="5674E5AD" w14:textId="77777777" w:rsidR="00AB1DDB" w:rsidRDefault="00D815AB">
      <w:pPr>
        <w:pStyle w:val="SuppFigure"/>
        <w:keepNext/>
        <w:spacing w:after="0" w:line="480" w:lineRule="auto"/>
      </w:pPr>
      <w:r>
        <w:lastRenderedPageBreak/>
        <w:t>Supplementary Figure S4. K5 versus K5A GO enrichment support.</w:t>
      </w:r>
    </w:p>
    <w:p w14:paraId="5D9BF7AF" w14:textId="77777777" w:rsidR="00AB1DDB" w:rsidRDefault="00D815AB">
      <w:pPr>
        <w:spacing w:after="0" w:line="480" w:lineRule="auto"/>
        <w:jc w:val="center"/>
      </w:pPr>
      <w:r>
        <w:rPr>
          <w:noProof/>
        </w:rPr>
        <w:drawing>
          <wp:inline distT="0" distB="0" distL="0" distR="0" wp14:anchorId="4978A5E3" wp14:editId="3480D9F2">
            <wp:extent cx="5943600" cy="18802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0_S12_combo.png"/>
                    <pic:cNvPicPr/>
                  </pic:nvPicPr>
                  <pic:blipFill>
                    <a:blip r:embed="rId11"/>
                    <a:stretch>
                      <a:fillRect/>
                    </a:stretch>
                  </pic:blipFill>
                  <pic:spPr>
                    <a:xfrm>
                      <a:off x="0" y="0"/>
                      <a:ext cx="5943600" cy="1880225"/>
                    </a:xfrm>
                    <a:prstGeom prst="rect">
                      <a:avLst/>
                    </a:prstGeom>
                  </pic:spPr>
                </pic:pic>
              </a:graphicData>
            </a:graphic>
          </wp:inline>
        </w:drawing>
      </w:r>
    </w:p>
    <w:p w14:paraId="4379EC9C" w14:textId="77777777" w:rsidR="00AB1DDB" w:rsidRDefault="00D815AB">
      <w:pPr>
        <w:pStyle w:val="SuppCaption"/>
        <w:spacing w:after="0" w:line="480" w:lineRule="auto"/>
      </w:pPr>
      <w:r>
        <w:t>GO enrichment summary for K5 versus K5A.</w:t>
      </w:r>
    </w:p>
    <w:p w14:paraId="3776F610" w14:textId="77777777" w:rsidR="00AB1DDB" w:rsidRDefault="00D815AB">
      <w:pPr>
        <w:spacing w:after="0" w:line="480" w:lineRule="auto"/>
      </w:pPr>
      <w:r>
        <w:br w:type="page"/>
      </w:r>
    </w:p>
    <w:p w14:paraId="69CA9209" w14:textId="77777777" w:rsidR="00F92B3C" w:rsidRDefault="006C1C0C">
      <w:pPr>
        <w:pStyle w:val="SuppTableTitle"/>
      </w:pPr>
      <w:r>
        <w:lastRenderedPageBreak/>
        <w:t>Supplementary Table S1. Description of COG</w:t>
      </w:r>
      <w:r>
        <w:t xml:space="preserve"> terms shown in Figure 1D.</w:t>
      </w:r>
    </w:p>
    <w:p w14:paraId="1B515563" w14:textId="77777777" w:rsidR="00F92B3C" w:rsidRDefault="006C1C0C">
      <w:pPr>
        <w:pStyle w:val="SuppCaption"/>
      </w:pPr>
      <w:r>
        <w:t>COG identifiers and descriptions corresponding to the COG-focused enrichment overview in Figure 1D.</w:t>
      </w:r>
    </w:p>
    <w:tbl>
      <w:tblPr>
        <w:tblStyle w:val="aff1"/>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0"/>
        <w:gridCol w:w="7200"/>
      </w:tblGrid>
      <w:tr w:rsidR="00F92B3C" w14:paraId="312ACED8" w14:textId="77777777">
        <w:trPr>
          <w:tblHeader/>
        </w:trPr>
        <w:tc>
          <w:tcPr>
            <w:tcW w:w="1800" w:type="dxa"/>
            <w:shd w:val="clear" w:color="auto" w:fill="D9EAF7"/>
          </w:tcPr>
          <w:p w14:paraId="1A4582F2" w14:textId="77777777" w:rsidR="00F92B3C" w:rsidRDefault="006C1C0C">
            <w:r>
              <w:rPr>
                <w:b/>
                <w:sz w:val="18"/>
              </w:rPr>
              <w:t>COG ID</w:t>
            </w:r>
          </w:p>
        </w:tc>
        <w:tc>
          <w:tcPr>
            <w:tcW w:w="7200" w:type="dxa"/>
            <w:shd w:val="clear" w:color="auto" w:fill="D9EAF7"/>
          </w:tcPr>
          <w:p w14:paraId="77BD386E" w14:textId="77777777" w:rsidR="00F92B3C" w:rsidRDefault="006C1C0C">
            <w:r>
              <w:rPr>
                <w:b/>
                <w:sz w:val="18"/>
              </w:rPr>
              <w:t>Description</w:t>
            </w:r>
          </w:p>
        </w:tc>
      </w:tr>
      <w:tr w:rsidR="00F92B3C" w14:paraId="2E37F207" w14:textId="77777777">
        <w:tc>
          <w:tcPr>
            <w:tcW w:w="1800" w:type="dxa"/>
          </w:tcPr>
          <w:p w14:paraId="524E0A1C" w14:textId="77777777" w:rsidR="00F92B3C" w:rsidRDefault="006C1C0C">
            <w:r>
              <w:rPr>
                <w:sz w:val="18"/>
              </w:rPr>
              <w:t>COG1216</w:t>
            </w:r>
          </w:p>
        </w:tc>
        <w:tc>
          <w:tcPr>
            <w:tcW w:w="7200" w:type="dxa"/>
          </w:tcPr>
          <w:p w14:paraId="16E6C59E" w14:textId="77777777" w:rsidR="00F92B3C" w:rsidRDefault="006C1C0C">
            <w:r>
              <w:rPr>
                <w:sz w:val="18"/>
              </w:rPr>
              <w:t>Predicted glycosyltransferases</w:t>
            </w:r>
          </w:p>
        </w:tc>
      </w:tr>
      <w:tr w:rsidR="00F92B3C" w14:paraId="54749561" w14:textId="77777777">
        <w:tc>
          <w:tcPr>
            <w:tcW w:w="1800" w:type="dxa"/>
          </w:tcPr>
          <w:p w14:paraId="334CAFCA" w14:textId="77777777" w:rsidR="00F92B3C" w:rsidRDefault="006C1C0C">
            <w:r>
              <w:rPr>
                <w:sz w:val="18"/>
              </w:rPr>
              <w:t>COG3550</w:t>
            </w:r>
          </w:p>
        </w:tc>
        <w:tc>
          <w:tcPr>
            <w:tcW w:w="7200" w:type="dxa"/>
          </w:tcPr>
          <w:p w14:paraId="2000A988" w14:textId="77777777" w:rsidR="00F92B3C" w:rsidRDefault="006C1C0C">
            <w:r>
              <w:rPr>
                <w:sz w:val="18"/>
              </w:rPr>
              <w:t xml:space="preserve">Uncharacterized protein related to capsule </w:t>
            </w:r>
            <w:r>
              <w:rPr>
                <w:sz w:val="18"/>
              </w:rPr>
              <w:t>biosynthesis enzymes</w:t>
            </w:r>
          </w:p>
        </w:tc>
      </w:tr>
      <w:tr w:rsidR="00F92B3C" w14:paraId="4359276E" w14:textId="77777777">
        <w:tc>
          <w:tcPr>
            <w:tcW w:w="1800" w:type="dxa"/>
          </w:tcPr>
          <w:p w14:paraId="17939550" w14:textId="77777777" w:rsidR="00F92B3C" w:rsidRDefault="006C1C0C">
            <w:r>
              <w:rPr>
                <w:sz w:val="18"/>
              </w:rPr>
              <w:t>COG0438</w:t>
            </w:r>
          </w:p>
        </w:tc>
        <w:tc>
          <w:tcPr>
            <w:tcW w:w="7200" w:type="dxa"/>
          </w:tcPr>
          <w:p w14:paraId="13D3E732" w14:textId="77777777" w:rsidR="00F92B3C" w:rsidRDefault="006C1C0C">
            <w:r>
              <w:rPr>
                <w:sz w:val="18"/>
              </w:rPr>
              <w:t>Glycosyltransferase</w:t>
            </w:r>
          </w:p>
        </w:tc>
      </w:tr>
      <w:tr w:rsidR="00F92B3C" w14:paraId="6B640800" w14:textId="77777777">
        <w:tc>
          <w:tcPr>
            <w:tcW w:w="1800" w:type="dxa"/>
          </w:tcPr>
          <w:p w14:paraId="4E4A7EA0" w14:textId="77777777" w:rsidR="00F92B3C" w:rsidRDefault="006C1C0C">
            <w:r>
              <w:rPr>
                <w:sz w:val="18"/>
              </w:rPr>
              <w:t>COG0463</w:t>
            </w:r>
          </w:p>
        </w:tc>
        <w:tc>
          <w:tcPr>
            <w:tcW w:w="7200" w:type="dxa"/>
          </w:tcPr>
          <w:p w14:paraId="1AE8ADE6" w14:textId="77777777" w:rsidR="00F92B3C" w:rsidRDefault="006C1C0C">
            <w:r>
              <w:rPr>
                <w:sz w:val="18"/>
              </w:rPr>
              <w:t>Glycosyltransferases involved in cell wall biogenesis</w:t>
            </w:r>
          </w:p>
        </w:tc>
      </w:tr>
      <w:tr w:rsidR="00F92B3C" w14:paraId="73AF0A72" w14:textId="77777777">
        <w:tc>
          <w:tcPr>
            <w:tcW w:w="1800" w:type="dxa"/>
          </w:tcPr>
          <w:p w14:paraId="7793D1B9" w14:textId="77777777" w:rsidR="00F92B3C" w:rsidRDefault="006C1C0C">
            <w:r>
              <w:rPr>
                <w:sz w:val="18"/>
              </w:rPr>
              <w:t>COG0859</w:t>
            </w:r>
          </w:p>
        </w:tc>
        <w:tc>
          <w:tcPr>
            <w:tcW w:w="7200" w:type="dxa"/>
          </w:tcPr>
          <w:p w14:paraId="7CE18B6F" w14:textId="77777777" w:rsidR="00F92B3C" w:rsidRDefault="006C1C0C">
            <w:r>
              <w:rPr>
                <w:sz w:val="18"/>
              </w:rPr>
              <w:t>ADP-heptose:LPS heptosyltransferase</w:t>
            </w:r>
          </w:p>
        </w:tc>
      </w:tr>
      <w:tr w:rsidR="00F92B3C" w14:paraId="5788268C" w14:textId="77777777">
        <w:tc>
          <w:tcPr>
            <w:tcW w:w="1800" w:type="dxa"/>
          </w:tcPr>
          <w:p w14:paraId="1D30B1A0" w14:textId="77777777" w:rsidR="00F92B3C" w:rsidRDefault="006C1C0C">
            <w:r>
              <w:rPr>
                <w:sz w:val="18"/>
              </w:rPr>
              <w:t>COG1087</w:t>
            </w:r>
          </w:p>
        </w:tc>
        <w:tc>
          <w:tcPr>
            <w:tcW w:w="7200" w:type="dxa"/>
          </w:tcPr>
          <w:p w14:paraId="701B047D" w14:textId="77777777" w:rsidR="00F92B3C" w:rsidRDefault="006C1C0C">
            <w:r>
              <w:rPr>
                <w:sz w:val="18"/>
              </w:rPr>
              <w:t>UDP-glucose-4-epimerase</w:t>
            </w:r>
          </w:p>
        </w:tc>
      </w:tr>
      <w:tr w:rsidR="00F92B3C" w14:paraId="58EABCE9" w14:textId="77777777">
        <w:tc>
          <w:tcPr>
            <w:tcW w:w="1800" w:type="dxa"/>
          </w:tcPr>
          <w:p w14:paraId="1D3B9B82" w14:textId="77777777" w:rsidR="00F92B3C" w:rsidRDefault="006C1C0C">
            <w:r>
              <w:rPr>
                <w:sz w:val="18"/>
              </w:rPr>
              <w:t>COG1088</w:t>
            </w:r>
          </w:p>
        </w:tc>
        <w:tc>
          <w:tcPr>
            <w:tcW w:w="7200" w:type="dxa"/>
          </w:tcPr>
          <w:p w14:paraId="12C98B1E" w14:textId="77777777" w:rsidR="00F92B3C" w:rsidRDefault="006C1C0C">
            <w:r>
              <w:rPr>
                <w:sz w:val="18"/>
              </w:rPr>
              <w:t>dTDP-D-glucose 4,6-dehydratase</w:t>
            </w:r>
          </w:p>
        </w:tc>
      </w:tr>
      <w:tr w:rsidR="00F92B3C" w14:paraId="1B5DF1B4" w14:textId="77777777">
        <w:tc>
          <w:tcPr>
            <w:tcW w:w="1800" w:type="dxa"/>
          </w:tcPr>
          <w:p w14:paraId="405E2DA2" w14:textId="77777777" w:rsidR="00F92B3C" w:rsidRDefault="006C1C0C">
            <w:r>
              <w:rPr>
                <w:sz w:val="18"/>
              </w:rPr>
              <w:t>COG0794</w:t>
            </w:r>
          </w:p>
        </w:tc>
        <w:tc>
          <w:tcPr>
            <w:tcW w:w="7200" w:type="dxa"/>
          </w:tcPr>
          <w:p w14:paraId="78096468" w14:textId="77777777" w:rsidR="00F92B3C" w:rsidRDefault="006C1C0C">
            <w:r>
              <w:rPr>
                <w:sz w:val="18"/>
              </w:rPr>
              <w:t>Predicted sugar phosphate isomerase involved in capsule formation</w:t>
            </w:r>
          </w:p>
        </w:tc>
      </w:tr>
      <w:tr w:rsidR="00F92B3C" w14:paraId="18C4C657" w14:textId="77777777">
        <w:tc>
          <w:tcPr>
            <w:tcW w:w="1800" w:type="dxa"/>
          </w:tcPr>
          <w:p w14:paraId="7E0E4D0B" w14:textId="77777777" w:rsidR="00F92B3C" w:rsidRDefault="006C1C0C">
            <w:r>
              <w:rPr>
                <w:sz w:val="18"/>
              </w:rPr>
              <w:t>COG1442</w:t>
            </w:r>
          </w:p>
        </w:tc>
        <w:tc>
          <w:tcPr>
            <w:tcW w:w="7200" w:type="dxa"/>
          </w:tcPr>
          <w:p w14:paraId="05AEAA37" w14:textId="77777777" w:rsidR="00F92B3C" w:rsidRDefault="006C1C0C">
            <w:r>
              <w:rPr>
                <w:sz w:val="18"/>
              </w:rPr>
              <w:t>Lipopolysaccharide biosynthesis proteins, LPS:glycosyltransferases</w:t>
            </w:r>
          </w:p>
        </w:tc>
      </w:tr>
      <w:tr w:rsidR="00F92B3C" w14:paraId="22C617FC" w14:textId="77777777">
        <w:tc>
          <w:tcPr>
            <w:tcW w:w="1800" w:type="dxa"/>
          </w:tcPr>
          <w:p w14:paraId="4FF9C096" w14:textId="77777777" w:rsidR="00F92B3C" w:rsidRDefault="006C1C0C">
            <w:r>
              <w:rPr>
                <w:sz w:val="18"/>
              </w:rPr>
              <w:t>COG0707</w:t>
            </w:r>
          </w:p>
        </w:tc>
        <w:tc>
          <w:tcPr>
            <w:tcW w:w="7200" w:type="dxa"/>
          </w:tcPr>
          <w:p w14:paraId="3B5E112F" w14:textId="77777777" w:rsidR="00F92B3C" w:rsidRDefault="006C1C0C">
            <w:r>
              <w:rPr>
                <w:sz w:val="18"/>
              </w:rPr>
              <w:t>UDP-N-acetylglucosamine:LPS N-acetylglucosamine transferase</w:t>
            </w:r>
          </w:p>
        </w:tc>
      </w:tr>
      <w:tr w:rsidR="00F92B3C" w14:paraId="090DC599" w14:textId="77777777">
        <w:tc>
          <w:tcPr>
            <w:tcW w:w="1800" w:type="dxa"/>
          </w:tcPr>
          <w:p w14:paraId="2492E535" w14:textId="77777777" w:rsidR="00F92B3C" w:rsidRDefault="006C1C0C">
            <w:r>
              <w:rPr>
                <w:sz w:val="18"/>
              </w:rPr>
              <w:t>COG1089</w:t>
            </w:r>
          </w:p>
        </w:tc>
        <w:tc>
          <w:tcPr>
            <w:tcW w:w="7200" w:type="dxa"/>
          </w:tcPr>
          <w:p w14:paraId="326FE0BF" w14:textId="77777777" w:rsidR="00F92B3C" w:rsidRDefault="006C1C0C">
            <w:r>
              <w:rPr>
                <w:sz w:val="18"/>
              </w:rPr>
              <w:t>GDP-D-mannose dehydratase</w:t>
            </w:r>
          </w:p>
        </w:tc>
      </w:tr>
      <w:tr w:rsidR="00F92B3C" w14:paraId="37DBB4AF" w14:textId="77777777">
        <w:tc>
          <w:tcPr>
            <w:tcW w:w="1800" w:type="dxa"/>
          </w:tcPr>
          <w:p w14:paraId="7062399F" w14:textId="77777777" w:rsidR="00F92B3C" w:rsidRDefault="006C1C0C">
            <w:r>
              <w:rPr>
                <w:sz w:val="18"/>
              </w:rPr>
              <w:t>COG1091</w:t>
            </w:r>
          </w:p>
        </w:tc>
        <w:tc>
          <w:tcPr>
            <w:tcW w:w="7200" w:type="dxa"/>
          </w:tcPr>
          <w:p w14:paraId="03498E10" w14:textId="77777777" w:rsidR="00F92B3C" w:rsidRDefault="006C1C0C">
            <w:r>
              <w:rPr>
                <w:sz w:val="18"/>
              </w:rPr>
              <w:t>dTDP</w:t>
            </w:r>
          </w:p>
        </w:tc>
      </w:tr>
      <w:tr w:rsidR="00F92B3C" w14:paraId="71507EF1" w14:textId="77777777">
        <w:tc>
          <w:tcPr>
            <w:tcW w:w="1800" w:type="dxa"/>
          </w:tcPr>
          <w:p w14:paraId="02AF7240" w14:textId="77777777" w:rsidR="00F92B3C" w:rsidRDefault="006C1C0C">
            <w:r>
              <w:rPr>
                <w:sz w:val="18"/>
              </w:rPr>
              <w:t>COG1210</w:t>
            </w:r>
          </w:p>
        </w:tc>
        <w:tc>
          <w:tcPr>
            <w:tcW w:w="7200" w:type="dxa"/>
          </w:tcPr>
          <w:p w14:paraId="1FBEAF1C" w14:textId="77777777" w:rsidR="00F92B3C" w:rsidRDefault="006C1C0C">
            <w:r>
              <w:rPr>
                <w:sz w:val="18"/>
              </w:rPr>
              <w:t>UDP-glucose pyrophosphorylase</w:t>
            </w:r>
          </w:p>
        </w:tc>
      </w:tr>
      <w:tr w:rsidR="00F92B3C" w14:paraId="7751742D" w14:textId="77777777">
        <w:tc>
          <w:tcPr>
            <w:tcW w:w="1800" w:type="dxa"/>
          </w:tcPr>
          <w:p w14:paraId="3822D61E" w14:textId="77777777" w:rsidR="00F92B3C" w:rsidRDefault="006C1C0C">
            <w:r>
              <w:rPr>
                <w:sz w:val="18"/>
              </w:rPr>
              <w:t>COG2943</w:t>
            </w:r>
          </w:p>
        </w:tc>
        <w:tc>
          <w:tcPr>
            <w:tcW w:w="7200" w:type="dxa"/>
          </w:tcPr>
          <w:p w14:paraId="2B7D0C66" w14:textId="77777777" w:rsidR="00F92B3C" w:rsidRDefault="006C1C0C">
            <w:r>
              <w:rPr>
                <w:sz w:val="18"/>
              </w:rPr>
              <w:t>Membrane glycosyltransferase</w:t>
            </w:r>
          </w:p>
        </w:tc>
      </w:tr>
      <w:tr w:rsidR="00F92B3C" w14:paraId="5108B0F2" w14:textId="77777777">
        <w:tc>
          <w:tcPr>
            <w:tcW w:w="1800" w:type="dxa"/>
          </w:tcPr>
          <w:p w14:paraId="0AE2DB5C" w14:textId="77777777" w:rsidR="00F92B3C" w:rsidRDefault="006C1C0C">
            <w:r>
              <w:rPr>
                <w:sz w:val="18"/>
              </w:rPr>
              <w:t>COG3524</w:t>
            </w:r>
          </w:p>
        </w:tc>
        <w:tc>
          <w:tcPr>
            <w:tcW w:w="7200" w:type="dxa"/>
          </w:tcPr>
          <w:p w14:paraId="3C061963" w14:textId="77777777" w:rsidR="00F92B3C" w:rsidRDefault="006C1C0C">
            <w:r>
              <w:rPr>
                <w:sz w:val="18"/>
              </w:rPr>
              <w:t>Capsule polysaccharide export protein</w:t>
            </w:r>
          </w:p>
        </w:tc>
      </w:tr>
      <w:tr w:rsidR="00F92B3C" w14:paraId="38E4FDE4" w14:textId="77777777">
        <w:tc>
          <w:tcPr>
            <w:tcW w:w="1800" w:type="dxa"/>
          </w:tcPr>
          <w:p w14:paraId="557926C7" w14:textId="77777777" w:rsidR="00F92B3C" w:rsidRDefault="006C1C0C">
            <w:r>
              <w:rPr>
                <w:sz w:val="18"/>
              </w:rPr>
              <w:t>COG3563</w:t>
            </w:r>
          </w:p>
        </w:tc>
        <w:tc>
          <w:tcPr>
            <w:tcW w:w="7200" w:type="dxa"/>
          </w:tcPr>
          <w:p w14:paraId="23D18B98" w14:textId="77777777" w:rsidR="00F92B3C" w:rsidRDefault="006C1C0C">
            <w:r>
              <w:rPr>
                <w:sz w:val="18"/>
              </w:rPr>
              <w:t>Capsule polysaccharide export protein</w:t>
            </w:r>
          </w:p>
        </w:tc>
      </w:tr>
      <w:tr w:rsidR="00F92B3C" w14:paraId="3420B76F" w14:textId="77777777">
        <w:tc>
          <w:tcPr>
            <w:tcW w:w="1800" w:type="dxa"/>
          </w:tcPr>
          <w:p w14:paraId="43ECEC18" w14:textId="77777777" w:rsidR="00F92B3C" w:rsidRDefault="006C1C0C">
            <w:r>
              <w:rPr>
                <w:sz w:val="18"/>
              </w:rPr>
              <w:t>COG1596</w:t>
            </w:r>
          </w:p>
        </w:tc>
        <w:tc>
          <w:tcPr>
            <w:tcW w:w="7200" w:type="dxa"/>
          </w:tcPr>
          <w:p w14:paraId="732A2D82" w14:textId="77777777" w:rsidR="00F92B3C" w:rsidRDefault="006C1C0C">
            <w:r>
              <w:rPr>
                <w:sz w:val="18"/>
              </w:rPr>
              <w:t>Periplasmic protein involved in polysaccharide export</w:t>
            </w:r>
          </w:p>
        </w:tc>
      </w:tr>
      <w:tr w:rsidR="00F92B3C" w14:paraId="43141347" w14:textId="77777777">
        <w:tc>
          <w:tcPr>
            <w:tcW w:w="1800" w:type="dxa"/>
          </w:tcPr>
          <w:p w14:paraId="6629E3AE" w14:textId="77777777" w:rsidR="00F92B3C" w:rsidRDefault="006C1C0C">
            <w:r>
              <w:rPr>
                <w:sz w:val="18"/>
              </w:rPr>
              <w:t>COG1898</w:t>
            </w:r>
          </w:p>
        </w:tc>
        <w:tc>
          <w:tcPr>
            <w:tcW w:w="7200" w:type="dxa"/>
          </w:tcPr>
          <w:p w14:paraId="7010798D" w14:textId="77777777" w:rsidR="00F92B3C" w:rsidRDefault="006C1C0C">
            <w:r>
              <w:rPr>
                <w:sz w:val="18"/>
              </w:rPr>
              <w:t>dTDP-4-dehydrorhamnose 3,5-epimerase and related enzymes</w:t>
            </w:r>
          </w:p>
        </w:tc>
      </w:tr>
      <w:tr w:rsidR="00F92B3C" w14:paraId="52AF151A" w14:textId="77777777">
        <w:tc>
          <w:tcPr>
            <w:tcW w:w="1800" w:type="dxa"/>
          </w:tcPr>
          <w:p w14:paraId="74346AC6" w14:textId="77777777" w:rsidR="00F92B3C" w:rsidRDefault="006C1C0C">
            <w:r>
              <w:rPr>
                <w:sz w:val="18"/>
              </w:rPr>
              <w:t>COG1134</w:t>
            </w:r>
          </w:p>
        </w:tc>
        <w:tc>
          <w:tcPr>
            <w:tcW w:w="7200" w:type="dxa"/>
          </w:tcPr>
          <w:p w14:paraId="19F121EC" w14:textId="77777777" w:rsidR="00F92B3C" w:rsidRDefault="006C1C0C">
            <w:r>
              <w:rPr>
                <w:sz w:val="18"/>
              </w:rPr>
              <w:t>ABC-type polysaccharide/polyol phosphate transport system, ATPase component</w:t>
            </w:r>
          </w:p>
        </w:tc>
      </w:tr>
      <w:tr w:rsidR="00F92B3C" w14:paraId="24A18550" w14:textId="77777777">
        <w:tc>
          <w:tcPr>
            <w:tcW w:w="1800" w:type="dxa"/>
          </w:tcPr>
          <w:p w14:paraId="21C97365" w14:textId="77777777" w:rsidR="00F92B3C" w:rsidRDefault="006C1C0C">
            <w:r>
              <w:rPr>
                <w:sz w:val="18"/>
              </w:rPr>
              <w:t>COG1682</w:t>
            </w:r>
          </w:p>
        </w:tc>
        <w:tc>
          <w:tcPr>
            <w:tcW w:w="7200" w:type="dxa"/>
          </w:tcPr>
          <w:p w14:paraId="485CA137" w14:textId="77777777" w:rsidR="00F92B3C" w:rsidRDefault="006C1C0C">
            <w:r>
              <w:rPr>
                <w:sz w:val="18"/>
              </w:rPr>
              <w:t>ABC-type polysaccharide/polyol phosphate export system, permease component</w:t>
            </w:r>
          </w:p>
        </w:tc>
      </w:tr>
    </w:tbl>
    <w:p w14:paraId="638408BB" w14:textId="77777777" w:rsidR="00F92B3C" w:rsidRDefault="00F92B3C"/>
    <w:p w14:paraId="5B4FD063" w14:textId="77777777" w:rsidR="00AB1DDB" w:rsidRDefault="00D815AB">
      <w:pPr>
        <w:pStyle w:val="SuppSection"/>
        <w:spacing w:after="0" w:line="480" w:lineRule="auto"/>
      </w:pPr>
      <w:r>
        <w:rPr>
          <w:rFonts w:ascii="Arial" w:eastAsia="Arial" w:hAnsi="Arial"/>
          <w:sz w:val="22"/>
        </w:rPr>
        <w:t>Section II. DNA pull-down-based prioritization of Pgnt-associated regulatory candidates and preliminary EMSA support</w:t>
      </w:r>
    </w:p>
    <w:p w14:paraId="1FFA59BB" w14:textId="77777777" w:rsidR="00AB1DDB" w:rsidRDefault="00D815AB">
      <w:pPr>
        <w:pStyle w:val="SuppFigure"/>
        <w:spacing w:after="0" w:line="480" w:lineRule="auto"/>
      </w:pPr>
      <w:r>
        <w:t>Supplementary Figure S5. DNA pull-down assay schematic.</w:t>
      </w:r>
    </w:p>
    <w:p w14:paraId="625126C2" w14:textId="77777777" w:rsidR="00AB1DDB" w:rsidRDefault="00D815AB">
      <w:pPr>
        <w:spacing w:after="0" w:line="480" w:lineRule="auto"/>
        <w:jc w:val="center"/>
      </w:pPr>
      <w:r>
        <w:rPr>
          <w:noProof/>
        </w:rPr>
        <w:drawing>
          <wp:inline distT="0" distB="0" distL="0" distR="0" wp14:anchorId="4E35E2A5" wp14:editId="0444A398">
            <wp:extent cx="5943600" cy="332779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2"/>
                    <a:stretch>
                      <a:fillRect/>
                    </a:stretch>
                  </pic:blipFill>
                  <pic:spPr>
                    <a:xfrm>
                      <a:off x="0" y="0"/>
                      <a:ext cx="5943600" cy="3327797"/>
                    </a:xfrm>
                    <a:prstGeom prst="rect">
                      <a:avLst/>
                    </a:prstGeom>
                  </pic:spPr>
                </pic:pic>
              </a:graphicData>
            </a:graphic>
          </wp:inline>
        </w:drawing>
      </w:r>
    </w:p>
    <w:p w14:paraId="5E48D9C9" w14:textId="77777777" w:rsidR="00AB1DDB" w:rsidRDefault="00D815AB">
      <w:pPr>
        <w:spacing w:after="0" w:line="480" w:lineRule="auto"/>
      </w:pPr>
      <w:r>
        <w:lastRenderedPageBreak/>
        <w:t xml:space="preserve">Schematic of the DNA pull-down workflow using a 5'-biotinylated </w:t>
      </w:r>
      <w:r>
        <w:rPr>
          <w:i/>
        </w:rPr>
        <w:t>Pgnt</w:t>
      </w:r>
      <w:r>
        <w:t xml:space="preserve"> DNA probe, </w:t>
      </w:r>
      <w:r>
        <w:rPr>
          <w:i/>
        </w:rPr>
        <w:t>Escherichia coli</w:t>
      </w:r>
      <w:r>
        <w:t xml:space="preserve"> K5 lysate, streptavidin magnetic beads, SDS-PAGE and LC-MS/MS.</w:t>
      </w:r>
    </w:p>
    <w:p w14:paraId="2BD7D0C8" w14:textId="77777777" w:rsidR="00AB1DDB" w:rsidRDefault="00D815AB">
      <w:pPr>
        <w:pStyle w:val="SuppFigure"/>
        <w:keepNext/>
        <w:spacing w:after="0" w:line="480" w:lineRule="auto"/>
      </w:pPr>
      <w:r>
        <w:t xml:space="preserve">Supplementary Figure S6. </w:t>
      </w:r>
      <w:r>
        <w:rPr>
          <w:i/>
        </w:rPr>
        <w:t>Pgnt</w:t>
      </w:r>
      <w:r>
        <w:t xml:space="preserve"> probe agarose gel.</w:t>
      </w:r>
    </w:p>
    <w:p w14:paraId="11715D8E" w14:textId="77777777" w:rsidR="00AB1DDB" w:rsidRDefault="00D815AB">
      <w:pPr>
        <w:spacing w:after="0" w:line="480" w:lineRule="auto"/>
        <w:jc w:val="center"/>
      </w:pPr>
      <w:r>
        <w:rPr>
          <w:noProof/>
        </w:rPr>
        <w:drawing>
          <wp:inline distT="0" distB="0" distL="0" distR="0" wp14:anchorId="5844B4EA" wp14:editId="5EDD65C6">
            <wp:extent cx="4206240" cy="449140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9_clean4.png"/>
                    <pic:cNvPicPr/>
                  </pic:nvPicPr>
                  <pic:blipFill>
                    <a:blip r:embed="rId13"/>
                    <a:stretch>
                      <a:fillRect/>
                    </a:stretch>
                  </pic:blipFill>
                  <pic:spPr>
                    <a:xfrm>
                      <a:off x="0" y="0"/>
                      <a:ext cx="4206240" cy="4491409"/>
                    </a:xfrm>
                    <a:prstGeom prst="rect">
                      <a:avLst/>
                    </a:prstGeom>
                  </pic:spPr>
                </pic:pic>
              </a:graphicData>
            </a:graphic>
          </wp:inline>
        </w:drawing>
      </w:r>
    </w:p>
    <w:p w14:paraId="451EBC58" w14:textId="77777777" w:rsidR="00AB1DDB" w:rsidRDefault="00D815AB">
      <w:pPr>
        <w:pStyle w:val="SuppCaption"/>
        <w:spacing w:after="0" w:line="480" w:lineRule="auto"/>
      </w:pPr>
      <w:r>
        <w:t xml:space="preserve">Lane 1, unlabeled </w:t>
      </w:r>
      <w:r>
        <w:rPr>
          <w:i/>
        </w:rPr>
        <w:t>Pgnt</w:t>
      </w:r>
      <w:r>
        <w:t xml:space="preserve">; lane 2, biotin-labeled </w:t>
      </w:r>
      <w:r>
        <w:rPr>
          <w:i/>
        </w:rPr>
        <w:t>Pgnt</w:t>
      </w:r>
      <w:r>
        <w:t>.</w:t>
      </w:r>
    </w:p>
    <w:p w14:paraId="472C58CE" w14:textId="77777777" w:rsidR="00AB1DDB" w:rsidRDefault="00D815AB">
      <w:pPr>
        <w:spacing w:after="0" w:line="480" w:lineRule="auto"/>
      </w:pPr>
      <w:r>
        <w:br w:type="page"/>
      </w:r>
    </w:p>
    <w:p w14:paraId="0B57B2B4" w14:textId="77777777" w:rsidR="00AB1DDB" w:rsidRDefault="00D815AB">
      <w:pPr>
        <w:pStyle w:val="SuppFigure"/>
        <w:keepNext/>
        <w:spacing w:after="0" w:line="480" w:lineRule="auto"/>
      </w:pPr>
      <w:r>
        <w:lastRenderedPageBreak/>
        <w:t xml:space="preserve">Supplementary Figure S7. </w:t>
      </w:r>
      <w:r>
        <w:rPr>
          <w:i/>
        </w:rPr>
        <w:t>Pgnt</w:t>
      </w:r>
      <w:r>
        <w:t xml:space="preserve"> pull-down workflow support gels.</w:t>
      </w:r>
    </w:p>
    <w:p w14:paraId="3E6F4B07" w14:textId="77777777" w:rsidR="00AB1DDB" w:rsidRDefault="00D815AB">
      <w:pPr>
        <w:spacing w:after="0" w:line="480" w:lineRule="auto"/>
      </w:pPr>
      <w:r>
        <w:rPr>
          <w:noProof/>
        </w:rPr>
        <w:drawing>
          <wp:inline distT="0" distB="0" distL="0" distR="0" wp14:anchorId="6E9644ED" wp14:editId="15DF3CCC">
            <wp:extent cx="5303520" cy="609049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4"/>
                    <a:stretch>
                      <a:fillRect/>
                    </a:stretch>
                  </pic:blipFill>
                  <pic:spPr>
                    <a:xfrm>
                      <a:off x="0" y="0"/>
                      <a:ext cx="5303520" cy="6090494"/>
                    </a:xfrm>
                    <a:prstGeom prst="rect">
                      <a:avLst/>
                    </a:prstGeom>
                  </pic:spPr>
                </pic:pic>
              </a:graphicData>
            </a:graphic>
          </wp:inline>
        </w:drawing>
      </w:r>
    </w:p>
    <w:p w14:paraId="4E9E28C1" w14:textId="77777777" w:rsidR="00AB1DDB" w:rsidRDefault="00D815AB">
      <w:pPr>
        <w:spacing w:after="0" w:line="480" w:lineRule="auto"/>
      </w:pPr>
      <w:r>
        <w:t>Lane 1, DNA pull-down control group; lane 2, DNA pull-down experimental group; lane 3, magnetic-bead control group; lane 4, magnetic-bead experimental group.</w:t>
      </w:r>
    </w:p>
    <w:p w14:paraId="248E4C75" w14:textId="77777777" w:rsidR="00AB1DDB" w:rsidRDefault="00D815AB">
      <w:pPr>
        <w:spacing w:after="0" w:line="480" w:lineRule="auto"/>
      </w:pPr>
      <w:r>
        <w:br w:type="page"/>
      </w:r>
    </w:p>
    <w:p w14:paraId="0217DDE7" w14:textId="77777777" w:rsidR="00AB1DDB" w:rsidRDefault="00D815AB">
      <w:pPr>
        <w:pStyle w:val="SuppFigure"/>
        <w:spacing w:after="0" w:line="480" w:lineRule="auto"/>
      </w:pPr>
      <w:r>
        <w:lastRenderedPageBreak/>
        <w:t>Supplementary Figure S8. GO term distribution of Sample 1-specific proteins.</w:t>
      </w:r>
    </w:p>
    <w:p w14:paraId="68A89FA3" w14:textId="77777777" w:rsidR="00AB1DDB" w:rsidRDefault="00D815AB">
      <w:pPr>
        <w:spacing w:after="0" w:line="480" w:lineRule="auto"/>
        <w:jc w:val="center"/>
      </w:pPr>
      <w:r>
        <w:rPr>
          <w:noProof/>
        </w:rPr>
        <w:drawing>
          <wp:inline distT="0" distB="0" distL="0" distR="0" wp14:anchorId="302C2BF6" wp14:editId="299F4BA5">
            <wp:extent cx="6217920" cy="483616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1_GO_distribution.png"/>
                    <pic:cNvPicPr/>
                  </pic:nvPicPr>
                  <pic:blipFill>
                    <a:blip r:embed="rId15"/>
                    <a:stretch>
                      <a:fillRect/>
                    </a:stretch>
                  </pic:blipFill>
                  <pic:spPr>
                    <a:xfrm>
                      <a:off x="0" y="0"/>
                      <a:ext cx="6217920" cy="4836160"/>
                    </a:xfrm>
                    <a:prstGeom prst="rect">
                      <a:avLst/>
                    </a:prstGeom>
                  </pic:spPr>
                </pic:pic>
              </a:graphicData>
            </a:graphic>
          </wp:inline>
        </w:drawing>
      </w:r>
    </w:p>
    <w:p w14:paraId="28011D51" w14:textId="77777777" w:rsidR="00AB1DDB" w:rsidRDefault="00D815AB">
      <w:pPr>
        <w:pStyle w:val="SuppCaption"/>
        <w:spacing w:after="0" w:line="480" w:lineRule="auto"/>
      </w:pPr>
      <w:r>
        <w:t xml:space="preserve">GO-term distribution of Sample 1-specific proteins from the </w:t>
      </w:r>
      <w:r>
        <w:rPr>
          <w:i/>
        </w:rPr>
        <w:t>Pgnt</w:t>
      </w:r>
      <w:r>
        <w:t>-group DNA pull-down analysis.</w:t>
      </w:r>
    </w:p>
    <w:p w14:paraId="4DCE6286" w14:textId="77777777" w:rsidR="00AB1DDB" w:rsidRDefault="00AB1DDB">
      <w:pPr>
        <w:spacing w:after="0" w:line="480" w:lineRule="auto"/>
      </w:pPr>
    </w:p>
    <w:p w14:paraId="01A68E11" w14:textId="77777777" w:rsidR="00AB1DDB" w:rsidRDefault="00D815AB">
      <w:pPr>
        <w:pStyle w:val="SuppFigure"/>
        <w:keepNext/>
        <w:spacing w:after="0" w:line="480" w:lineRule="auto"/>
      </w:pPr>
      <w:r>
        <w:lastRenderedPageBreak/>
        <w:t xml:space="preserve">Supplementary Figure S9. </w:t>
      </w:r>
      <w:r>
        <w:rPr>
          <w:i/>
        </w:rPr>
        <w:t>Pgnt</w:t>
      </w:r>
      <w:r>
        <w:t>-group pathway composition.</w:t>
      </w:r>
    </w:p>
    <w:p w14:paraId="6DA4DE6A" w14:textId="77777777" w:rsidR="00AB1DDB" w:rsidRDefault="00D815AB">
      <w:pPr>
        <w:spacing w:after="0" w:line="480" w:lineRule="auto"/>
        <w:jc w:val="center"/>
      </w:pPr>
      <w:r>
        <w:rPr>
          <w:noProof/>
        </w:rPr>
        <w:drawing>
          <wp:inline distT="0" distB="0" distL="0" distR="0" wp14:anchorId="5F25B329" wp14:editId="44570AE7">
            <wp:extent cx="5580000" cy="3217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7.png"/>
                    <pic:cNvPicPr/>
                  </pic:nvPicPr>
                  <pic:blipFill>
                    <a:blip r:embed="rId16"/>
                    <a:stretch>
                      <a:fillRect/>
                    </a:stretch>
                  </pic:blipFill>
                  <pic:spPr>
                    <a:xfrm>
                      <a:off x="0" y="0"/>
                      <a:ext cx="5580000" cy="3217531"/>
                    </a:xfrm>
                    <a:prstGeom prst="rect">
                      <a:avLst/>
                    </a:prstGeom>
                  </pic:spPr>
                </pic:pic>
              </a:graphicData>
            </a:graphic>
          </wp:inline>
        </w:drawing>
      </w:r>
    </w:p>
    <w:p w14:paraId="68F58A35" w14:textId="77777777" w:rsidR="00AB1DDB" w:rsidRDefault="00D815AB">
      <w:pPr>
        <w:pStyle w:val="SuppCaption"/>
        <w:spacing w:after="0" w:line="480" w:lineRule="auto"/>
      </w:pPr>
      <w:r>
        <w:t>Pathway-composition summary for Sample 1.</w:t>
      </w:r>
    </w:p>
    <w:p w14:paraId="2EC408D1" w14:textId="77777777" w:rsidR="00AB1DDB" w:rsidRDefault="00D815AB">
      <w:pPr>
        <w:spacing w:after="0" w:line="480" w:lineRule="auto"/>
      </w:pPr>
      <w:r>
        <w:br w:type="page"/>
      </w:r>
    </w:p>
    <w:p w14:paraId="3193138B" w14:textId="77777777" w:rsidR="00AB1DDB" w:rsidRDefault="00D815AB">
      <w:pPr>
        <w:pStyle w:val="SuppFigure"/>
        <w:keepNext/>
        <w:spacing w:after="0" w:line="480" w:lineRule="auto"/>
      </w:pPr>
      <w:r>
        <w:lastRenderedPageBreak/>
        <w:t xml:space="preserve">Supplementary Figure S10. </w:t>
      </w:r>
      <w:r>
        <w:rPr>
          <w:i/>
        </w:rPr>
        <w:t>Pgnt</w:t>
      </w:r>
      <w:r>
        <w:t>-group protein interaction network.</w:t>
      </w:r>
    </w:p>
    <w:p w14:paraId="72617843" w14:textId="77777777" w:rsidR="00AB1DDB" w:rsidRDefault="00D815AB">
      <w:pPr>
        <w:spacing w:after="0" w:line="480" w:lineRule="auto"/>
        <w:jc w:val="center"/>
      </w:pPr>
      <w:r>
        <w:rPr>
          <w:noProof/>
        </w:rPr>
        <w:drawing>
          <wp:inline distT="0" distB="0" distL="0" distR="0" wp14:anchorId="5A4A260B" wp14:editId="69A263F0">
            <wp:extent cx="5580000" cy="594632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8.png"/>
                    <pic:cNvPicPr/>
                  </pic:nvPicPr>
                  <pic:blipFill>
                    <a:blip r:embed="rId17"/>
                    <a:stretch>
                      <a:fillRect/>
                    </a:stretch>
                  </pic:blipFill>
                  <pic:spPr>
                    <a:xfrm>
                      <a:off x="0" y="0"/>
                      <a:ext cx="5580000" cy="5946326"/>
                    </a:xfrm>
                    <a:prstGeom prst="rect">
                      <a:avLst/>
                    </a:prstGeom>
                  </pic:spPr>
                </pic:pic>
              </a:graphicData>
            </a:graphic>
          </wp:inline>
        </w:drawing>
      </w:r>
    </w:p>
    <w:p w14:paraId="204F8818" w14:textId="77777777" w:rsidR="00AB1DDB" w:rsidRDefault="00D815AB">
      <w:pPr>
        <w:pStyle w:val="SuppCaption"/>
        <w:spacing w:after="0" w:line="480" w:lineRule="auto"/>
      </w:pPr>
      <w:r>
        <w:t>Interaction-network view for Sample 1.</w:t>
      </w:r>
    </w:p>
    <w:p w14:paraId="2624CDF9" w14:textId="77777777" w:rsidR="00D339FE" w:rsidRDefault="00D339FE">
      <w:pPr>
        <w:pStyle w:val="SuppFigure"/>
        <w:spacing w:after="0" w:line="480" w:lineRule="auto"/>
      </w:pPr>
    </w:p>
    <w:p w14:paraId="6CFE8758" w14:textId="77777777" w:rsidR="00D339FE" w:rsidRDefault="00D339FE">
      <w:pPr>
        <w:spacing w:after="0" w:line="480" w:lineRule="auto"/>
        <w:rPr>
          <w:rFonts w:ascii="Cambria" w:eastAsiaTheme="minorEastAsia" w:hAnsi="Cambria"/>
          <w:b/>
          <w:color w:val="1F3B64"/>
          <w:sz w:val="27"/>
        </w:rPr>
      </w:pPr>
      <w:r>
        <w:br w:type="page"/>
      </w:r>
    </w:p>
    <w:p w14:paraId="7B9B3C84" w14:textId="77777777" w:rsidR="00AB1DDB" w:rsidRDefault="00D815AB">
      <w:pPr>
        <w:pStyle w:val="SuppFigure"/>
        <w:spacing w:after="0" w:line="480" w:lineRule="auto"/>
      </w:pPr>
      <w:r>
        <w:lastRenderedPageBreak/>
        <w:t xml:space="preserve">Supplementary Figure S11. Preliminary EMSA analysis of CRP with a </w:t>
      </w:r>
      <w:r>
        <w:rPr>
          <w:i/>
        </w:rPr>
        <w:t>Pgnt</w:t>
      </w:r>
      <w:r>
        <w:t>-derived DNA probe.</w:t>
      </w:r>
    </w:p>
    <w:p w14:paraId="0D6D9668" w14:textId="77777777" w:rsidR="00AB1DDB" w:rsidRDefault="00D815AB">
      <w:pPr>
        <w:spacing w:after="0" w:line="480" w:lineRule="auto"/>
        <w:jc w:val="center"/>
      </w:pPr>
      <w:r>
        <w:rPr>
          <w:noProof/>
        </w:rPr>
        <w:drawing>
          <wp:inline distT="0" distB="0" distL="0" distR="0" wp14:anchorId="15E0D644" wp14:editId="6D88ADA4">
            <wp:extent cx="3063240" cy="184088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948E31@819FCD3(04-26-17-52-07).jpg"/>
                    <pic:cNvPicPr/>
                  </pic:nvPicPr>
                  <pic:blipFill>
                    <a:blip r:embed="rId18"/>
                    <a:stretch>
                      <a:fillRect/>
                    </a:stretch>
                  </pic:blipFill>
                  <pic:spPr>
                    <a:xfrm>
                      <a:off x="0" y="0"/>
                      <a:ext cx="3063240" cy="1840889"/>
                    </a:xfrm>
                    <a:prstGeom prst="rect">
                      <a:avLst/>
                    </a:prstGeom>
                  </pic:spPr>
                </pic:pic>
              </a:graphicData>
            </a:graphic>
          </wp:inline>
        </w:drawing>
      </w:r>
    </w:p>
    <w:p w14:paraId="402FD066" w14:textId="77777777" w:rsidR="00AB1DDB" w:rsidRDefault="00D815AB">
      <w:pPr>
        <w:pStyle w:val="SuppCaption"/>
        <w:spacing w:after="0" w:line="480" w:lineRule="auto"/>
      </w:pPr>
      <w:r>
        <w:t xml:space="preserve">Purified CRP was incubated with the labeled </w:t>
      </w:r>
      <w:r>
        <w:rPr>
          <w:i/>
        </w:rPr>
        <w:t>Pgnt</w:t>
      </w:r>
      <w:r>
        <w:t>-derived probe FZSWY018-2 and analyzed by native gel electrophoresis. Lane 1, probe only; lanes 2-5, probe plus 0.5, 2, 5 and 10 µg CRP, respectively. Each reaction contained 50 ng labeled probe and 2 µg salmon sperm DNA.</w:t>
      </w:r>
    </w:p>
    <w:p w14:paraId="055AB0E0" w14:textId="77777777" w:rsidR="00AB1DDB" w:rsidRDefault="00D815AB">
      <w:pPr>
        <w:spacing w:after="0" w:line="480" w:lineRule="auto"/>
      </w:pPr>
      <w:r>
        <w:br w:type="page"/>
      </w:r>
    </w:p>
    <w:p w14:paraId="0340305C" w14:textId="77777777" w:rsidR="00FA0455" w:rsidRDefault="00FF2E54">
      <w:pPr>
        <w:pStyle w:val="SuppSection"/>
        <w:spacing w:after="0" w:line="480" w:lineRule="auto"/>
      </w:pPr>
      <w:r>
        <w:rPr>
          <w:rFonts w:ascii="Arial" w:eastAsia="Arial" w:hAnsi="Arial"/>
          <w:sz w:val="22"/>
        </w:rPr>
        <w:lastRenderedPageBreak/>
        <w:t>Section III. CRP-assisted platform construction and validation</w:t>
      </w:r>
    </w:p>
    <w:p w14:paraId="508BE8A0" w14:textId="77777777" w:rsidR="00FA0455" w:rsidRDefault="00FF2E54">
      <w:pPr>
        <w:pStyle w:val="SuppFigure"/>
        <w:spacing w:after="0" w:line="480" w:lineRule="auto"/>
      </w:pPr>
      <w:r>
        <w:t>Supplementary Figure S12. Raw PCR gel for Δ</w:t>
      </w:r>
      <w:r>
        <w:rPr>
          <w:i/>
        </w:rPr>
        <w:t>kfiC</w:t>
      </w:r>
      <w:r>
        <w:t xml:space="preserve"> validation.</w:t>
      </w:r>
    </w:p>
    <w:p w14:paraId="22682C9A" w14:textId="77777777" w:rsidR="00FA0455" w:rsidRDefault="00FF2E54">
      <w:pPr>
        <w:spacing w:after="0" w:line="480" w:lineRule="auto"/>
      </w:pPr>
      <w:r>
        <w:rPr>
          <w:noProof/>
        </w:rPr>
        <w:drawing>
          <wp:inline distT="0" distB="0" distL="0" distR="0" wp14:anchorId="2F7A5C99" wp14:editId="043F2257">
            <wp:extent cx="4572000" cy="4572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19"/>
                    <a:stretch>
                      <a:fillRect/>
                    </a:stretch>
                  </pic:blipFill>
                  <pic:spPr>
                    <a:xfrm>
                      <a:off x="0" y="0"/>
                      <a:ext cx="4572000" cy="4572000"/>
                    </a:xfrm>
                    <a:prstGeom prst="rect">
                      <a:avLst/>
                    </a:prstGeom>
                  </pic:spPr>
                </pic:pic>
              </a:graphicData>
            </a:graphic>
          </wp:inline>
        </w:drawing>
      </w:r>
    </w:p>
    <w:p w14:paraId="1183DEB3" w14:textId="77777777" w:rsidR="00FA0455" w:rsidRDefault="00FF2E54">
      <w:pPr>
        <w:pStyle w:val="SuppCaption"/>
        <w:spacing w:after="0" w:line="480" w:lineRule="auto"/>
      </w:pPr>
      <w:r>
        <w:t>Lane M, DNA marker (250-10000 bp); lane 1, K5 wild-type fragment; lane 2, K5A fragment; lane 3, K5AC fragment.</w:t>
      </w:r>
    </w:p>
    <w:p w14:paraId="0B0328D6" w14:textId="77777777" w:rsidR="00FA0455" w:rsidRDefault="00FF2E54">
      <w:pPr>
        <w:spacing w:after="0" w:line="480" w:lineRule="auto"/>
      </w:pPr>
      <w:r>
        <w:br w:type="page"/>
      </w:r>
    </w:p>
    <w:p w14:paraId="134248E0" w14:textId="77777777" w:rsidR="00FA0455" w:rsidRPr="00386FF4" w:rsidRDefault="00FF2E54">
      <w:pPr>
        <w:spacing w:after="0" w:line="480" w:lineRule="auto"/>
        <w:rPr>
          <w:b/>
          <w:color w:val="1F3B64"/>
          <w:sz w:val="27"/>
        </w:rPr>
      </w:pPr>
      <w:r w:rsidRPr="00386FF4">
        <w:rPr>
          <w:b/>
          <w:color w:val="1F3B64"/>
          <w:sz w:val="27"/>
        </w:rPr>
        <w:lastRenderedPageBreak/>
        <w:t>Supplementary Data S1. NaKfiA benchmark coding-sequence records used for Figure 3 platform validation</w:t>
      </w:r>
    </w:p>
    <w:p w14:paraId="70F27684" w14:textId="77777777" w:rsidR="00FA0455" w:rsidRDefault="00FF2E54">
      <w:pPr>
        <w:spacing w:after="0" w:line="480" w:lineRule="auto"/>
      </w:pPr>
      <w:r>
        <w:rPr>
          <w:sz w:val="18"/>
        </w:rPr>
        <w:t xml:space="preserve">This standalone supplementary data item provides the coding-sequence records for the five NaKfiA benchmark variants used to validate the CRP-assisted Pgnt selection platform in Figure 3. Coding sequences are shown in the 5'-to-3' orientation and formatted as FASTA-style records to facilitate direct sequence checking, primer design, and construct verification. Protein-level annotations are limited to the benchmark substitution and mutant codon supplied with the construct records; the corresponding constructs pair each NaKfiA variant with </w:t>
      </w:r>
      <w:r>
        <w:rPr>
          <w:i/>
          <w:iCs/>
          <w:sz w:val="18"/>
        </w:rPr>
        <w:t>kfiC</w:t>
      </w:r>
      <w:r>
        <w:rPr>
          <w:sz w:val="18"/>
        </w:rPr>
        <w:t xml:space="preserve"> on the pACYC_P34_NaKfiA(mut)_P34_</w:t>
      </w:r>
      <w:r>
        <w:rPr>
          <w:i/>
          <w:iCs/>
          <w:sz w:val="18"/>
        </w:rPr>
        <w:t>kfiC</w:t>
      </w:r>
      <w:r>
        <w:rPr>
          <w:sz w:val="18"/>
        </w:rPr>
        <w:t xml:space="preserve"> plasmid.</w:t>
      </w:r>
    </w:p>
    <w:p w14:paraId="20B98830" w14:textId="77777777" w:rsidR="00FA0455" w:rsidRDefault="00FF2E54">
      <w:pPr>
        <w:spacing w:after="0" w:line="480" w:lineRule="auto"/>
      </w:pPr>
      <w:r>
        <w:rPr>
          <w:b/>
          <w:sz w:val="18"/>
        </w:rPr>
        <w:t>Supplementary Data S1A. Summary of NaKfiA benchmark sequence records.</w:t>
      </w:r>
    </w:p>
    <w:tbl>
      <w:tblPr>
        <w:tblW w:w="0" w:type="auto"/>
        <w:jc w:val="center"/>
        <w:tblLook w:val="04A0" w:firstRow="1" w:lastRow="0" w:firstColumn="1" w:lastColumn="0" w:noHBand="0" w:noVBand="1"/>
      </w:tblPr>
      <w:tblGrid>
        <w:gridCol w:w="1728"/>
        <w:gridCol w:w="1728"/>
        <w:gridCol w:w="2026"/>
        <w:gridCol w:w="1728"/>
        <w:gridCol w:w="1728"/>
      </w:tblGrid>
      <w:tr w:rsidR="00FA0455" w14:paraId="5FB6C746" w14:textId="77777777">
        <w:trPr>
          <w:cantSplit/>
          <w:jc w:val="center"/>
        </w:trPr>
        <w:tc>
          <w:tcPr>
            <w:tcW w:w="1728" w:type="dxa"/>
            <w:shd w:val="clear" w:color="auto" w:fill="E9EEF5"/>
          </w:tcPr>
          <w:p w14:paraId="08AA5203" w14:textId="77777777" w:rsidR="00FA0455" w:rsidRDefault="00FF2E54">
            <w:pPr>
              <w:spacing w:after="0" w:line="480" w:lineRule="auto"/>
            </w:pPr>
            <w:r>
              <w:rPr>
                <w:b/>
                <w:sz w:val="16"/>
              </w:rPr>
              <w:t>Variant</w:t>
            </w:r>
          </w:p>
        </w:tc>
        <w:tc>
          <w:tcPr>
            <w:tcW w:w="1728" w:type="dxa"/>
            <w:shd w:val="clear" w:color="auto" w:fill="E9EEF5"/>
          </w:tcPr>
          <w:p w14:paraId="0918F5E4" w14:textId="77777777" w:rsidR="00FA0455" w:rsidRDefault="00FF2E54">
            <w:pPr>
              <w:spacing w:after="0" w:line="480" w:lineRule="auto"/>
            </w:pPr>
            <w:r>
              <w:rPr>
                <w:b/>
                <w:sz w:val="16"/>
              </w:rPr>
              <w:t>Benchmark substitution / codon</w:t>
            </w:r>
          </w:p>
        </w:tc>
        <w:tc>
          <w:tcPr>
            <w:tcW w:w="1728" w:type="dxa"/>
            <w:shd w:val="clear" w:color="auto" w:fill="E9EEF5"/>
          </w:tcPr>
          <w:p w14:paraId="1D9DD32B" w14:textId="77777777" w:rsidR="00FA0455" w:rsidRDefault="00FF2E54">
            <w:pPr>
              <w:spacing w:after="0" w:line="480" w:lineRule="auto"/>
            </w:pPr>
            <w:r>
              <w:rPr>
                <w:b/>
                <w:sz w:val="16"/>
              </w:rPr>
              <w:t>Source header(s)</w:t>
            </w:r>
          </w:p>
        </w:tc>
        <w:tc>
          <w:tcPr>
            <w:tcW w:w="1728" w:type="dxa"/>
            <w:shd w:val="clear" w:color="auto" w:fill="E9EEF5"/>
          </w:tcPr>
          <w:p w14:paraId="4ABAD9F5" w14:textId="77777777" w:rsidR="00FA0455" w:rsidRDefault="00FF2E54">
            <w:pPr>
              <w:spacing w:after="0" w:line="480" w:lineRule="auto"/>
            </w:pPr>
            <w:r>
              <w:rPr>
                <w:b/>
                <w:sz w:val="16"/>
              </w:rPr>
              <w:t>CDS length (bp)</w:t>
            </w:r>
          </w:p>
        </w:tc>
        <w:tc>
          <w:tcPr>
            <w:tcW w:w="1728" w:type="dxa"/>
            <w:shd w:val="clear" w:color="auto" w:fill="E9EEF5"/>
          </w:tcPr>
          <w:p w14:paraId="7D4874D3" w14:textId="77777777" w:rsidR="00FA0455" w:rsidRDefault="00FF2E54">
            <w:pPr>
              <w:spacing w:after="0" w:line="480" w:lineRule="auto"/>
            </w:pPr>
            <w:r>
              <w:rPr>
                <w:b/>
                <w:sz w:val="16"/>
              </w:rPr>
              <w:t>Figure 3 use</w:t>
            </w:r>
          </w:p>
        </w:tc>
      </w:tr>
      <w:tr w:rsidR="00FA0455" w14:paraId="6FCDAADC" w14:textId="77777777">
        <w:trPr>
          <w:cantSplit/>
          <w:jc w:val="center"/>
        </w:trPr>
        <w:tc>
          <w:tcPr>
            <w:tcW w:w="1728" w:type="dxa"/>
          </w:tcPr>
          <w:p w14:paraId="0207B5C1" w14:textId="77777777" w:rsidR="00FA0455" w:rsidRDefault="00FF2E54">
            <w:pPr>
              <w:spacing w:after="0" w:line="480" w:lineRule="auto"/>
            </w:pPr>
            <w:r>
              <w:rPr>
                <w:sz w:val="16"/>
              </w:rPr>
              <w:t>T108Y</w:t>
            </w:r>
          </w:p>
        </w:tc>
        <w:tc>
          <w:tcPr>
            <w:tcW w:w="1728" w:type="dxa"/>
          </w:tcPr>
          <w:p w14:paraId="7CD4611C" w14:textId="77777777" w:rsidR="00FA0455" w:rsidRDefault="00FF2E54">
            <w:pPr>
              <w:spacing w:after="0" w:line="480" w:lineRule="auto"/>
            </w:pPr>
            <w:r>
              <w:rPr>
                <w:sz w:val="16"/>
              </w:rPr>
              <w:t>T108Y; mutant codon TAT</w:t>
            </w:r>
          </w:p>
        </w:tc>
        <w:tc>
          <w:tcPr>
            <w:tcW w:w="1728" w:type="dxa"/>
          </w:tcPr>
          <w:p w14:paraId="7A9E719F" w14:textId="77777777" w:rsidR="00FA0455" w:rsidRDefault="00FF2E54">
            <w:pPr>
              <w:spacing w:after="0" w:line="480" w:lineRule="auto"/>
            </w:pPr>
            <w:r>
              <w:rPr>
                <w:sz w:val="16"/>
              </w:rPr>
              <w:t>NaKfiA_T108Y; NaKfiA_T108Y</w:t>
            </w:r>
          </w:p>
        </w:tc>
        <w:tc>
          <w:tcPr>
            <w:tcW w:w="1728" w:type="dxa"/>
          </w:tcPr>
          <w:p w14:paraId="2B79DAAC" w14:textId="77777777" w:rsidR="00FA0455" w:rsidRDefault="00FF2E54">
            <w:pPr>
              <w:spacing w:after="0" w:line="480" w:lineRule="auto"/>
            </w:pPr>
            <w:r>
              <w:rPr>
                <w:sz w:val="16"/>
              </w:rPr>
              <w:t>753</w:t>
            </w:r>
          </w:p>
        </w:tc>
        <w:tc>
          <w:tcPr>
            <w:tcW w:w="1728" w:type="dxa"/>
          </w:tcPr>
          <w:p w14:paraId="7CC6C056" w14:textId="77777777" w:rsidR="00FA0455" w:rsidRDefault="00FF2E54">
            <w:pPr>
              <w:spacing w:after="0" w:line="480" w:lineRule="auto"/>
            </w:pPr>
            <w:r>
              <w:rPr>
                <w:sz w:val="16"/>
              </w:rPr>
              <w:t>Activity-gradient benchmark variant for circuit validation.</w:t>
            </w:r>
          </w:p>
        </w:tc>
      </w:tr>
      <w:tr w:rsidR="00FA0455" w14:paraId="1E624ADB" w14:textId="77777777">
        <w:trPr>
          <w:cantSplit/>
          <w:jc w:val="center"/>
        </w:trPr>
        <w:tc>
          <w:tcPr>
            <w:tcW w:w="1728" w:type="dxa"/>
          </w:tcPr>
          <w:p w14:paraId="4020B16F" w14:textId="77777777" w:rsidR="00FA0455" w:rsidRDefault="00FF2E54">
            <w:pPr>
              <w:spacing w:after="0" w:line="480" w:lineRule="auto"/>
            </w:pPr>
            <w:r>
              <w:rPr>
                <w:sz w:val="16"/>
              </w:rPr>
              <w:t>I76V</w:t>
            </w:r>
          </w:p>
        </w:tc>
        <w:tc>
          <w:tcPr>
            <w:tcW w:w="1728" w:type="dxa"/>
          </w:tcPr>
          <w:p w14:paraId="4143BE60" w14:textId="77777777" w:rsidR="00FA0455" w:rsidRDefault="00FF2E54">
            <w:pPr>
              <w:spacing w:after="0" w:line="480" w:lineRule="auto"/>
            </w:pPr>
            <w:r>
              <w:rPr>
                <w:sz w:val="16"/>
              </w:rPr>
              <w:t>I76V; mutant codon GTA</w:t>
            </w:r>
          </w:p>
        </w:tc>
        <w:tc>
          <w:tcPr>
            <w:tcW w:w="1728" w:type="dxa"/>
          </w:tcPr>
          <w:p w14:paraId="5EEB348D" w14:textId="77777777" w:rsidR="00FA0455" w:rsidRDefault="00FF2E54">
            <w:pPr>
              <w:spacing w:after="0" w:line="480" w:lineRule="auto"/>
            </w:pPr>
            <w:r>
              <w:rPr>
                <w:sz w:val="16"/>
              </w:rPr>
              <w:t>pET30a(+)_NaKfiA_I76V; pET30a(+)_NaKfiA_I76V</w:t>
            </w:r>
          </w:p>
        </w:tc>
        <w:tc>
          <w:tcPr>
            <w:tcW w:w="1728" w:type="dxa"/>
          </w:tcPr>
          <w:p w14:paraId="004BF099" w14:textId="77777777" w:rsidR="00FA0455" w:rsidRDefault="00FF2E54">
            <w:pPr>
              <w:spacing w:after="0" w:line="480" w:lineRule="auto"/>
            </w:pPr>
            <w:r>
              <w:rPr>
                <w:sz w:val="16"/>
              </w:rPr>
              <w:t>753</w:t>
            </w:r>
          </w:p>
        </w:tc>
        <w:tc>
          <w:tcPr>
            <w:tcW w:w="1728" w:type="dxa"/>
          </w:tcPr>
          <w:p w14:paraId="7C59DC38" w14:textId="77777777" w:rsidR="00FA0455" w:rsidRDefault="00FF2E54">
            <w:pPr>
              <w:spacing w:after="0" w:line="480" w:lineRule="auto"/>
            </w:pPr>
            <w:r>
              <w:rPr>
                <w:sz w:val="16"/>
              </w:rPr>
              <w:t>Activity-gradient benchmark variant for circuit validation.</w:t>
            </w:r>
          </w:p>
        </w:tc>
      </w:tr>
      <w:tr w:rsidR="00FA0455" w14:paraId="788A0B32" w14:textId="77777777">
        <w:trPr>
          <w:cantSplit/>
          <w:jc w:val="center"/>
        </w:trPr>
        <w:tc>
          <w:tcPr>
            <w:tcW w:w="1728" w:type="dxa"/>
          </w:tcPr>
          <w:p w14:paraId="3BDE74D2" w14:textId="77777777" w:rsidR="00FA0455" w:rsidRDefault="00FF2E54">
            <w:pPr>
              <w:spacing w:after="0" w:line="480" w:lineRule="auto"/>
            </w:pPr>
            <w:r>
              <w:rPr>
                <w:sz w:val="16"/>
              </w:rPr>
              <w:t>E74Y</w:t>
            </w:r>
          </w:p>
        </w:tc>
        <w:tc>
          <w:tcPr>
            <w:tcW w:w="1728" w:type="dxa"/>
          </w:tcPr>
          <w:p w14:paraId="60347E25" w14:textId="77777777" w:rsidR="00FA0455" w:rsidRDefault="00FF2E54">
            <w:pPr>
              <w:spacing w:after="0" w:line="480" w:lineRule="auto"/>
            </w:pPr>
            <w:r>
              <w:rPr>
                <w:sz w:val="16"/>
              </w:rPr>
              <w:t>E74Y; mutant codon TAT</w:t>
            </w:r>
          </w:p>
        </w:tc>
        <w:tc>
          <w:tcPr>
            <w:tcW w:w="1728" w:type="dxa"/>
          </w:tcPr>
          <w:p w14:paraId="58D833D2" w14:textId="77777777" w:rsidR="00FA0455" w:rsidRDefault="00FF2E54">
            <w:pPr>
              <w:spacing w:after="0" w:line="480" w:lineRule="auto"/>
            </w:pPr>
            <w:r>
              <w:rPr>
                <w:sz w:val="16"/>
              </w:rPr>
              <w:t>NaKfiA_E74Y; NaKfiA_E74Y</w:t>
            </w:r>
          </w:p>
        </w:tc>
        <w:tc>
          <w:tcPr>
            <w:tcW w:w="1728" w:type="dxa"/>
          </w:tcPr>
          <w:p w14:paraId="7948EC15" w14:textId="77777777" w:rsidR="00FA0455" w:rsidRDefault="00FF2E54">
            <w:pPr>
              <w:spacing w:after="0" w:line="480" w:lineRule="auto"/>
            </w:pPr>
            <w:r>
              <w:rPr>
                <w:sz w:val="16"/>
              </w:rPr>
              <w:t>753</w:t>
            </w:r>
          </w:p>
        </w:tc>
        <w:tc>
          <w:tcPr>
            <w:tcW w:w="1728" w:type="dxa"/>
          </w:tcPr>
          <w:p w14:paraId="7D95D7F0" w14:textId="77777777" w:rsidR="00FA0455" w:rsidRDefault="00FF2E54">
            <w:pPr>
              <w:spacing w:after="0" w:line="480" w:lineRule="auto"/>
            </w:pPr>
            <w:r>
              <w:rPr>
                <w:sz w:val="16"/>
              </w:rPr>
              <w:t>Activity-gradient benchmark variant for circuit validation.</w:t>
            </w:r>
          </w:p>
        </w:tc>
      </w:tr>
      <w:tr w:rsidR="00FA0455" w14:paraId="05731F76" w14:textId="77777777">
        <w:trPr>
          <w:cantSplit/>
          <w:jc w:val="center"/>
        </w:trPr>
        <w:tc>
          <w:tcPr>
            <w:tcW w:w="1728" w:type="dxa"/>
          </w:tcPr>
          <w:p w14:paraId="62DC647D" w14:textId="77777777" w:rsidR="00FA0455" w:rsidRDefault="00FF2E54">
            <w:pPr>
              <w:spacing w:after="0" w:line="480" w:lineRule="auto"/>
            </w:pPr>
            <w:r>
              <w:rPr>
                <w:sz w:val="16"/>
              </w:rPr>
              <w:t>WT/NaKfiA</w:t>
            </w:r>
          </w:p>
        </w:tc>
        <w:tc>
          <w:tcPr>
            <w:tcW w:w="1728" w:type="dxa"/>
          </w:tcPr>
          <w:p w14:paraId="3C07FBD5" w14:textId="77777777" w:rsidR="00FA0455" w:rsidRDefault="00FF2E54">
            <w:pPr>
              <w:spacing w:after="0" w:line="480" w:lineRule="auto"/>
            </w:pPr>
            <w:r>
              <w:rPr>
                <w:sz w:val="16"/>
              </w:rPr>
              <w:t>Reference NaKfiA sequence</w:t>
            </w:r>
          </w:p>
        </w:tc>
        <w:tc>
          <w:tcPr>
            <w:tcW w:w="1728" w:type="dxa"/>
          </w:tcPr>
          <w:p w14:paraId="1954EDDA" w14:textId="77777777" w:rsidR="00FA0455" w:rsidRDefault="00FF2E54">
            <w:pPr>
              <w:spacing w:after="0" w:line="480" w:lineRule="auto"/>
            </w:pPr>
            <w:r>
              <w:rPr>
                <w:sz w:val="16"/>
              </w:rPr>
              <w:t>NaKfiA; NaKfiA</w:t>
            </w:r>
          </w:p>
        </w:tc>
        <w:tc>
          <w:tcPr>
            <w:tcW w:w="1728" w:type="dxa"/>
          </w:tcPr>
          <w:p w14:paraId="6A358502" w14:textId="77777777" w:rsidR="00FA0455" w:rsidRDefault="00FF2E54">
            <w:pPr>
              <w:spacing w:after="0" w:line="480" w:lineRule="auto"/>
            </w:pPr>
            <w:r>
              <w:rPr>
                <w:sz w:val="16"/>
              </w:rPr>
              <w:t>774</w:t>
            </w:r>
          </w:p>
        </w:tc>
        <w:tc>
          <w:tcPr>
            <w:tcW w:w="1728" w:type="dxa"/>
          </w:tcPr>
          <w:p w14:paraId="223C7C23" w14:textId="77777777" w:rsidR="00FA0455" w:rsidRDefault="00FF2E54">
            <w:pPr>
              <w:spacing w:after="0" w:line="480" w:lineRule="auto"/>
            </w:pPr>
            <w:r>
              <w:rPr>
                <w:sz w:val="16"/>
              </w:rPr>
              <w:t>Parental NaKfiA reference in the benchmark panel.</w:t>
            </w:r>
          </w:p>
        </w:tc>
      </w:tr>
      <w:tr w:rsidR="00FA0455" w14:paraId="3607EF9C" w14:textId="77777777">
        <w:trPr>
          <w:cantSplit/>
          <w:jc w:val="center"/>
        </w:trPr>
        <w:tc>
          <w:tcPr>
            <w:tcW w:w="1728" w:type="dxa"/>
          </w:tcPr>
          <w:p w14:paraId="2C8AB60E" w14:textId="77777777" w:rsidR="00FA0455" w:rsidRDefault="00FF2E54">
            <w:pPr>
              <w:spacing w:after="0" w:line="480" w:lineRule="auto"/>
            </w:pPr>
            <w:r>
              <w:rPr>
                <w:sz w:val="16"/>
              </w:rPr>
              <w:t>S165K</w:t>
            </w:r>
          </w:p>
        </w:tc>
        <w:tc>
          <w:tcPr>
            <w:tcW w:w="1728" w:type="dxa"/>
          </w:tcPr>
          <w:p w14:paraId="6076F5CD" w14:textId="77777777" w:rsidR="00FA0455" w:rsidRDefault="00FF2E54">
            <w:pPr>
              <w:spacing w:after="0" w:line="480" w:lineRule="auto"/>
            </w:pPr>
            <w:r>
              <w:rPr>
                <w:sz w:val="16"/>
              </w:rPr>
              <w:t>S165K; mutant codon AAA</w:t>
            </w:r>
          </w:p>
        </w:tc>
        <w:tc>
          <w:tcPr>
            <w:tcW w:w="1728" w:type="dxa"/>
          </w:tcPr>
          <w:p w14:paraId="4EC09496" w14:textId="77777777" w:rsidR="00FA0455" w:rsidRDefault="00FF2E54">
            <w:pPr>
              <w:spacing w:after="0" w:line="480" w:lineRule="auto"/>
            </w:pPr>
            <w:r>
              <w:rPr>
                <w:sz w:val="16"/>
              </w:rPr>
              <w:t>NaKfiA_S165K; NaKfiA_S165K</w:t>
            </w:r>
          </w:p>
        </w:tc>
        <w:tc>
          <w:tcPr>
            <w:tcW w:w="1728" w:type="dxa"/>
          </w:tcPr>
          <w:p w14:paraId="4D111389" w14:textId="77777777" w:rsidR="00FA0455" w:rsidRDefault="00FF2E54">
            <w:pPr>
              <w:spacing w:after="0" w:line="480" w:lineRule="auto"/>
            </w:pPr>
            <w:r>
              <w:rPr>
                <w:sz w:val="16"/>
              </w:rPr>
              <w:t>753</w:t>
            </w:r>
          </w:p>
        </w:tc>
        <w:tc>
          <w:tcPr>
            <w:tcW w:w="1728" w:type="dxa"/>
          </w:tcPr>
          <w:p w14:paraId="23274ED4" w14:textId="77777777" w:rsidR="00FA0455" w:rsidRDefault="00FF2E54">
            <w:pPr>
              <w:spacing w:after="0" w:line="480" w:lineRule="auto"/>
            </w:pPr>
            <w:r>
              <w:rPr>
                <w:sz w:val="16"/>
              </w:rPr>
              <w:t>Highest-activity endpoint benchmark enriched in mixed-population serial passage.</w:t>
            </w:r>
          </w:p>
        </w:tc>
      </w:tr>
    </w:tbl>
    <w:p w14:paraId="69801048" w14:textId="77777777" w:rsidR="00FA0455" w:rsidRPr="00386FF4" w:rsidRDefault="00FF2E54">
      <w:pPr>
        <w:spacing w:after="0" w:line="480" w:lineRule="auto"/>
        <w:rPr>
          <w:b/>
          <w:color w:val="1F3B64"/>
          <w:sz w:val="27"/>
        </w:rPr>
      </w:pPr>
      <w:r w:rsidRPr="00386FF4">
        <w:rPr>
          <w:b/>
          <w:color w:val="1F3B64"/>
          <w:sz w:val="27"/>
        </w:rPr>
        <w:t>Supplementary Data S1B. FASTA-style coding-sequence records.</w:t>
      </w:r>
    </w:p>
    <w:p w14:paraId="70FD8779" w14:textId="77777777" w:rsidR="00FA0455" w:rsidRDefault="00FF2E54">
      <w:pPr>
        <w:spacing w:after="0" w:line="480" w:lineRule="auto"/>
      </w:pPr>
      <w:r>
        <w:rPr>
          <w:b/>
          <w:sz w:val="18"/>
        </w:rPr>
        <w:t>T108Y</w:t>
      </w:r>
    </w:p>
    <w:p w14:paraId="49432DAF" w14:textId="77777777" w:rsidR="00FA0455" w:rsidRDefault="00FF2E54">
      <w:pPr>
        <w:shd w:val="clear" w:color="auto" w:fill="F7F7F7"/>
        <w:spacing w:after="0" w:line="480" w:lineRule="auto"/>
        <w:ind w:left="259"/>
      </w:pPr>
      <w:r>
        <w:rPr>
          <w:rFonts w:ascii="Courier New" w:eastAsia="Courier New" w:hAnsi="Courier New"/>
          <w:b/>
          <w:sz w:val="15"/>
        </w:rPr>
        <w:t>&gt;T108Y | T108Y; mutant codon TAT | source=NaKfiA_T108Y; NaKfiA_T108Y | length=753 bp</w:t>
      </w:r>
      <w:r>
        <w:rPr>
          <w:rFonts w:ascii="Courier New" w:eastAsia="Courier New" w:hAnsi="Courier New"/>
          <w:b/>
          <w:sz w:val="15"/>
        </w:rPr>
        <w:br/>
      </w:r>
      <w:r>
        <w:rPr>
          <w:rFonts w:ascii="Courier New" w:eastAsia="Courier New" w:hAnsi="Courier New"/>
          <w:sz w:val="15"/>
        </w:rPr>
        <w:t>ATGATAATAGCTAATATGGCAACATTTCCCGCTAGGGTAGAAATATGTAAACAAGTGGTTGATAGC</w:t>
      </w:r>
      <w:r>
        <w:rPr>
          <w:rFonts w:ascii="Courier New" w:eastAsia="Courier New" w:hAnsi="Courier New"/>
          <w:sz w:val="15"/>
        </w:rPr>
        <w:br/>
        <w:t>ATCTACAACCAGGTTGACCAAATTAACCTGTGCTTCAACGAGTTTAAGCAGATCCCGAAAGAATAC</w:t>
      </w:r>
      <w:r>
        <w:rPr>
          <w:rFonts w:ascii="Courier New" w:eastAsia="Courier New" w:hAnsi="Courier New"/>
          <w:sz w:val="15"/>
        </w:rPr>
        <w:br/>
        <w:t>GCGAAGTATCACAAACTGAACCCGGTGATTCCGGATACCGACTATAAGGATGTTGGTAAATTTGTG</w:t>
      </w:r>
      <w:r>
        <w:rPr>
          <w:rFonts w:ascii="Courier New" w:eastAsia="Courier New" w:hAnsi="Courier New"/>
          <w:sz w:val="15"/>
        </w:rPr>
        <w:br/>
        <w:t>CACAAAGTTAGCGATAACGACGAGGTGATCCTGATTGACGATGACATCATTTACCCGCGTGACTAT</w:t>
      </w:r>
      <w:r>
        <w:rPr>
          <w:rFonts w:ascii="Courier New" w:eastAsia="Courier New" w:hAnsi="Courier New"/>
          <w:sz w:val="15"/>
        </w:rPr>
        <w:br/>
      </w:r>
      <w:r>
        <w:rPr>
          <w:rFonts w:ascii="Courier New" w:eastAsia="Courier New" w:hAnsi="Courier New"/>
          <w:sz w:val="15"/>
        </w:rPr>
        <w:lastRenderedPageBreak/>
        <w:t>GTGGAAGTTCTGCGTTACTTCTATAAGAAATACCAACACCTGAACATCATTGTTGGTTATCACGGC</w:t>
      </w:r>
      <w:r>
        <w:rPr>
          <w:rFonts w:ascii="Courier New" w:eastAsia="Courier New" w:hAnsi="Courier New"/>
          <w:sz w:val="15"/>
        </w:rPr>
        <w:br/>
        <w:t>ATCATTTACCCGGATCTGTATGACGGCAGCGTGAGCAGCCGTAAGGTTTTCACCTTTAAACACAGC</w:t>
      </w:r>
      <w:r>
        <w:rPr>
          <w:rFonts w:ascii="Courier New" w:eastAsia="Courier New" w:hAnsi="Courier New"/>
          <w:sz w:val="15"/>
        </w:rPr>
        <w:br/>
        <w:t>CTGAAGCGTCCGCGTGTGGTTAACCAGCTGGGTACCGGCACCGTGTACCTGAAAGGTAGCCAAATG</w:t>
      </w:r>
      <w:r>
        <w:rPr>
          <w:rFonts w:ascii="Courier New" w:eastAsia="Courier New" w:hAnsi="Courier New"/>
          <w:sz w:val="15"/>
        </w:rPr>
        <w:br/>
        <w:t>CCGAGCCTGGAGTATATGAAGGGCAGCCAGAGCTTCGTGGATGTTCGTTTTAGCAAATACATGTTC</w:t>
      </w:r>
      <w:r>
        <w:rPr>
          <w:rFonts w:ascii="Courier New" w:eastAsia="Courier New" w:hAnsi="Courier New"/>
          <w:sz w:val="15"/>
        </w:rPr>
        <w:br/>
        <w:t>GAAAAGGGTATCGGCCTGATCTGCATTCCGCGTGGTGCGGATTGGCAAAAGGAGATCAAACAGGAA</w:t>
      </w:r>
      <w:r>
        <w:rPr>
          <w:rFonts w:ascii="Courier New" w:eastAsia="Courier New" w:hAnsi="Courier New"/>
          <w:sz w:val="15"/>
        </w:rPr>
        <w:br/>
        <w:t>GACAGCATTTTCAACAACTTTACCAGCAAATGGCCGATGCAGGTGATCCAAGAAGTTCAGATCATT</w:t>
      </w:r>
      <w:r>
        <w:rPr>
          <w:rFonts w:ascii="Courier New" w:eastAsia="Courier New" w:hAnsi="Courier New"/>
          <w:sz w:val="15"/>
        </w:rPr>
        <w:br/>
        <w:t>GCGGGCTATAGCAAGCTGCCGTTTAACCTGGTTAAAGAGATTGAATTCAACAAGGACAGCCTGCTG</w:t>
      </w:r>
      <w:r>
        <w:rPr>
          <w:rFonts w:ascii="Courier New" w:eastAsia="Courier New" w:hAnsi="Courier New"/>
          <w:sz w:val="15"/>
        </w:rPr>
        <w:br/>
        <w:t>ATGAGCCAACACCACCACCACCACCAC</w:t>
      </w:r>
      <w:r>
        <w:rPr>
          <w:rFonts w:ascii="Courier New" w:eastAsia="Courier New" w:hAnsi="Courier New"/>
          <w:sz w:val="15"/>
        </w:rPr>
        <w:br/>
      </w:r>
    </w:p>
    <w:p w14:paraId="313C6ED0" w14:textId="77777777" w:rsidR="00FA0455" w:rsidRDefault="00FF2E54">
      <w:pPr>
        <w:spacing w:after="0" w:line="480" w:lineRule="auto"/>
      </w:pPr>
      <w:r>
        <w:rPr>
          <w:b/>
          <w:sz w:val="18"/>
        </w:rPr>
        <w:t>I76V</w:t>
      </w:r>
    </w:p>
    <w:p w14:paraId="7673EC0A" w14:textId="77777777" w:rsidR="00FA0455" w:rsidRDefault="00FF2E54">
      <w:pPr>
        <w:shd w:val="clear" w:color="auto" w:fill="F7F7F7"/>
        <w:spacing w:after="0" w:line="480" w:lineRule="auto"/>
        <w:ind w:left="259"/>
      </w:pPr>
      <w:r>
        <w:rPr>
          <w:rFonts w:ascii="Courier New" w:eastAsia="Courier New" w:hAnsi="Courier New"/>
          <w:b/>
          <w:sz w:val="15"/>
        </w:rPr>
        <w:t>&gt;I76V | I76V; mutant codon GTA | source=pET30a(+)_NaKfiA_I76V; pET30a(+)_NaKfiA_I76V | length=753 bp</w:t>
      </w:r>
      <w:r>
        <w:rPr>
          <w:rFonts w:ascii="Courier New" w:eastAsia="Courier New" w:hAnsi="Courier New"/>
          <w:b/>
          <w:sz w:val="15"/>
        </w:rPr>
        <w:br/>
      </w:r>
      <w:r>
        <w:rPr>
          <w:rFonts w:ascii="Courier New" w:eastAsia="Courier New" w:hAnsi="Courier New"/>
          <w:sz w:val="15"/>
        </w:rPr>
        <w:t>ATGATAATAGCTAATATGGCAACATTTCCCGCTAGGGTAGAAATATGTAAACAAGTGGTTGATAGC</w:t>
      </w:r>
      <w:r>
        <w:rPr>
          <w:rFonts w:ascii="Courier New" w:eastAsia="Courier New" w:hAnsi="Courier New"/>
          <w:sz w:val="15"/>
        </w:rPr>
        <w:br/>
        <w:t>ATCTACAACCAGGTTGACCAAATTAACCTGTGCTTCAACGAGTTTAAGCAGATCCCGAAAGAATAC</w:t>
      </w:r>
      <w:r>
        <w:rPr>
          <w:rFonts w:ascii="Courier New" w:eastAsia="Courier New" w:hAnsi="Courier New"/>
          <w:sz w:val="15"/>
        </w:rPr>
        <w:br/>
        <w:t>GCGAAGTATCACAAACTGAACCCGGTGATTCCGGATACCGACTATAAGGATGTTGGTAAATTTGTG</w:t>
      </w:r>
      <w:r>
        <w:rPr>
          <w:rFonts w:ascii="Courier New" w:eastAsia="Courier New" w:hAnsi="Courier New"/>
          <w:sz w:val="15"/>
        </w:rPr>
        <w:br/>
        <w:t>CACAAAGTTAGCGATAACGACGAGGTGGTACTGATTGACGATGACATCATTTACCCGCGTGACTAT</w:t>
      </w:r>
      <w:r>
        <w:rPr>
          <w:rFonts w:ascii="Courier New" w:eastAsia="Courier New" w:hAnsi="Courier New"/>
          <w:sz w:val="15"/>
        </w:rPr>
        <w:br/>
        <w:t>GTGGAAGTTCTGCGTTACTTCTATAAGAAATACCAACACCTGAACATCATTGTTGGTACCCACGGC</w:t>
      </w:r>
      <w:r>
        <w:rPr>
          <w:rFonts w:ascii="Courier New" w:eastAsia="Courier New" w:hAnsi="Courier New"/>
          <w:sz w:val="15"/>
        </w:rPr>
        <w:br/>
        <w:t>ATCATTTACCCGGATCTGTATGACGGCAGCGTGAGCAGCCGTAAGGTTTTCACCTTTAAACACAGC</w:t>
      </w:r>
      <w:r>
        <w:rPr>
          <w:rFonts w:ascii="Courier New" w:eastAsia="Courier New" w:hAnsi="Courier New"/>
          <w:sz w:val="15"/>
        </w:rPr>
        <w:br/>
        <w:t>CTGAAGCGTCCGCGTGTGGTTAACCAGCTGGGTACCGGCACCGTGTACCTGAAAGGTAGCCAAATG</w:t>
      </w:r>
      <w:r>
        <w:rPr>
          <w:rFonts w:ascii="Courier New" w:eastAsia="Courier New" w:hAnsi="Courier New"/>
          <w:sz w:val="15"/>
        </w:rPr>
        <w:br/>
        <w:t>CCGAGCCTGGAGTATATGAAGGGCAGCCAGAGCTTCGTGGATGTTCGTTTTAGCAAATACATGTTC</w:t>
      </w:r>
      <w:r>
        <w:rPr>
          <w:rFonts w:ascii="Courier New" w:eastAsia="Courier New" w:hAnsi="Courier New"/>
          <w:sz w:val="15"/>
        </w:rPr>
        <w:br/>
        <w:t>GAAAAGGGTATCGGCCTGATCTGCATTCCGCGTGGTGCGGATTGGCAAAAGGAGATCAAACAGGAA</w:t>
      </w:r>
      <w:r>
        <w:rPr>
          <w:rFonts w:ascii="Courier New" w:eastAsia="Courier New" w:hAnsi="Courier New"/>
          <w:sz w:val="15"/>
        </w:rPr>
        <w:br/>
        <w:t>GACAGCATTTTCAACAACTTTACCAGCAAATGGCCGATGCAGGTGATCCAAGAAGTTCAGATCATT</w:t>
      </w:r>
      <w:r>
        <w:rPr>
          <w:rFonts w:ascii="Courier New" w:eastAsia="Courier New" w:hAnsi="Courier New"/>
          <w:sz w:val="15"/>
        </w:rPr>
        <w:br/>
        <w:t>GCGGGCTATAGCAAGCTGCCGTTTAACCTGGTTAAAGAGATTGAATTCAACAAGGACAGCCTGCTG</w:t>
      </w:r>
      <w:r>
        <w:rPr>
          <w:rFonts w:ascii="Courier New" w:eastAsia="Courier New" w:hAnsi="Courier New"/>
          <w:sz w:val="15"/>
        </w:rPr>
        <w:br/>
        <w:t>ATGAGCCAACACCACCACCACCACCAC</w:t>
      </w:r>
      <w:r>
        <w:rPr>
          <w:rFonts w:ascii="Courier New" w:eastAsia="Courier New" w:hAnsi="Courier New"/>
          <w:sz w:val="15"/>
        </w:rPr>
        <w:br/>
      </w:r>
    </w:p>
    <w:p w14:paraId="58332A9A" w14:textId="77777777" w:rsidR="00FA0455" w:rsidRDefault="00FF2E54">
      <w:pPr>
        <w:spacing w:after="0" w:line="480" w:lineRule="auto"/>
      </w:pPr>
      <w:r>
        <w:rPr>
          <w:b/>
          <w:sz w:val="18"/>
        </w:rPr>
        <w:t>E74Y</w:t>
      </w:r>
    </w:p>
    <w:p w14:paraId="3DF6303C" w14:textId="77777777" w:rsidR="00FA0455" w:rsidRDefault="00FF2E54">
      <w:pPr>
        <w:shd w:val="clear" w:color="auto" w:fill="F7F7F7"/>
        <w:spacing w:after="0" w:line="480" w:lineRule="auto"/>
        <w:ind w:left="259"/>
      </w:pPr>
      <w:r>
        <w:rPr>
          <w:rFonts w:ascii="Courier New" w:eastAsia="Courier New" w:hAnsi="Courier New"/>
          <w:b/>
          <w:sz w:val="15"/>
        </w:rPr>
        <w:t>&gt;E74Y | E74Y; mutant codon TAT | source=NaKfiA_E74Y; NaKfiA_E74Y | length=753 bp</w:t>
      </w:r>
      <w:r>
        <w:rPr>
          <w:rFonts w:ascii="Courier New" w:eastAsia="Courier New" w:hAnsi="Courier New"/>
          <w:b/>
          <w:sz w:val="15"/>
        </w:rPr>
        <w:br/>
      </w:r>
      <w:r>
        <w:rPr>
          <w:rFonts w:ascii="Courier New" w:eastAsia="Courier New" w:hAnsi="Courier New"/>
          <w:sz w:val="15"/>
        </w:rPr>
        <w:t>ATGATAATAGCTAATATGGCAACATTTCCCGCTAGGGTAGAAATATGTAAACAAGTGGTTGATAGC</w:t>
      </w:r>
      <w:r>
        <w:rPr>
          <w:rFonts w:ascii="Courier New" w:eastAsia="Courier New" w:hAnsi="Courier New"/>
          <w:sz w:val="15"/>
        </w:rPr>
        <w:br/>
        <w:t>ATCTACAACCAGGTTGACCAAATTAACCTGTGCTTCAACGAGTTTAAGCAGATCCCGAAAGAATAC</w:t>
      </w:r>
      <w:r>
        <w:rPr>
          <w:rFonts w:ascii="Courier New" w:eastAsia="Courier New" w:hAnsi="Courier New"/>
          <w:sz w:val="15"/>
        </w:rPr>
        <w:br/>
        <w:t>GCGAAGTATCACAAACTGAACCCGGTGATTCCGGATACCGACTATAAGGATGTTGGTAAATTTGTG</w:t>
      </w:r>
      <w:r>
        <w:rPr>
          <w:rFonts w:ascii="Courier New" w:eastAsia="Courier New" w:hAnsi="Courier New"/>
          <w:sz w:val="15"/>
        </w:rPr>
        <w:br/>
        <w:t>CACAAAGTTAGCGATAACGACTATGTGATCCTGATTGACGATGACATCATTTACCCGCGTGACTAT</w:t>
      </w:r>
      <w:r>
        <w:rPr>
          <w:rFonts w:ascii="Courier New" w:eastAsia="Courier New" w:hAnsi="Courier New"/>
          <w:sz w:val="15"/>
        </w:rPr>
        <w:br/>
        <w:t>GTGGAAGTTCTGCGTTACTTCTATAAGAAATACCAACACCTGAACATCATTGTTGGTACCCACGGC</w:t>
      </w:r>
      <w:r>
        <w:rPr>
          <w:rFonts w:ascii="Courier New" w:eastAsia="Courier New" w:hAnsi="Courier New"/>
          <w:sz w:val="15"/>
        </w:rPr>
        <w:br/>
        <w:t>ATCATTTACCCGGATCTGTATGACGGCAGCGTGAGCAGCCGTAAGGTTTTCACCTTTAAACACAGC</w:t>
      </w:r>
      <w:r>
        <w:rPr>
          <w:rFonts w:ascii="Courier New" w:eastAsia="Courier New" w:hAnsi="Courier New"/>
          <w:sz w:val="15"/>
        </w:rPr>
        <w:br/>
        <w:t>CTGAAGCGTCCGCGTGTGGTTAACCAGCTGGGTACCGGCACCGTGTACCTGAAAGGTAGCCAAATG</w:t>
      </w:r>
      <w:r>
        <w:rPr>
          <w:rFonts w:ascii="Courier New" w:eastAsia="Courier New" w:hAnsi="Courier New"/>
          <w:sz w:val="15"/>
        </w:rPr>
        <w:br/>
        <w:t>CCGAGCCTGGAGTATATGAAGGGCAGCCAGAGCTTCGTGGATGTTCGTTTTAGCAAATACATGTTC</w:t>
      </w:r>
      <w:r>
        <w:rPr>
          <w:rFonts w:ascii="Courier New" w:eastAsia="Courier New" w:hAnsi="Courier New"/>
          <w:sz w:val="15"/>
        </w:rPr>
        <w:br/>
        <w:t>GAAAAGGGTATCGGCCTGATCTGCATTCCGCGTGGTGCGGATTGGCAAAAGGAGATCAAACAGGAA</w:t>
      </w:r>
      <w:r>
        <w:rPr>
          <w:rFonts w:ascii="Courier New" w:eastAsia="Courier New" w:hAnsi="Courier New"/>
          <w:sz w:val="15"/>
        </w:rPr>
        <w:br/>
        <w:t>GACAGCATTTTCAACAACTTTACCAGCAAATGGCCGATGCAGGTGATCCAAGAAGTTCAGATCATT</w:t>
      </w:r>
      <w:r>
        <w:rPr>
          <w:rFonts w:ascii="Courier New" w:eastAsia="Courier New" w:hAnsi="Courier New"/>
          <w:sz w:val="15"/>
        </w:rPr>
        <w:br/>
        <w:t>GCGGGCTATAGCAAGCTGCCGTTTAACCTGGTTAAAGAGATTGAATTCAACAAGGACAGCCTGCTG</w:t>
      </w:r>
      <w:r>
        <w:rPr>
          <w:rFonts w:ascii="Courier New" w:eastAsia="Courier New" w:hAnsi="Courier New"/>
          <w:sz w:val="15"/>
        </w:rPr>
        <w:br/>
        <w:t>ATGAGCCAACACCACCACCACCACCAC</w:t>
      </w:r>
      <w:r>
        <w:rPr>
          <w:rFonts w:ascii="Courier New" w:eastAsia="Courier New" w:hAnsi="Courier New"/>
          <w:sz w:val="15"/>
        </w:rPr>
        <w:br/>
      </w:r>
    </w:p>
    <w:p w14:paraId="28A542EB" w14:textId="77777777" w:rsidR="00FA0455" w:rsidRDefault="00FF2E54">
      <w:pPr>
        <w:spacing w:after="0" w:line="480" w:lineRule="auto"/>
      </w:pPr>
      <w:r>
        <w:rPr>
          <w:b/>
          <w:sz w:val="18"/>
        </w:rPr>
        <w:lastRenderedPageBreak/>
        <w:t>WT/NaKfiA</w:t>
      </w:r>
    </w:p>
    <w:p w14:paraId="6704F208" w14:textId="77777777" w:rsidR="00FA0455" w:rsidRDefault="00FF2E54">
      <w:pPr>
        <w:shd w:val="clear" w:color="auto" w:fill="F7F7F7"/>
        <w:spacing w:after="0" w:line="480" w:lineRule="auto"/>
        <w:ind w:left="259"/>
      </w:pPr>
      <w:r>
        <w:rPr>
          <w:rFonts w:ascii="Courier New" w:eastAsia="Courier New" w:hAnsi="Courier New"/>
          <w:b/>
          <w:sz w:val="15"/>
        </w:rPr>
        <w:t>&gt;WT_NaKfiA | Reference NaKfiA sequence | source=NaKfiA; NaKfiA | length=774 bp</w:t>
      </w:r>
      <w:r>
        <w:rPr>
          <w:rFonts w:ascii="Courier New" w:eastAsia="Courier New" w:hAnsi="Courier New"/>
          <w:b/>
          <w:sz w:val="15"/>
        </w:rPr>
        <w:br/>
      </w:r>
      <w:r>
        <w:rPr>
          <w:rFonts w:ascii="Courier New" w:eastAsia="Courier New" w:hAnsi="Courier New"/>
          <w:sz w:val="15"/>
        </w:rPr>
        <w:t>ATGATTATAGCTAATATGGCAACATTTCCCGCGCGTGTTGAGATCTGTAAGCAAGTCGTTGACTCC</w:t>
      </w:r>
      <w:r>
        <w:rPr>
          <w:rFonts w:ascii="Courier New" w:eastAsia="Courier New" w:hAnsi="Courier New"/>
          <w:sz w:val="15"/>
        </w:rPr>
        <w:br/>
        <w:t>ATCTACAATCAGGTGGACCAGATCAACCTGTGCTTCAACGAGTTCAAACAGATTCCGAAGGAGTAC</w:t>
      </w:r>
      <w:r>
        <w:rPr>
          <w:rFonts w:ascii="Courier New" w:eastAsia="Courier New" w:hAnsi="Courier New"/>
          <w:sz w:val="15"/>
        </w:rPr>
        <w:br/>
        <w:t>GCAAAATACCATAAGTTGAACCCGGTTATTCCGGACACCGACTATAAGGACGTGGGCAAATTCGTG</w:t>
      </w:r>
      <w:r>
        <w:rPr>
          <w:rFonts w:ascii="Courier New" w:eastAsia="Courier New" w:hAnsi="Courier New"/>
          <w:sz w:val="15"/>
        </w:rPr>
        <w:br/>
        <w:t>CACAAAGTTTCGGATAATGATGAAGTGATCCTGATTGATGACGACATTATCTACCCGCGCGATTAC</w:t>
      </w:r>
      <w:r>
        <w:rPr>
          <w:rFonts w:ascii="Courier New" w:eastAsia="Courier New" w:hAnsi="Courier New"/>
          <w:sz w:val="15"/>
        </w:rPr>
        <w:br/>
        <w:t>GTCGAGGTGCTGCGTTATTTCTATAAAAAGTACCAGCACCTGAATATTATCGTGGGCACGCATGGT</w:t>
      </w:r>
      <w:r>
        <w:rPr>
          <w:rFonts w:ascii="Courier New" w:eastAsia="Courier New" w:hAnsi="Courier New"/>
          <w:sz w:val="15"/>
        </w:rPr>
        <w:br/>
        <w:t>ATTATCTACCCGGATCTGTATGATGGTTCTGTTTCTAGCCGTAAGGTGTTTACCTTCAAGCACAGC</w:t>
      </w:r>
      <w:r>
        <w:rPr>
          <w:rFonts w:ascii="Courier New" w:eastAsia="Courier New" w:hAnsi="Courier New"/>
          <w:sz w:val="15"/>
        </w:rPr>
        <w:br/>
        <w:t>CTGAAACGTCCGCGCGTTGTTAATCAACTGGGTACTGGTACCGTGTATCTTAAGGGCTCCCAAATG</w:t>
      </w:r>
      <w:r>
        <w:rPr>
          <w:rFonts w:ascii="Courier New" w:eastAsia="Courier New" w:hAnsi="Courier New"/>
          <w:sz w:val="15"/>
        </w:rPr>
        <w:br/>
        <w:t>CCATCTCTGGAATATATGAAAGGTTCCCAGAGCTTCGTGGACGTTCGTTTTAGCAAGTACATGTTT</w:t>
      </w:r>
      <w:r>
        <w:rPr>
          <w:rFonts w:ascii="Courier New" w:eastAsia="Courier New" w:hAnsi="Courier New"/>
          <w:sz w:val="15"/>
        </w:rPr>
        <w:br/>
        <w:t>GAAAAAGGCATCGGCCTGATCTGCATCCCGCGCGGTGCTGATTGGCAGAAAGAAATCAAGCAAGAA</w:t>
      </w:r>
      <w:r>
        <w:rPr>
          <w:rFonts w:ascii="Courier New" w:eastAsia="Courier New" w:hAnsi="Courier New"/>
          <w:sz w:val="15"/>
        </w:rPr>
        <w:br/>
        <w:t>GATAGCATTTTTAACAACTTCACCAGCAAGTGGCCGATGCAGGTCATTCAGGAGGTACAGATTATC</w:t>
      </w:r>
      <w:r>
        <w:rPr>
          <w:rFonts w:ascii="Courier New" w:eastAsia="Courier New" w:hAnsi="Courier New"/>
          <w:sz w:val="15"/>
        </w:rPr>
        <w:br/>
        <w:t>GCGGGTTATAGCAAGTTGCCTTTTAACTTGGTTAAAGAGATTGAATTCAACAAAGACTCCCTCTTA</w:t>
      </w:r>
      <w:r>
        <w:rPr>
          <w:rFonts w:ascii="Courier New" w:eastAsia="Courier New" w:hAnsi="Courier New"/>
          <w:sz w:val="15"/>
        </w:rPr>
        <w:br/>
        <w:t>ATGAGCCAAAAGCTTGCGGCCGCACTCGAGCACCACCACCACCACCAC</w:t>
      </w:r>
      <w:r>
        <w:rPr>
          <w:rFonts w:ascii="Courier New" w:eastAsia="Courier New" w:hAnsi="Courier New"/>
          <w:sz w:val="15"/>
        </w:rPr>
        <w:br/>
      </w:r>
    </w:p>
    <w:p w14:paraId="43C613BE" w14:textId="77777777" w:rsidR="00FA0455" w:rsidRDefault="00FF2E54">
      <w:pPr>
        <w:spacing w:after="0" w:line="480" w:lineRule="auto"/>
      </w:pPr>
      <w:r>
        <w:rPr>
          <w:b/>
          <w:sz w:val="18"/>
        </w:rPr>
        <w:t>S165K</w:t>
      </w:r>
    </w:p>
    <w:p w14:paraId="20F03D03" w14:textId="77777777" w:rsidR="00FA0455" w:rsidRDefault="00FF2E54">
      <w:pPr>
        <w:shd w:val="clear" w:color="auto" w:fill="F7F7F7"/>
        <w:spacing w:after="0" w:line="480" w:lineRule="auto"/>
        <w:ind w:left="259"/>
      </w:pPr>
      <w:r>
        <w:rPr>
          <w:rFonts w:ascii="Courier New" w:eastAsia="Courier New" w:hAnsi="Courier New"/>
          <w:b/>
          <w:sz w:val="15"/>
        </w:rPr>
        <w:t>&gt;S165K | S165K; mutant codon AAA | source=NaKfiA_S165K; NaKfiA_S165K | length=753 bp</w:t>
      </w:r>
      <w:r>
        <w:rPr>
          <w:rFonts w:ascii="Courier New" w:eastAsia="Courier New" w:hAnsi="Courier New"/>
          <w:b/>
          <w:sz w:val="15"/>
        </w:rPr>
        <w:br/>
      </w:r>
      <w:r>
        <w:rPr>
          <w:rFonts w:ascii="Courier New" w:eastAsia="Courier New" w:hAnsi="Courier New"/>
          <w:sz w:val="15"/>
        </w:rPr>
        <w:t>ATGATAATAGCTAATATGGCAACATTTCCCGCTAGGGTAGAAATATGTAAACAAGTGGTTGATAGC</w:t>
      </w:r>
      <w:r>
        <w:rPr>
          <w:rFonts w:ascii="Courier New" w:eastAsia="Courier New" w:hAnsi="Courier New"/>
          <w:sz w:val="15"/>
        </w:rPr>
        <w:br/>
        <w:t>ATCTACAACCAGGTTGACCAAATTAACCTGTGCTTCAACGAGTTTAAGCAGATCCCGAAAGAATAC</w:t>
      </w:r>
      <w:r>
        <w:rPr>
          <w:rFonts w:ascii="Courier New" w:eastAsia="Courier New" w:hAnsi="Courier New"/>
          <w:sz w:val="15"/>
        </w:rPr>
        <w:br/>
        <w:t>GCGAAGTATCACAAACTGAACCCGGTGATTCCGGATACCGACTATAAGGATGTTGGTAAATTTGTG</w:t>
      </w:r>
      <w:r>
        <w:rPr>
          <w:rFonts w:ascii="Courier New" w:eastAsia="Courier New" w:hAnsi="Courier New"/>
          <w:sz w:val="15"/>
        </w:rPr>
        <w:br/>
        <w:t>CACAAAGTTAGCGATAACGACGAGGTGATCCTGATTGACGATGACATCATTTACCCGCGTGACTAT</w:t>
      </w:r>
      <w:r>
        <w:rPr>
          <w:rFonts w:ascii="Courier New" w:eastAsia="Courier New" w:hAnsi="Courier New"/>
          <w:sz w:val="15"/>
        </w:rPr>
        <w:br/>
        <w:t>GTGGAAGTTCTGCGTTACTTCTATAAGAAATACCAACACCTGAACATCATTGTTGGTACCCACGGC</w:t>
      </w:r>
      <w:r>
        <w:rPr>
          <w:rFonts w:ascii="Courier New" w:eastAsia="Courier New" w:hAnsi="Courier New"/>
          <w:sz w:val="15"/>
        </w:rPr>
        <w:br/>
        <w:t>ATCATTTACCCGGATCTGTATGACGGCAGCGTGAGCAGCCGTAAGGTTTTCACCTTTAAACACAGC</w:t>
      </w:r>
      <w:r>
        <w:rPr>
          <w:rFonts w:ascii="Courier New" w:eastAsia="Courier New" w:hAnsi="Courier New"/>
          <w:sz w:val="15"/>
        </w:rPr>
        <w:br/>
        <w:t>CTGAAGCGTCCGCGTGTGGTTAACCAGCTGGGTACCGGCACCGTGTACCTGAAAGGTAGCCAAATG</w:t>
      </w:r>
      <w:r>
        <w:rPr>
          <w:rFonts w:ascii="Courier New" w:eastAsia="Courier New" w:hAnsi="Courier New"/>
          <w:sz w:val="15"/>
        </w:rPr>
        <w:br/>
        <w:t>CCGAGCCTGGAGTATATGAAGGGCAGCCAGAAATTCGTGGATGTTCGTTTTAGCAAATACATGTTC</w:t>
      </w:r>
      <w:r>
        <w:rPr>
          <w:rFonts w:ascii="Courier New" w:eastAsia="Courier New" w:hAnsi="Courier New"/>
          <w:sz w:val="15"/>
        </w:rPr>
        <w:br/>
        <w:t>GAAAAGGGTATCGGCCTGATCTGCATTCCGCGTGGTGCGGATTGGCAAAAGGAGATCAAACAGGAA</w:t>
      </w:r>
      <w:r>
        <w:rPr>
          <w:rFonts w:ascii="Courier New" w:eastAsia="Courier New" w:hAnsi="Courier New"/>
          <w:sz w:val="15"/>
        </w:rPr>
        <w:br/>
        <w:t>GACAGCATTTTCAACAACTTTACCAGCAAATGGCCGATGCAGGTGATCCAAGAAGTTCAGATCATT</w:t>
      </w:r>
      <w:r>
        <w:rPr>
          <w:rFonts w:ascii="Courier New" w:eastAsia="Courier New" w:hAnsi="Courier New"/>
          <w:sz w:val="15"/>
        </w:rPr>
        <w:br/>
        <w:t>GCGGGCTATAGCAAGCTGCCGTTTAACCTGGTTAAAGAGATTGAATTCAACAAGGACAGCCTGCTG</w:t>
      </w:r>
      <w:r>
        <w:rPr>
          <w:rFonts w:ascii="Courier New" w:eastAsia="Courier New" w:hAnsi="Courier New"/>
          <w:sz w:val="15"/>
        </w:rPr>
        <w:br/>
        <w:t>ATGAGCCAACACCACCACCACCACCAC</w:t>
      </w:r>
      <w:r>
        <w:rPr>
          <w:rFonts w:ascii="Courier New" w:eastAsia="Courier New" w:hAnsi="Courier New"/>
          <w:sz w:val="15"/>
        </w:rPr>
        <w:br/>
      </w:r>
    </w:p>
    <w:p w14:paraId="3B615F87" w14:textId="77777777" w:rsidR="00FA0455" w:rsidRDefault="00FF2E54">
      <w:pPr>
        <w:spacing w:after="0" w:line="480" w:lineRule="auto"/>
      </w:pPr>
      <w:r>
        <w:t xml:space="preserve">Figure 3 source-data synchronization note. The NaKfiA benchmark panel in Figure 3 was evaluated in the K5AC chassis using </w:t>
      </w:r>
      <w:r>
        <w:rPr>
          <w:i/>
        </w:rPr>
        <w:t>Pgnt</w:t>
      </w:r>
      <w:r>
        <w:t xml:space="preserve">-only and CRP-assisted dual-plasmid configurations. For the CRP-assisted configuration, </w:t>
      </w:r>
      <w:r>
        <w:rPr>
          <w:i/>
        </w:rPr>
        <w:t>crp</w:t>
      </w:r>
      <w:r>
        <w:t xml:space="preserve"> expression was induced with 2 mg·mL−1 arabinose and induction was synchronized with culture transfer. For mixed-population validation, each strain was normalized to OD600 = 0.01 before equal-ratio mixing, and endpoint clones were genotyped by colony PCR using NaKfiA-F (ATGATAATAGCTAATATGGCAACATTTCCCG) and NaKfiA-R (GTGGTGGTGGTGGTGGTGTT), followed by Sanger sequencing. In this context, CRP-assisted denotes plasmid-based reinforcement of the </w:t>
      </w:r>
      <w:r>
        <w:rPr>
          <w:i/>
        </w:rPr>
        <w:t>Pgnt</w:t>
      </w:r>
      <w:r>
        <w:t xml:space="preserve"> module </w:t>
      </w:r>
      <w:r>
        <w:lastRenderedPageBreak/>
        <w:t xml:space="preserve">because endogenous CRP was not sufficient to generate a robust plasmid-borne </w:t>
      </w:r>
      <w:r>
        <w:rPr>
          <w:i/>
        </w:rPr>
        <w:t>Pgnt</w:t>
      </w:r>
      <w:r>
        <w:t xml:space="preserve"> reporter/selection output; it does not indicate that K5AC lacks CRP.</w:t>
      </w:r>
    </w:p>
    <w:p w14:paraId="219A83CE" w14:textId="77777777" w:rsidR="00AB1DDB" w:rsidRDefault="00D815AB">
      <w:pPr>
        <w:pStyle w:val="SuppSection"/>
        <w:keepNext/>
        <w:pageBreakBefore/>
        <w:spacing w:after="0" w:line="480" w:lineRule="auto"/>
      </w:pPr>
      <w:r>
        <w:rPr>
          <w:rFonts w:ascii="Arial" w:eastAsia="Arial" w:hAnsi="Arial"/>
          <w:sz w:val="22"/>
        </w:rPr>
        <w:lastRenderedPageBreak/>
        <w:t>Section IV. Growth-coupled evolution of PmHS2 and structural interpretation of validated substitutions</w:t>
      </w:r>
    </w:p>
    <w:p w14:paraId="3FBF2D6F" w14:textId="77777777" w:rsidR="00AB1DDB" w:rsidRDefault="00D815AB">
      <w:pPr>
        <w:pStyle w:val="SuppTableTitle"/>
        <w:keepNext/>
        <w:spacing w:after="0" w:line="480" w:lineRule="auto"/>
      </w:pPr>
      <w:r>
        <w:rPr>
          <w:rFonts w:ascii="Arial" w:eastAsia="Arial" w:hAnsi="Arial"/>
        </w:rPr>
        <w:t>Supplementary Table S2. PmHS2 mutant-library quality summary</w:t>
      </w:r>
    </w:p>
    <w:p w14:paraId="243ECCA0" w14:textId="77777777" w:rsidR="00AB1DDB" w:rsidRDefault="00D815AB">
      <w:pPr>
        <w:pStyle w:val="SuppCaption"/>
        <w:spacing w:after="0" w:line="480" w:lineRule="auto"/>
      </w:pPr>
      <w:r>
        <w:t>Summary of mutation-rate and library-capacity information extracted from the vendor quality-control report for the randomized PmHS2 library.</w:t>
      </w:r>
    </w:p>
    <w:tbl>
      <w:tblPr>
        <w:tblStyle w:val="aff1"/>
        <w:tblW w:w="0" w:type="auto"/>
        <w:jc w:val="center"/>
        <w:tblLook w:val="04A0" w:firstRow="1" w:lastRow="0" w:firstColumn="1" w:lastColumn="0" w:noHBand="0" w:noVBand="1"/>
      </w:tblPr>
      <w:tblGrid>
        <w:gridCol w:w="4963"/>
        <w:gridCol w:w="4963"/>
      </w:tblGrid>
      <w:tr w:rsidR="00AB1DDB" w14:paraId="53927E4E" w14:textId="77777777">
        <w:trPr>
          <w:cantSplit/>
          <w:jc w:val="center"/>
        </w:trPr>
        <w:tc>
          <w:tcPr>
            <w:tcW w:w="4968" w:type="dxa"/>
            <w:shd w:val="clear" w:color="auto" w:fill="E9EEF5"/>
          </w:tcPr>
          <w:p w14:paraId="183CCCAD" w14:textId="77777777" w:rsidR="00AB1DDB" w:rsidRDefault="00D815AB">
            <w:pPr>
              <w:spacing w:line="480" w:lineRule="auto"/>
            </w:pPr>
            <w:r>
              <w:rPr>
                <w:sz w:val="16"/>
              </w:rPr>
              <w:t>Parameter</w:t>
            </w:r>
          </w:p>
        </w:tc>
        <w:tc>
          <w:tcPr>
            <w:tcW w:w="4968" w:type="dxa"/>
            <w:shd w:val="clear" w:color="auto" w:fill="E9EEF5"/>
          </w:tcPr>
          <w:p w14:paraId="6F84C550" w14:textId="77777777" w:rsidR="00AB1DDB" w:rsidRDefault="00D815AB">
            <w:pPr>
              <w:spacing w:line="480" w:lineRule="auto"/>
            </w:pPr>
            <w:r>
              <w:rPr>
                <w:sz w:val="16"/>
              </w:rPr>
              <w:t>Value</w:t>
            </w:r>
          </w:p>
        </w:tc>
      </w:tr>
      <w:tr w:rsidR="00AB1DDB" w14:paraId="07493B86" w14:textId="77777777">
        <w:trPr>
          <w:cantSplit/>
          <w:jc w:val="center"/>
        </w:trPr>
        <w:tc>
          <w:tcPr>
            <w:tcW w:w="4968" w:type="dxa"/>
          </w:tcPr>
          <w:p w14:paraId="36045412" w14:textId="77777777" w:rsidR="00AB1DDB" w:rsidRDefault="00D815AB">
            <w:pPr>
              <w:spacing w:line="480" w:lineRule="auto"/>
            </w:pPr>
            <w:r>
              <w:rPr>
                <w:sz w:val="16"/>
              </w:rPr>
              <w:t>Library type</w:t>
            </w:r>
          </w:p>
        </w:tc>
        <w:tc>
          <w:tcPr>
            <w:tcW w:w="4968" w:type="dxa"/>
          </w:tcPr>
          <w:p w14:paraId="5F1A194B" w14:textId="77777777" w:rsidR="00AB1DDB" w:rsidRDefault="00D815AB">
            <w:pPr>
              <w:spacing w:line="480" w:lineRule="auto"/>
            </w:pPr>
            <w:r>
              <w:rPr>
                <w:sz w:val="16"/>
              </w:rPr>
              <w:t>Randomized and degenerated PmHS2 library</w:t>
            </w:r>
          </w:p>
        </w:tc>
      </w:tr>
      <w:tr w:rsidR="00AB1DDB" w14:paraId="2A96D1CD" w14:textId="77777777">
        <w:trPr>
          <w:cantSplit/>
          <w:jc w:val="center"/>
        </w:trPr>
        <w:tc>
          <w:tcPr>
            <w:tcW w:w="4968" w:type="dxa"/>
          </w:tcPr>
          <w:p w14:paraId="1F7D3F06" w14:textId="77777777" w:rsidR="00AB1DDB" w:rsidRDefault="00D815AB">
            <w:pPr>
              <w:spacing w:line="480" w:lineRule="auto"/>
            </w:pPr>
            <w:r>
              <w:rPr>
                <w:sz w:val="16"/>
              </w:rPr>
              <w:t>Vector</w:t>
            </w:r>
          </w:p>
        </w:tc>
        <w:tc>
          <w:tcPr>
            <w:tcW w:w="4968" w:type="dxa"/>
          </w:tcPr>
          <w:p w14:paraId="22E79DA0" w14:textId="77777777" w:rsidR="00AB1DDB" w:rsidRDefault="00D815AB">
            <w:pPr>
              <w:spacing w:line="480" w:lineRule="auto"/>
            </w:pPr>
            <w:r>
              <w:rPr>
                <w:sz w:val="16"/>
              </w:rPr>
              <w:t>pACYC_P34_PmHS2</w:t>
            </w:r>
          </w:p>
        </w:tc>
      </w:tr>
      <w:tr w:rsidR="00AB1DDB" w14:paraId="4FEAD636" w14:textId="77777777">
        <w:trPr>
          <w:cantSplit/>
          <w:jc w:val="center"/>
        </w:trPr>
        <w:tc>
          <w:tcPr>
            <w:tcW w:w="4968" w:type="dxa"/>
          </w:tcPr>
          <w:p w14:paraId="76FB74AB" w14:textId="77777777" w:rsidR="00AB1DDB" w:rsidRDefault="00D815AB">
            <w:pPr>
              <w:spacing w:line="480" w:lineRule="auto"/>
            </w:pPr>
            <w:r>
              <w:rPr>
                <w:sz w:val="16"/>
              </w:rPr>
              <w:t>Host used for library cloning/electroporation</w:t>
            </w:r>
          </w:p>
        </w:tc>
        <w:tc>
          <w:tcPr>
            <w:tcW w:w="4968" w:type="dxa"/>
          </w:tcPr>
          <w:p w14:paraId="27B7C41A" w14:textId="77777777" w:rsidR="00AB1DDB" w:rsidRDefault="00D815AB">
            <w:pPr>
              <w:spacing w:line="480" w:lineRule="auto"/>
            </w:pPr>
            <w:r>
              <w:rPr>
                <w:sz w:val="16"/>
              </w:rPr>
              <w:t>SS320 competent cells</w:t>
            </w:r>
          </w:p>
        </w:tc>
      </w:tr>
      <w:tr w:rsidR="00AB1DDB" w14:paraId="6556756D" w14:textId="77777777">
        <w:trPr>
          <w:cantSplit/>
          <w:jc w:val="center"/>
        </w:trPr>
        <w:tc>
          <w:tcPr>
            <w:tcW w:w="4968" w:type="dxa"/>
          </w:tcPr>
          <w:p w14:paraId="7F28BB5E" w14:textId="77777777" w:rsidR="00AB1DDB" w:rsidRDefault="00D815AB">
            <w:pPr>
              <w:spacing w:line="480" w:lineRule="auto"/>
            </w:pPr>
            <w:r>
              <w:rPr>
                <w:sz w:val="16"/>
              </w:rPr>
              <w:t>Target mutation frequency</w:t>
            </w:r>
          </w:p>
        </w:tc>
        <w:tc>
          <w:tcPr>
            <w:tcW w:w="4968" w:type="dxa"/>
          </w:tcPr>
          <w:p w14:paraId="58A8F89D" w14:textId="77777777" w:rsidR="00AB1DDB" w:rsidRDefault="00D815AB">
            <w:pPr>
              <w:spacing w:line="480" w:lineRule="auto"/>
            </w:pPr>
            <w:r>
              <w:rPr>
                <w:sz w:val="16"/>
              </w:rPr>
              <w:t>5–8 mutations/kb</w:t>
            </w:r>
          </w:p>
        </w:tc>
      </w:tr>
      <w:tr w:rsidR="00AB1DDB" w14:paraId="68362EA5" w14:textId="77777777">
        <w:trPr>
          <w:cantSplit/>
          <w:jc w:val="center"/>
        </w:trPr>
        <w:tc>
          <w:tcPr>
            <w:tcW w:w="4968" w:type="dxa"/>
          </w:tcPr>
          <w:p w14:paraId="40E3C0FF" w14:textId="77777777" w:rsidR="00AB1DDB" w:rsidRDefault="00D815AB">
            <w:pPr>
              <w:spacing w:line="480" w:lineRule="auto"/>
            </w:pPr>
            <w:r>
              <w:rPr>
                <w:sz w:val="16"/>
              </w:rPr>
              <w:t>Observed mutation frequency</w:t>
            </w:r>
          </w:p>
        </w:tc>
        <w:tc>
          <w:tcPr>
            <w:tcW w:w="4968" w:type="dxa"/>
          </w:tcPr>
          <w:p w14:paraId="7C6FCDC6" w14:textId="77777777" w:rsidR="00AB1DDB" w:rsidRDefault="00D815AB">
            <w:pPr>
              <w:spacing w:line="480" w:lineRule="auto"/>
            </w:pPr>
            <w:r>
              <w:rPr>
                <w:sz w:val="16"/>
              </w:rPr>
              <w:t>6.4 mutations/kb</w:t>
            </w:r>
          </w:p>
        </w:tc>
      </w:tr>
      <w:tr w:rsidR="00AB1DDB" w14:paraId="5EAD22CC" w14:textId="77777777">
        <w:trPr>
          <w:cantSplit/>
          <w:jc w:val="center"/>
        </w:trPr>
        <w:tc>
          <w:tcPr>
            <w:tcW w:w="4968" w:type="dxa"/>
          </w:tcPr>
          <w:p w14:paraId="01A86AC1" w14:textId="77777777" w:rsidR="00AB1DDB" w:rsidRDefault="00D815AB">
            <w:pPr>
              <w:spacing w:line="480" w:lineRule="auto"/>
            </w:pPr>
            <w:r>
              <w:rPr>
                <w:sz w:val="16"/>
              </w:rPr>
              <w:t>Library quality verification</w:t>
            </w:r>
          </w:p>
        </w:tc>
        <w:tc>
          <w:tcPr>
            <w:tcW w:w="4968" w:type="dxa"/>
          </w:tcPr>
          <w:p w14:paraId="3514166D" w14:textId="77777777" w:rsidR="00AB1DDB" w:rsidRDefault="00D815AB">
            <w:pPr>
              <w:spacing w:line="480" w:lineRule="auto"/>
            </w:pPr>
            <w:r>
              <w:rPr>
                <w:sz w:val="16"/>
              </w:rPr>
              <w:t>Sanger sequencing of 22 random colonies</w:t>
            </w:r>
          </w:p>
        </w:tc>
      </w:tr>
      <w:tr w:rsidR="00AB1DDB" w14:paraId="79413046" w14:textId="77777777">
        <w:trPr>
          <w:cantSplit/>
          <w:jc w:val="center"/>
        </w:trPr>
        <w:tc>
          <w:tcPr>
            <w:tcW w:w="4968" w:type="dxa"/>
          </w:tcPr>
          <w:p w14:paraId="331CD13A" w14:textId="77777777" w:rsidR="00AB1DDB" w:rsidRDefault="00D815AB">
            <w:pPr>
              <w:spacing w:line="480" w:lineRule="auto"/>
            </w:pPr>
            <w:r>
              <w:rPr>
                <w:sz w:val="16"/>
              </w:rPr>
              <w:t>Estimated library capacity</w:t>
            </w:r>
          </w:p>
        </w:tc>
        <w:tc>
          <w:tcPr>
            <w:tcW w:w="4968" w:type="dxa"/>
          </w:tcPr>
          <w:p w14:paraId="73936972" w14:textId="77777777" w:rsidR="00AB1DDB" w:rsidRDefault="00D815AB">
            <w:pPr>
              <w:spacing w:line="480" w:lineRule="auto"/>
            </w:pPr>
            <w:r>
              <w:rPr>
                <w:sz w:val="16"/>
              </w:rPr>
              <w:t>≥3.8 × 10^7 CFU</w:t>
            </w:r>
          </w:p>
        </w:tc>
      </w:tr>
      <w:tr w:rsidR="00AB1DDB" w14:paraId="099EDE78" w14:textId="77777777">
        <w:trPr>
          <w:cantSplit/>
          <w:jc w:val="center"/>
        </w:trPr>
        <w:tc>
          <w:tcPr>
            <w:tcW w:w="4968" w:type="dxa"/>
          </w:tcPr>
          <w:p w14:paraId="54E5E2FE" w14:textId="77777777" w:rsidR="00AB1DDB" w:rsidRDefault="00D815AB">
            <w:pPr>
              <w:spacing w:line="480" w:lineRule="auto"/>
            </w:pPr>
            <w:r>
              <w:rPr>
                <w:sz w:val="16"/>
              </w:rPr>
              <w:t>Vendor report date</w:t>
            </w:r>
          </w:p>
        </w:tc>
        <w:tc>
          <w:tcPr>
            <w:tcW w:w="4968" w:type="dxa"/>
          </w:tcPr>
          <w:p w14:paraId="124203F7" w14:textId="77777777" w:rsidR="00AB1DDB" w:rsidRDefault="00D815AB">
            <w:pPr>
              <w:spacing w:line="480" w:lineRule="auto"/>
            </w:pPr>
            <w:r>
              <w:rPr>
                <w:sz w:val="16"/>
              </w:rPr>
              <w:t>17 Sep 2023</w:t>
            </w:r>
          </w:p>
        </w:tc>
      </w:tr>
    </w:tbl>
    <w:p w14:paraId="2EC95CDD" w14:textId="77777777" w:rsidR="00AB1DDB" w:rsidRDefault="00D815AB">
      <w:pPr>
        <w:pStyle w:val="SuppFigure"/>
        <w:keepNext/>
        <w:spacing w:after="0" w:line="480" w:lineRule="auto"/>
      </w:pPr>
      <w:r>
        <w:lastRenderedPageBreak/>
        <w:t>Supplementary Figure S13. 3D trajectory plot of representative enriched sites.</w:t>
      </w:r>
    </w:p>
    <w:p w14:paraId="7DFC57C2" w14:textId="77777777" w:rsidR="00AB1DDB" w:rsidRDefault="00D815AB">
      <w:pPr>
        <w:spacing w:after="0" w:line="480" w:lineRule="auto"/>
        <w:jc w:val="center"/>
      </w:pPr>
      <w:r>
        <w:rPr>
          <w:noProof/>
        </w:rPr>
        <w:drawing>
          <wp:inline distT="0" distB="0" distL="0" distR="0" wp14:anchorId="05152565" wp14:editId="1748599A">
            <wp:extent cx="5580000" cy="46822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5.png"/>
                    <pic:cNvPicPr/>
                  </pic:nvPicPr>
                  <pic:blipFill>
                    <a:blip r:embed="rId20"/>
                    <a:stretch>
                      <a:fillRect/>
                    </a:stretch>
                  </pic:blipFill>
                  <pic:spPr>
                    <a:xfrm>
                      <a:off x="0" y="0"/>
                      <a:ext cx="5580000" cy="4682236"/>
                    </a:xfrm>
                    <a:prstGeom prst="rect">
                      <a:avLst/>
                    </a:prstGeom>
                  </pic:spPr>
                </pic:pic>
              </a:graphicData>
            </a:graphic>
          </wp:inline>
        </w:drawing>
      </w:r>
    </w:p>
    <w:p w14:paraId="54BFA6A2" w14:textId="77777777" w:rsidR="00AB1DDB" w:rsidRDefault="00D815AB">
      <w:pPr>
        <w:pStyle w:val="SuppCaption"/>
        <w:spacing w:after="0" w:line="480" w:lineRule="auto"/>
      </w:pPr>
      <w:r>
        <w:t>Trajectory plot of representative enriched nucleotide sites.</w:t>
      </w:r>
    </w:p>
    <w:p w14:paraId="57688A1D" w14:textId="77777777" w:rsidR="00AB1DDB" w:rsidRDefault="00D815AB">
      <w:pPr>
        <w:spacing w:after="0" w:line="480" w:lineRule="auto"/>
      </w:pPr>
      <w:r>
        <w:br w:type="page"/>
      </w:r>
    </w:p>
    <w:p w14:paraId="60875EA3" w14:textId="77777777" w:rsidR="00AB1DDB" w:rsidRDefault="00D815AB">
      <w:pPr>
        <w:pStyle w:val="SuppFigure"/>
        <w:keepNext/>
        <w:spacing w:after="0" w:line="480" w:lineRule="auto"/>
      </w:pPr>
      <w:r>
        <w:lastRenderedPageBreak/>
        <w:t>Supplementary Figure S14. Docking overview and structural mapping of validated PmHS2 substitutions.</w:t>
      </w:r>
    </w:p>
    <w:p w14:paraId="444686D4" w14:textId="77777777" w:rsidR="00AB1DDB" w:rsidRDefault="00D815AB">
      <w:pPr>
        <w:spacing w:after="0" w:line="480" w:lineRule="auto"/>
        <w:jc w:val="center"/>
      </w:pPr>
      <w:r>
        <w:rPr>
          <w:noProof/>
        </w:rPr>
        <w:drawing>
          <wp:inline distT="0" distB="0" distL="0" distR="0" wp14:anchorId="4DA22E7A" wp14:editId="61DDEDBD">
            <wp:extent cx="5852160" cy="406622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combined-mut.png"/>
                    <pic:cNvPicPr/>
                  </pic:nvPicPr>
                  <pic:blipFill>
                    <a:blip r:embed="rId21"/>
                    <a:stretch>
                      <a:fillRect/>
                    </a:stretch>
                  </pic:blipFill>
                  <pic:spPr>
                    <a:xfrm>
                      <a:off x="0" y="0"/>
                      <a:ext cx="5852160" cy="4066222"/>
                    </a:xfrm>
                    <a:prstGeom prst="rect">
                      <a:avLst/>
                    </a:prstGeom>
                  </pic:spPr>
                </pic:pic>
              </a:graphicData>
            </a:graphic>
          </wp:inline>
        </w:drawing>
      </w:r>
    </w:p>
    <w:p w14:paraId="60AF5745" w14:textId="77777777" w:rsidR="00AB1DDB" w:rsidRDefault="00D815AB">
      <w:pPr>
        <w:pStyle w:val="SuppCaption"/>
        <w:spacing w:after="0" w:line="480" w:lineRule="auto"/>
      </w:pPr>
      <w:r>
        <w:t>Docking overview for UDP-GlcA and UDP-GlcNAc with chain A of PDB 8VIW, with validated PmHS2 substitutions mapped onto the model. AutoDock Vina v1.2.7 parameters are provided in the Methods.</w:t>
      </w:r>
    </w:p>
    <w:p w14:paraId="41B3CD41" w14:textId="77777777" w:rsidR="00AB1DDB" w:rsidRDefault="00D815AB">
      <w:pPr>
        <w:spacing w:after="0" w:line="480" w:lineRule="auto"/>
      </w:pPr>
      <w:r>
        <w:br w:type="page"/>
      </w:r>
    </w:p>
    <w:p w14:paraId="29D612A0" w14:textId="77777777" w:rsidR="00AB1DDB" w:rsidRDefault="00D815AB">
      <w:pPr>
        <w:pStyle w:val="SuppFigure"/>
        <w:keepNext/>
        <w:spacing w:after="0" w:line="480" w:lineRule="auto"/>
      </w:pPr>
      <w:r>
        <w:lastRenderedPageBreak/>
        <w:t>Supplementary Figure S15. Local structural view of S130G.</w:t>
      </w:r>
    </w:p>
    <w:p w14:paraId="14956011" w14:textId="77777777" w:rsidR="00AB1DDB" w:rsidRDefault="00D815AB">
      <w:pPr>
        <w:spacing w:after="0" w:line="480" w:lineRule="auto"/>
        <w:jc w:val="center"/>
      </w:pPr>
      <w:r>
        <w:rPr>
          <w:noProof/>
        </w:rPr>
        <w:drawing>
          <wp:inline distT="0" distB="0" distL="0" distR="0" wp14:anchorId="19F64953" wp14:editId="1867AA94">
            <wp:extent cx="5577840" cy="313753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130.png"/>
                    <pic:cNvPicPr/>
                  </pic:nvPicPr>
                  <pic:blipFill>
                    <a:blip r:embed="rId22"/>
                    <a:stretch>
                      <a:fillRect/>
                    </a:stretch>
                  </pic:blipFill>
                  <pic:spPr>
                    <a:xfrm>
                      <a:off x="0" y="0"/>
                      <a:ext cx="5577840" cy="3137535"/>
                    </a:xfrm>
                    <a:prstGeom prst="rect">
                      <a:avLst/>
                    </a:prstGeom>
                  </pic:spPr>
                </pic:pic>
              </a:graphicData>
            </a:graphic>
          </wp:inline>
        </w:drawing>
      </w:r>
    </w:p>
    <w:p w14:paraId="41931AC8" w14:textId="77777777" w:rsidR="00AB1DDB" w:rsidRDefault="00D815AB">
      <w:pPr>
        <w:pStyle w:val="SuppCaption"/>
        <w:spacing w:after="0" w:line="480" w:lineRule="auto"/>
      </w:pPr>
      <w:r>
        <w:t>Local structural view of the S130G substitution. FoldX output and local contacts are shown in the panel/source data.</w:t>
      </w:r>
    </w:p>
    <w:p w14:paraId="437743BF" w14:textId="77777777" w:rsidR="00AB1DDB" w:rsidRDefault="00D815AB">
      <w:pPr>
        <w:spacing w:after="0" w:line="480" w:lineRule="auto"/>
      </w:pPr>
      <w:r>
        <w:br w:type="page"/>
      </w:r>
    </w:p>
    <w:p w14:paraId="516ECF1A" w14:textId="77777777" w:rsidR="00AB1DDB" w:rsidRDefault="00D815AB">
      <w:pPr>
        <w:pStyle w:val="SuppFigure"/>
        <w:keepNext/>
        <w:spacing w:after="0" w:line="480" w:lineRule="auto"/>
      </w:pPr>
      <w:r>
        <w:lastRenderedPageBreak/>
        <w:t>Supplementary Figure S16. Local structural view of L351Q.</w:t>
      </w:r>
    </w:p>
    <w:p w14:paraId="230BF4AF" w14:textId="77777777" w:rsidR="00AB1DDB" w:rsidRDefault="00D815AB">
      <w:pPr>
        <w:spacing w:after="0" w:line="480" w:lineRule="auto"/>
        <w:jc w:val="center"/>
      </w:pPr>
      <w:r>
        <w:rPr>
          <w:noProof/>
        </w:rPr>
        <w:drawing>
          <wp:inline distT="0" distB="0" distL="0" distR="0" wp14:anchorId="5C07B6CC" wp14:editId="2EFC9171">
            <wp:extent cx="5577840" cy="313753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351.png"/>
                    <pic:cNvPicPr/>
                  </pic:nvPicPr>
                  <pic:blipFill>
                    <a:blip r:embed="rId23"/>
                    <a:stretch>
                      <a:fillRect/>
                    </a:stretch>
                  </pic:blipFill>
                  <pic:spPr>
                    <a:xfrm>
                      <a:off x="0" y="0"/>
                      <a:ext cx="5577840" cy="3137535"/>
                    </a:xfrm>
                    <a:prstGeom prst="rect">
                      <a:avLst/>
                    </a:prstGeom>
                  </pic:spPr>
                </pic:pic>
              </a:graphicData>
            </a:graphic>
          </wp:inline>
        </w:drawing>
      </w:r>
    </w:p>
    <w:p w14:paraId="1CB6A80E" w14:textId="77777777" w:rsidR="00AB1DDB" w:rsidRDefault="00D815AB">
      <w:pPr>
        <w:pStyle w:val="SuppCaption"/>
        <w:spacing w:after="0" w:line="480" w:lineRule="auto"/>
      </w:pPr>
      <w:r>
        <w:t>Local structural view of the L351Q substitution. FoldX output and local contacts are shown in the panel/source data.</w:t>
      </w:r>
    </w:p>
    <w:p w14:paraId="2659E9B1" w14:textId="77777777" w:rsidR="00AB1DDB" w:rsidRDefault="00D815AB">
      <w:pPr>
        <w:spacing w:after="0" w:line="480" w:lineRule="auto"/>
      </w:pPr>
      <w:r>
        <w:br w:type="page"/>
      </w:r>
    </w:p>
    <w:p w14:paraId="62670583" w14:textId="77777777" w:rsidR="00AB1DDB" w:rsidRDefault="00D815AB">
      <w:pPr>
        <w:pStyle w:val="SuppFigure"/>
        <w:keepNext/>
        <w:spacing w:after="0" w:line="480" w:lineRule="auto"/>
      </w:pPr>
      <w:r>
        <w:lastRenderedPageBreak/>
        <w:t>Supplementary Figure S17. Local structural view of F364Y.</w:t>
      </w:r>
    </w:p>
    <w:p w14:paraId="254B671B" w14:textId="77777777" w:rsidR="00AB1DDB" w:rsidRDefault="00D815AB">
      <w:pPr>
        <w:spacing w:after="0" w:line="480" w:lineRule="auto"/>
        <w:jc w:val="center"/>
      </w:pPr>
      <w:r>
        <w:rPr>
          <w:noProof/>
        </w:rPr>
        <w:drawing>
          <wp:inline distT="0" distB="0" distL="0" distR="0" wp14:anchorId="2A647405" wp14:editId="6AC3A0BB">
            <wp:extent cx="5577840" cy="31375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364.png"/>
                    <pic:cNvPicPr/>
                  </pic:nvPicPr>
                  <pic:blipFill>
                    <a:blip r:embed="rId24"/>
                    <a:stretch>
                      <a:fillRect/>
                    </a:stretch>
                  </pic:blipFill>
                  <pic:spPr>
                    <a:xfrm>
                      <a:off x="0" y="0"/>
                      <a:ext cx="5577840" cy="3137535"/>
                    </a:xfrm>
                    <a:prstGeom prst="rect">
                      <a:avLst/>
                    </a:prstGeom>
                  </pic:spPr>
                </pic:pic>
              </a:graphicData>
            </a:graphic>
          </wp:inline>
        </w:drawing>
      </w:r>
    </w:p>
    <w:p w14:paraId="58BF3B97" w14:textId="77777777" w:rsidR="00AB1DDB" w:rsidRDefault="00D815AB">
      <w:pPr>
        <w:pStyle w:val="SuppCaption"/>
        <w:spacing w:after="0" w:line="480" w:lineRule="auto"/>
      </w:pPr>
      <w:r>
        <w:t>Local structural view of the F364Y substitution. FoldX output and local contacts are shown in the panel/source data.</w:t>
      </w:r>
    </w:p>
    <w:p w14:paraId="3B5E0651" w14:textId="77777777" w:rsidR="00AB1DDB" w:rsidRDefault="00D815AB">
      <w:pPr>
        <w:spacing w:after="0" w:line="480" w:lineRule="auto"/>
      </w:pPr>
      <w:r>
        <w:br w:type="page"/>
      </w:r>
    </w:p>
    <w:p w14:paraId="212531F0" w14:textId="77777777" w:rsidR="00AB1DDB" w:rsidRDefault="00D815AB">
      <w:pPr>
        <w:pStyle w:val="SuppFigure"/>
        <w:keepNext/>
        <w:spacing w:after="0" w:line="480" w:lineRule="auto"/>
      </w:pPr>
      <w:r>
        <w:lastRenderedPageBreak/>
        <w:t>Supplementary Figure S18. Local structural view of Y530N.</w:t>
      </w:r>
    </w:p>
    <w:p w14:paraId="2AF975DE" w14:textId="77777777" w:rsidR="00AB1DDB" w:rsidRDefault="00D815AB">
      <w:pPr>
        <w:spacing w:after="0" w:line="480" w:lineRule="auto"/>
        <w:jc w:val="center"/>
      </w:pPr>
      <w:r>
        <w:rPr>
          <w:noProof/>
        </w:rPr>
        <w:drawing>
          <wp:inline distT="0" distB="0" distL="0" distR="0" wp14:anchorId="6DFA199F" wp14:editId="2EB5D3FC">
            <wp:extent cx="5577840" cy="31375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530.png"/>
                    <pic:cNvPicPr/>
                  </pic:nvPicPr>
                  <pic:blipFill>
                    <a:blip r:embed="rId25"/>
                    <a:stretch>
                      <a:fillRect/>
                    </a:stretch>
                  </pic:blipFill>
                  <pic:spPr>
                    <a:xfrm>
                      <a:off x="0" y="0"/>
                      <a:ext cx="5577840" cy="3137535"/>
                    </a:xfrm>
                    <a:prstGeom prst="rect">
                      <a:avLst/>
                    </a:prstGeom>
                  </pic:spPr>
                </pic:pic>
              </a:graphicData>
            </a:graphic>
          </wp:inline>
        </w:drawing>
      </w:r>
    </w:p>
    <w:p w14:paraId="3F2B8989" w14:textId="77777777" w:rsidR="00AB1DDB" w:rsidRDefault="00D815AB">
      <w:pPr>
        <w:pStyle w:val="SuppCaption"/>
        <w:spacing w:after="0" w:line="480" w:lineRule="auto"/>
      </w:pPr>
      <w:r>
        <w:t>Local structural view of the Y530N substitution. FoldX output and local contacts are shown in the panel/source data.</w:t>
      </w:r>
    </w:p>
    <w:p w14:paraId="044815FA" w14:textId="77777777" w:rsidR="00AB1DDB" w:rsidRDefault="00D815AB">
      <w:pPr>
        <w:spacing w:after="0" w:line="480" w:lineRule="auto"/>
      </w:pPr>
      <w:r>
        <w:br w:type="page"/>
      </w:r>
    </w:p>
    <w:p w14:paraId="5C7FDD0D" w14:textId="77777777" w:rsidR="00AB1DDB" w:rsidRDefault="00D815AB">
      <w:pPr>
        <w:pStyle w:val="SuppFigure"/>
        <w:keepNext/>
        <w:spacing w:after="0" w:line="480" w:lineRule="auto"/>
      </w:pPr>
      <w:r>
        <w:lastRenderedPageBreak/>
        <w:t>Supplementary Figure S19. Local structural view of Q606E.</w:t>
      </w:r>
    </w:p>
    <w:p w14:paraId="305035A2" w14:textId="77777777" w:rsidR="00AB1DDB" w:rsidRDefault="00D815AB">
      <w:pPr>
        <w:spacing w:after="0" w:line="480" w:lineRule="auto"/>
        <w:jc w:val="center"/>
      </w:pPr>
      <w:r>
        <w:rPr>
          <w:noProof/>
        </w:rPr>
        <w:drawing>
          <wp:inline distT="0" distB="0" distL="0" distR="0" wp14:anchorId="109241B1" wp14:editId="55EEE04B">
            <wp:extent cx="5577840" cy="313753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606.png"/>
                    <pic:cNvPicPr/>
                  </pic:nvPicPr>
                  <pic:blipFill>
                    <a:blip r:embed="rId26"/>
                    <a:stretch>
                      <a:fillRect/>
                    </a:stretch>
                  </pic:blipFill>
                  <pic:spPr>
                    <a:xfrm>
                      <a:off x="0" y="0"/>
                      <a:ext cx="5577840" cy="3137535"/>
                    </a:xfrm>
                    <a:prstGeom prst="rect">
                      <a:avLst/>
                    </a:prstGeom>
                  </pic:spPr>
                </pic:pic>
              </a:graphicData>
            </a:graphic>
          </wp:inline>
        </w:drawing>
      </w:r>
    </w:p>
    <w:p w14:paraId="10264FA3" w14:textId="77777777" w:rsidR="00AB1DDB" w:rsidRDefault="00D815AB">
      <w:pPr>
        <w:pStyle w:val="SuppCaption"/>
        <w:spacing w:after="0" w:line="480" w:lineRule="auto"/>
      </w:pPr>
      <w:r>
        <w:t>Local structural view of the Q606E substitution. FoldX output and local contacts are shown in the panel/source data.</w:t>
      </w:r>
    </w:p>
    <w:p w14:paraId="28C9D424" w14:textId="77777777" w:rsidR="00AB1DDB" w:rsidRDefault="00D815AB">
      <w:pPr>
        <w:spacing w:after="0" w:line="480" w:lineRule="auto"/>
      </w:pPr>
      <w:r>
        <w:br w:type="page"/>
      </w:r>
    </w:p>
    <w:p w14:paraId="61DC3E32" w14:textId="77777777" w:rsidR="00AB1DDB" w:rsidRDefault="00D815AB">
      <w:pPr>
        <w:pStyle w:val="SuppSection"/>
        <w:keepNext/>
        <w:pageBreakBefore/>
        <w:spacing w:after="0" w:line="480" w:lineRule="auto"/>
      </w:pPr>
      <w:r>
        <w:rPr>
          <w:rFonts w:ascii="Arial" w:eastAsia="Arial" w:hAnsi="Arial"/>
          <w:sz w:val="22"/>
        </w:rPr>
        <w:lastRenderedPageBreak/>
        <w:t xml:space="preserve">Section V. </w:t>
      </w:r>
      <w:r>
        <w:rPr>
          <w:rFonts w:ascii="Arial" w:eastAsia="Arial" w:hAnsi="Arial"/>
          <w:i/>
          <w:iCs/>
          <w:sz w:val="22"/>
        </w:rPr>
        <w:t>kfiA</w:t>
      </w:r>
      <w:r>
        <w:rPr>
          <w:rFonts w:ascii="Arial" w:eastAsia="Arial" w:hAnsi="Arial"/>
          <w:sz w:val="22"/>
        </w:rPr>
        <w:t xml:space="preserve"> repeat-enrichment outcomes and orthogonal validation</w:t>
      </w:r>
    </w:p>
    <w:p w14:paraId="594AEB30" w14:textId="77777777" w:rsidR="00AB1DDB" w:rsidRDefault="00D815AB">
      <w:pPr>
        <w:pStyle w:val="SuppTableTitle"/>
        <w:keepNext/>
        <w:spacing w:after="0" w:line="480" w:lineRule="auto"/>
      </w:pPr>
      <w:r>
        <w:rPr>
          <w:rFonts w:ascii="Arial" w:eastAsia="Arial" w:hAnsi="Arial"/>
        </w:rPr>
        <w:t xml:space="preserve">Supplementary Table S3. Mutation-site summary for enriched </w:t>
      </w:r>
      <w:r>
        <w:rPr>
          <w:rFonts w:ascii="Arial" w:eastAsia="Arial" w:hAnsi="Arial"/>
          <w:i/>
          <w:iCs/>
        </w:rPr>
        <w:t>kfiA</w:t>
      </w:r>
      <w:r>
        <w:rPr>
          <w:rFonts w:ascii="Arial" w:eastAsia="Arial" w:hAnsi="Arial"/>
        </w:rPr>
        <w:t xml:space="preserve"> variants M1, M2, and M3</w:t>
      </w:r>
    </w:p>
    <w:tbl>
      <w:tblPr>
        <w:tblStyle w:val="aff1"/>
        <w:tblW w:w="0" w:type="auto"/>
        <w:jc w:val="center"/>
        <w:tblLook w:val="04A0" w:firstRow="1" w:lastRow="0" w:firstColumn="1" w:lastColumn="0" w:noHBand="0" w:noVBand="1"/>
      </w:tblPr>
      <w:tblGrid>
        <w:gridCol w:w="1008"/>
        <w:gridCol w:w="1296"/>
        <w:gridCol w:w="2232"/>
        <w:gridCol w:w="4824"/>
      </w:tblGrid>
      <w:tr w:rsidR="00AB1DDB" w14:paraId="6EB03776" w14:textId="77777777">
        <w:trPr>
          <w:cantSplit/>
          <w:jc w:val="center"/>
        </w:trPr>
        <w:tc>
          <w:tcPr>
            <w:tcW w:w="1008" w:type="dxa"/>
            <w:shd w:val="clear" w:color="auto" w:fill="E9EEF5"/>
            <w:tcMar>
              <w:top w:w="80" w:type="dxa"/>
              <w:left w:w="90" w:type="dxa"/>
              <w:bottom w:w="80" w:type="dxa"/>
              <w:right w:w="90" w:type="dxa"/>
            </w:tcMar>
          </w:tcPr>
          <w:p w14:paraId="2A2D8747" w14:textId="77777777" w:rsidR="00AB1DDB" w:rsidRDefault="00D815AB">
            <w:pPr>
              <w:spacing w:line="480" w:lineRule="auto"/>
              <w:jc w:val="center"/>
            </w:pPr>
            <w:r>
              <w:rPr>
                <w:b/>
                <w:sz w:val="16"/>
              </w:rPr>
              <w:t>Sample</w:t>
            </w:r>
          </w:p>
        </w:tc>
        <w:tc>
          <w:tcPr>
            <w:tcW w:w="1296" w:type="dxa"/>
            <w:shd w:val="clear" w:color="auto" w:fill="E9EEF5"/>
            <w:tcMar>
              <w:top w:w="80" w:type="dxa"/>
              <w:left w:w="90" w:type="dxa"/>
              <w:bottom w:w="80" w:type="dxa"/>
              <w:right w:w="90" w:type="dxa"/>
            </w:tcMar>
          </w:tcPr>
          <w:p w14:paraId="2FAB656B" w14:textId="77777777" w:rsidR="00AB1DDB" w:rsidRDefault="00D815AB">
            <w:pPr>
              <w:spacing w:line="480" w:lineRule="auto"/>
              <w:jc w:val="center"/>
            </w:pPr>
            <w:r>
              <w:rPr>
                <w:b/>
                <w:sz w:val="16"/>
              </w:rPr>
              <w:t>Level</w:t>
            </w:r>
          </w:p>
        </w:tc>
        <w:tc>
          <w:tcPr>
            <w:tcW w:w="2232" w:type="dxa"/>
            <w:shd w:val="clear" w:color="auto" w:fill="E9EEF5"/>
            <w:tcMar>
              <w:top w:w="80" w:type="dxa"/>
              <w:left w:w="90" w:type="dxa"/>
              <w:bottom w:w="80" w:type="dxa"/>
              <w:right w:w="90" w:type="dxa"/>
            </w:tcMar>
          </w:tcPr>
          <w:p w14:paraId="5D5E7D4E" w14:textId="77777777" w:rsidR="00AB1DDB" w:rsidRDefault="00D815AB">
            <w:pPr>
              <w:spacing w:line="480" w:lineRule="auto"/>
            </w:pPr>
            <w:r>
              <w:rPr>
                <w:b/>
                <w:sz w:val="16"/>
              </w:rPr>
              <w:t>Position(s)</w:t>
            </w:r>
          </w:p>
        </w:tc>
        <w:tc>
          <w:tcPr>
            <w:tcW w:w="4824" w:type="dxa"/>
            <w:shd w:val="clear" w:color="auto" w:fill="E9EEF5"/>
            <w:tcMar>
              <w:top w:w="80" w:type="dxa"/>
              <w:left w:w="90" w:type="dxa"/>
              <w:bottom w:w="80" w:type="dxa"/>
              <w:right w:w="90" w:type="dxa"/>
            </w:tcMar>
          </w:tcPr>
          <w:p w14:paraId="0CFA0576" w14:textId="77777777" w:rsidR="00AB1DDB" w:rsidRDefault="00D815AB">
            <w:pPr>
              <w:spacing w:line="480" w:lineRule="auto"/>
            </w:pPr>
            <w:r>
              <w:rPr>
                <w:b/>
                <w:sz w:val="16"/>
              </w:rPr>
              <w:t>Mutation call(s)</w:t>
            </w:r>
          </w:p>
        </w:tc>
      </w:tr>
      <w:tr w:rsidR="00AB1DDB" w14:paraId="798B376B" w14:textId="77777777">
        <w:trPr>
          <w:cantSplit/>
          <w:jc w:val="center"/>
        </w:trPr>
        <w:tc>
          <w:tcPr>
            <w:tcW w:w="1008" w:type="dxa"/>
            <w:vMerge w:val="restart"/>
            <w:tcMar>
              <w:top w:w="80" w:type="dxa"/>
              <w:left w:w="90" w:type="dxa"/>
              <w:bottom w:w="80" w:type="dxa"/>
              <w:right w:w="90" w:type="dxa"/>
            </w:tcMar>
          </w:tcPr>
          <w:p w14:paraId="794CA186" w14:textId="77777777" w:rsidR="00AB1DDB" w:rsidRDefault="00D815AB">
            <w:pPr>
              <w:spacing w:line="480" w:lineRule="auto"/>
              <w:jc w:val="center"/>
            </w:pPr>
            <w:r>
              <w:rPr>
                <w:b/>
                <w:sz w:val="16"/>
              </w:rPr>
              <w:t>M1</w:t>
            </w:r>
          </w:p>
        </w:tc>
        <w:tc>
          <w:tcPr>
            <w:tcW w:w="1296" w:type="dxa"/>
            <w:tcMar>
              <w:top w:w="80" w:type="dxa"/>
              <w:left w:w="90" w:type="dxa"/>
              <w:bottom w:w="80" w:type="dxa"/>
              <w:right w:w="90" w:type="dxa"/>
            </w:tcMar>
          </w:tcPr>
          <w:p w14:paraId="0BDD9508" w14:textId="77777777" w:rsidR="00AB1DDB" w:rsidRDefault="00D815AB">
            <w:pPr>
              <w:spacing w:line="480" w:lineRule="auto"/>
              <w:jc w:val="center"/>
            </w:pPr>
            <w:r>
              <w:rPr>
                <w:sz w:val="16"/>
              </w:rPr>
              <w:t>cDNA</w:t>
            </w:r>
          </w:p>
        </w:tc>
        <w:tc>
          <w:tcPr>
            <w:tcW w:w="2232" w:type="dxa"/>
            <w:tcMar>
              <w:top w:w="80" w:type="dxa"/>
              <w:left w:w="90" w:type="dxa"/>
              <w:bottom w:w="80" w:type="dxa"/>
              <w:right w:w="90" w:type="dxa"/>
            </w:tcMar>
          </w:tcPr>
          <w:p w14:paraId="4EAB176B" w14:textId="77777777" w:rsidR="00AB1DDB" w:rsidRDefault="00D815AB">
            <w:pPr>
              <w:spacing w:line="480" w:lineRule="auto"/>
            </w:pPr>
            <w:r>
              <w:rPr>
                <w:sz w:val="16"/>
              </w:rPr>
              <w:t>185, 228, 364, 432, 483, 549, 599, 618, 665, 715, 717</w:t>
            </w:r>
          </w:p>
        </w:tc>
        <w:tc>
          <w:tcPr>
            <w:tcW w:w="4824" w:type="dxa"/>
            <w:tcMar>
              <w:top w:w="80" w:type="dxa"/>
              <w:left w:w="90" w:type="dxa"/>
              <w:bottom w:w="80" w:type="dxa"/>
              <w:right w:w="90" w:type="dxa"/>
            </w:tcMar>
          </w:tcPr>
          <w:p w14:paraId="14AE309A" w14:textId="77777777" w:rsidR="00AB1DDB" w:rsidRDefault="00D815AB">
            <w:pPr>
              <w:spacing w:line="480" w:lineRule="auto"/>
            </w:pPr>
            <w:r>
              <w:rPr>
                <w:sz w:val="16"/>
              </w:rPr>
              <w:t>c.185T&gt;A, c.228A&gt;C, c.364T&gt;C, c.432A&gt;T, c.483T&gt;A, c.549A&gt;T, c.599T&gt;C, c.618A&gt;T, c.665T&gt;A, c.715T&gt;G, c.717A&gt;T</w:t>
            </w:r>
          </w:p>
        </w:tc>
      </w:tr>
      <w:tr w:rsidR="00AB1DDB" w14:paraId="2C38A9C0" w14:textId="77777777">
        <w:trPr>
          <w:cantSplit/>
          <w:jc w:val="center"/>
        </w:trPr>
        <w:tc>
          <w:tcPr>
            <w:tcW w:w="2484" w:type="dxa"/>
            <w:vMerge/>
          </w:tcPr>
          <w:p w14:paraId="6CD9FBE7" w14:textId="77777777" w:rsidR="00AB1DDB" w:rsidRDefault="00AB1DDB"/>
        </w:tc>
        <w:tc>
          <w:tcPr>
            <w:tcW w:w="1296" w:type="dxa"/>
            <w:tcMar>
              <w:top w:w="80" w:type="dxa"/>
              <w:left w:w="90" w:type="dxa"/>
              <w:bottom w:w="80" w:type="dxa"/>
              <w:right w:w="90" w:type="dxa"/>
            </w:tcMar>
          </w:tcPr>
          <w:p w14:paraId="01A1CCD3" w14:textId="77777777" w:rsidR="00AB1DDB" w:rsidRDefault="00D815AB">
            <w:pPr>
              <w:spacing w:line="480" w:lineRule="auto"/>
              <w:jc w:val="center"/>
            </w:pPr>
            <w:r>
              <w:rPr>
                <w:sz w:val="16"/>
              </w:rPr>
              <w:t>Protein</w:t>
            </w:r>
          </w:p>
        </w:tc>
        <w:tc>
          <w:tcPr>
            <w:tcW w:w="2232" w:type="dxa"/>
            <w:tcMar>
              <w:top w:w="80" w:type="dxa"/>
              <w:left w:w="90" w:type="dxa"/>
              <w:bottom w:w="80" w:type="dxa"/>
              <w:right w:w="90" w:type="dxa"/>
            </w:tcMar>
          </w:tcPr>
          <w:p w14:paraId="373B7087" w14:textId="77777777" w:rsidR="00AB1DDB" w:rsidRDefault="00D815AB">
            <w:pPr>
              <w:spacing w:line="480" w:lineRule="auto"/>
            </w:pPr>
            <w:r>
              <w:rPr>
                <w:sz w:val="16"/>
              </w:rPr>
              <w:t>62, 76, 122, 144, 161, 183, 200, 206, 222, 239</w:t>
            </w:r>
          </w:p>
        </w:tc>
        <w:tc>
          <w:tcPr>
            <w:tcW w:w="4824" w:type="dxa"/>
            <w:tcMar>
              <w:top w:w="80" w:type="dxa"/>
              <w:left w:w="90" w:type="dxa"/>
              <w:bottom w:w="80" w:type="dxa"/>
              <w:right w:w="90" w:type="dxa"/>
            </w:tcMar>
          </w:tcPr>
          <w:p w14:paraId="7E58B585" w14:textId="77777777" w:rsidR="00AB1DDB" w:rsidRDefault="00D815AB">
            <w:pPr>
              <w:spacing w:line="480" w:lineRule="auto"/>
            </w:pPr>
            <w:r>
              <w:rPr>
                <w:sz w:val="16"/>
              </w:rPr>
              <w:t>p.V62E, p.V76V, p.S122P, p.T144T, p.D161E, p.I183I, p.M200T, p.T206T, p.I222N, p.*239D</w:t>
            </w:r>
          </w:p>
        </w:tc>
      </w:tr>
      <w:tr w:rsidR="00AB1DDB" w14:paraId="46A1AE13" w14:textId="77777777">
        <w:trPr>
          <w:cantSplit/>
          <w:jc w:val="center"/>
        </w:trPr>
        <w:tc>
          <w:tcPr>
            <w:tcW w:w="1008" w:type="dxa"/>
            <w:vMerge w:val="restart"/>
            <w:tcMar>
              <w:top w:w="80" w:type="dxa"/>
              <w:left w:w="90" w:type="dxa"/>
              <w:bottom w:w="80" w:type="dxa"/>
              <w:right w:w="90" w:type="dxa"/>
            </w:tcMar>
          </w:tcPr>
          <w:p w14:paraId="14D4FD19" w14:textId="77777777" w:rsidR="00AB1DDB" w:rsidRDefault="00D815AB">
            <w:pPr>
              <w:spacing w:line="480" w:lineRule="auto"/>
              <w:jc w:val="center"/>
            </w:pPr>
            <w:r>
              <w:rPr>
                <w:b/>
                <w:sz w:val="16"/>
              </w:rPr>
              <w:t>M2</w:t>
            </w:r>
          </w:p>
        </w:tc>
        <w:tc>
          <w:tcPr>
            <w:tcW w:w="1296" w:type="dxa"/>
            <w:tcMar>
              <w:top w:w="80" w:type="dxa"/>
              <w:left w:w="90" w:type="dxa"/>
              <w:bottom w:w="80" w:type="dxa"/>
              <w:right w:w="90" w:type="dxa"/>
            </w:tcMar>
          </w:tcPr>
          <w:p w14:paraId="49FE7376" w14:textId="77777777" w:rsidR="00AB1DDB" w:rsidRDefault="00D815AB">
            <w:pPr>
              <w:spacing w:line="480" w:lineRule="auto"/>
              <w:jc w:val="center"/>
            </w:pPr>
            <w:r>
              <w:rPr>
                <w:sz w:val="16"/>
              </w:rPr>
              <w:t>cDNA</w:t>
            </w:r>
          </w:p>
        </w:tc>
        <w:tc>
          <w:tcPr>
            <w:tcW w:w="2232" w:type="dxa"/>
            <w:tcMar>
              <w:top w:w="80" w:type="dxa"/>
              <w:left w:w="90" w:type="dxa"/>
              <w:bottom w:w="80" w:type="dxa"/>
              <w:right w:w="90" w:type="dxa"/>
            </w:tcMar>
          </w:tcPr>
          <w:p w14:paraId="41A0455E" w14:textId="77777777" w:rsidR="00AB1DDB" w:rsidRDefault="00D815AB">
            <w:pPr>
              <w:spacing w:line="480" w:lineRule="auto"/>
            </w:pPr>
            <w:r>
              <w:rPr>
                <w:sz w:val="16"/>
              </w:rPr>
              <w:t>105, 108, 109, 110, 340, 410, 544, 712</w:t>
            </w:r>
          </w:p>
        </w:tc>
        <w:tc>
          <w:tcPr>
            <w:tcW w:w="4824" w:type="dxa"/>
            <w:tcMar>
              <w:top w:w="80" w:type="dxa"/>
              <w:left w:w="90" w:type="dxa"/>
              <w:bottom w:w="80" w:type="dxa"/>
              <w:right w:w="90" w:type="dxa"/>
            </w:tcMar>
          </w:tcPr>
          <w:p w14:paraId="3C91F646" w14:textId="77777777" w:rsidR="00AB1DDB" w:rsidRDefault="00D815AB">
            <w:pPr>
              <w:spacing w:line="480" w:lineRule="auto"/>
            </w:pPr>
            <w:r>
              <w:rPr>
                <w:sz w:val="16"/>
              </w:rPr>
              <w:t>c.105T&gt;A, c.108G&gt;A, c.109T&gt;A, c.110T&gt;G, c.340A&gt;C, c.410G&gt;C, c.544A&gt;G, c.712G&gt;A</w:t>
            </w:r>
          </w:p>
        </w:tc>
      </w:tr>
      <w:tr w:rsidR="00AB1DDB" w14:paraId="15BC5AF1" w14:textId="77777777">
        <w:trPr>
          <w:cantSplit/>
          <w:jc w:val="center"/>
        </w:trPr>
        <w:tc>
          <w:tcPr>
            <w:tcW w:w="2484" w:type="dxa"/>
            <w:vMerge/>
          </w:tcPr>
          <w:p w14:paraId="439FF627" w14:textId="77777777" w:rsidR="00AB1DDB" w:rsidRDefault="00AB1DDB"/>
        </w:tc>
        <w:tc>
          <w:tcPr>
            <w:tcW w:w="1296" w:type="dxa"/>
            <w:tcMar>
              <w:top w:w="80" w:type="dxa"/>
              <w:left w:w="90" w:type="dxa"/>
              <w:bottom w:w="80" w:type="dxa"/>
              <w:right w:w="90" w:type="dxa"/>
            </w:tcMar>
          </w:tcPr>
          <w:p w14:paraId="6AB31B8B" w14:textId="77777777" w:rsidR="00AB1DDB" w:rsidRDefault="00D815AB">
            <w:pPr>
              <w:spacing w:line="480" w:lineRule="auto"/>
              <w:jc w:val="center"/>
            </w:pPr>
            <w:r>
              <w:rPr>
                <w:sz w:val="16"/>
              </w:rPr>
              <w:t>Protein</w:t>
            </w:r>
          </w:p>
        </w:tc>
        <w:tc>
          <w:tcPr>
            <w:tcW w:w="2232" w:type="dxa"/>
            <w:tcMar>
              <w:top w:w="80" w:type="dxa"/>
              <w:left w:w="90" w:type="dxa"/>
              <w:bottom w:w="80" w:type="dxa"/>
              <w:right w:w="90" w:type="dxa"/>
            </w:tcMar>
          </w:tcPr>
          <w:p w14:paraId="74349A7B" w14:textId="77777777" w:rsidR="00AB1DDB" w:rsidRDefault="00D815AB">
            <w:pPr>
              <w:spacing w:line="480" w:lineRule="auto"/>
            </w:pPr>
            <w:r>
              <w:rPr>
                <w:sz w:val="16"/>
              </w:rPr>
              <w:t>35, 36, 37, 114, 137, 182, 238</w:t>
            </w:r>
          </w:p>
        </w:tc>
        <w:tc>
          <w:tcPr>
            <w:tcW w:w="4824" w:type="dxa"/>
            <w:tcMar>
              <w:top w:w="80" w:type="dxa"/>
              <w:left w:w="90" w:type="dxa"/>
              <w:bottom w:w="80" w:type="dxa"/>
              <w:right w:w="90" w:type="dxa"/>
            </w:tcMar>
          </w:tcPr>
          <w:p w14:paraId="21174B9C" w14:textId="77777777" w:rsidR="00AB1DDB" w:rsidRDefault="00D815AB">
            <w:pPr>
              <w:spacing w:line="480" w:lineRule="auto"/>
            </w:pPr>
            <w:r>
              <w:rPr>
                <w:sz w:val="16"/>
              </w:rPr>
              <w:t>p.N35K, p.E36E, p.F37S, p.I114L, p.R137T, p.M182V, p.G238R</w:t>
            </w:r>
          </w:p>
        </w:tc>
      </w:tr>
      <w:tr w:rsidR="00AB1DDB" w14:paraId="4B6A6F58" w14:textId="77777777">
        <w:trPr>
          <w:cantSplit/>
          <w:jc w:val="center"/>
        </w:trPr>
        <w:tc>
          <w:tcPr>
            <w:tcW w:w="1008" w:type="dxa"/>
            <w:vMerge w:val="restart"/>
            <w:tcMar>
              <w:top w:w="80" w:type="dxa"/>
              <w:left w:w="90" w:type="dxa"/>
              <w:bottom w:w="80" w:type="dxa"/>
              <w:right w:w="90" w:type="dxa"/>
            </w:tcMar>
          </w:tcPr>
          <w:p w14:paraId="75F99D06" w14:textId="77777777" w:rsidR="00AB1DDB" w:rsidRDefault="00D815AB">
            <w:pPr>
              <w:spacing w:line="480" w:lineRule="auto"/>
              <w:jc w:val="center"/>
            </w:pPr>
            <w:r>
              <w:rPr>
                <w:b/>
                <w:sz w:val="16"/>
              </w:rPr>
              <w:t>M3</w:t>
            </w:r>
          </w:p>
        </w:tc>
        <w:tc>
          <w:tcPr>
            <w:tcW w:w="1296" w:type="dxa"/>
            <w:tcMar>
              <w:top w:w="80" w:type="dxa"/>
              <w:left w:w="90" w:type="dxa"/>
              <w:bottom w:w="80" w:type="dxa"/>
              <w:right w:w="90" w:type="dxa"/>
            </w:tcMar>
          </w:tcPr>
          <w:p w14:paraId="0409E858" w14:textId="77777777" w:rsidR="00AB1DDB" w:rsidRDefault="00D815AB">
            <w:pPr>
              <w:spacing w:line="480" w:lineRule="auto"/>
              <w:jc w:val="center"/>
            </w:pPr>
            <w:r>
              <w:rPr>
                <w:sz w:val="16"/>
              </w:rPr>
              <w:t>cDNA</w:t>
            </w:r>
          </w:p>
        </w:tc>
        <w:tc>
          <w:tcPr>
            <w:tcW w:w="2232" w:type="dxa"/>
            <w:tcMar>
              <w:top w:w="80" w:type="dxa"/>
              <w:left w:w="90" w:type="dxa"/>
              <w:bottom w:w="80" w:type="dxa"/>
              <w:right w:w="90" w:type="dxa"/>
            </w:tcMar>
          </w:tcPr>
          <w:p w14:paraId="0B232082" w14:textId="77777777" w:rsidR="00AB1DDB" w:rsidRDefault="00D815AB">
            <w:pPr>
              <w:spacing w:line="480" w:lineRule="auto"/>
            </w:pPr>
            <w:r>
              <w:rPr>
                <w:sz w:val="16"/>
              </w:rPr>
              <w:t>90, 165, 179, 185, 310, 445, 506, 620</w:t>
            </w:r>
          </w:p>
        </w:tc>
        <w:tc>
          <w:tcPr>
            <w:tcW w:w="4824" w:type="dxa"/>
            <w:tcMar>
              <w:top w:w="80" w:type="dxa"/>
              <w:left w:w="90" w:type="dxa"/>
              <w:bottom w:w="80" w:type="dxa"/>
              <w:right w:w="90" w:type="dxa"/>
            </w:tcMar>
          </w:tcPr>
          <w:p w14:paraId="5DA2D8F7" w14:textId="77777777" w:rsidR="00AB1DDB" w:rsidRDefault="00D815AB">
            <w:pPr>
              <w:spacing w:line="480" w:lineRule="auto"/>
            </w:pPr>
            <w:r>
              <w:rPr>
                <w:sz w:val="16"/>
              </w:rPr>
              <w:t>c.90T&gt;C, c.165A&gt;T, c.179A&gt;T, c.185T&gt;A, c.310T&gt;G, c.445C&gt;T, c.506T&gt;C, c.620T&gt;A</w:t>
            </w:r>
          </w:p>
        </w:tc>
      </w:tr>
      <w:tr w:rsidR="00AB1DDB" w14:paraId="4A4A4CFC" w14:textId="77777777">
        <w:trPr>
          <w:cantSplit/>
          <w:jc w:val="center"/>
        </w:trPr>
        <w:tc>
          <w:tcPr>
            <w:tcW w:w="2484" w:type="dxa"/>
            <w:vMerge/>
          </w:tcPr>
          <w:p w14:paraId="4D3E6739" w14:textId="77777777" w:rsidR="00AB1DDB" w:rsidRDefault="00AB1DDB"/>
        </w:tc>
        <w:tc>
          <w:tcPr>
            <w:tcW w:w="1296" w:type="dxa"/>
            <w:tcMar>
              <w:top w:w="80" w:type="dxa"/>
              <w:left w:w="90" w:type="dxa"/>
              <w:bottom w:w="80" w:type="dxa"/>
              <w:right w:w="90" w:type="dxa"/>
            </w:tcMar>
          </w:tcPr>
          <w:p w14:paraId="6E0AD0E4" w14:textId="77777777" w:rsidR="00AB1DDB" w:rsidRDefault="00D815AB">
            <w:pPr>
              <w:spacing w:line="480" w:lineRule="auto"/>
              <w:jc w:val="center"/>
            </w:pPr>
            <w:r>
              <w:rPr>
                <w:sz w:val="16"/>
              </w:rPr>
              <w:t>Protein</w:t>
            </w:r>
          </w:p>
        </w:tc>
        <w:tc>
          <w:tcPr>
            <w:tcW w:w="2232" w:type="dxa"/>
            <w:tcMar>
              <w:top w:w="80" w:type="dxa"/>
              <w:left w:w="90" w:type="dxa"/>
              <w:bottom w:w="80" w:type="dxa"/>
              <w:right w:w="90" w:type="dxa"/>
            </w:tcMar>
          </w:tcPr>
          <w:p w14:paraId="2FFCBD34" w14:textId="77777777" w:rsidR="00AB1DDB" w:rsidRDefault="00D815AB">
            <w:pPr>
              <w:spacing w:line="480" w:lineRule="auto"/>
            </w:pPr>
            <w:r>
              <w:rPr>
                <w:sz w:val="16"/>
              </w:rPr>
              <w:t>30, 55, 60, 62, 104, 149, 169, 207</w:t>
            </w:r>
          </w:p>
        </w:tc>
        <w:tc>
          <w:tcPr>
            <w:tcW w:w="4824" w:type="dxa"/>
            <w:tcMar>
              <w:top w:w="80" w:type="dxa"/>
              <w:left w:w="90" w:type="dxa"/>
              <w:bottom w:w="80" w:type="dxa"/>
              <w:right w:w="90" w:type="dxa"/>
            </w:tcMar>
          </w:tcPr>
          <w:p w14:paraId="0DF34FD5" w14:textId="77777777" w:rsidR="00AB1DDB" w:rsidRDefault="00D815AB">
            <w:pPr>
              <w:spacing w:line="480" w:lineRule="auto"/>
            </w:pPr>
            <w:r>
              <w:rPr>
                <w:sz w:val="16"/>
              </w:rPr>
              <w:t>p.I30I, p.P55P, p.K60M, p.V62E, p.C104G, p.L149F, p.V169A, p.F207Y</w:t>
            </w:r>
          </w:p>
        </w:tc>
      </w:tr>
    </w:tbl>
    <w:p w14:paraId="1F7838A4" w14:textId="77777777" w:rsidR="00AB1DDB" w:rsidRDefault="00D815AB">
      <w:pPr>
        <w:spacing w:after="0" w:line="480" w:lineRule="auto"/>
      </w:pPr>
      <w:r>
        <w:t xml:space="preserve">Tabulated cDNA-level and protein-level mutations identified in the enriched </w:t>
      </w:r>
      <w:r>
        <w:rPr>
          <w:i/>
          <w:iCs/>
        </w:rPr>
        <w:t>kfiA</w:t>
      </w:r>
      <w:r>
        <w:t xml:space="preserve"> variants M1, M2, and M3 isolated after repeat enrichment.</w:t>
      </w:r>
    </w:p>
    <w:p w14:paraId="62219DEE" w14:textId="77777777" w:rsidR="00AB1DDB" w:rsidRDefault="00D815AB">
      <w:pPr>
        <w:pStyle w:val="SuppFigure"/>
        <w:pageBreakBefore/>
        <w:spacing w:after="0" w:line="480" w:lineRule="auto"/>
      </w:pPr>
      <w:r>
        <w:lastRenderedPageBreak/>
        <w:t>Supplementary Figure S20. Schematic of the NADH-coupled assay.</w:t>
      </w:r>
    </w:p>
    <w:p w14:paraId="3EB48FB3" w14:textId="77777777" w:rsidR="00AB1DDB" w:rsidRDefault="00D815AB">
      <w:pPr>
        <w:spacing w:after="0" w:line="480" w:lineRule="auto"/>
        <w:jc w:val="center"/>
      </w:pPr>
      <w:r>
        <w:rPr>
          <w:noProof/>
        </w:rPr>
        <w:drawing>
          <wp:inline distT="0" distB="0" distL="0" distR="0" wp14:anchorId="481F718A" wp14:editId="7953A23B">
            <wp:extent cx="5669280" cy="174398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H_coupling_cropped.png"/>
                    <pic:cNvPicPr/>
                  </pic:nvPicPr>
                  <pic:blipFill>
                    <a:blip r:embed="rId27"/>
                    <a:stretch>
                      <a:fillRect/>
                    </a:stretch>
                  </pic:blipFill>
                  <pic:spPr>
                    <a:xfrm>
                      <a:off x="0" y="0"/>
                      <a:ext cx="5669280" cy="1743989"/>
                    </a:xfrm>
                    <a:prstGeom prst="rect">
                      <a:avLst/>
                    </a:prstGeom>
                  </pic:spPr>
                </pic:pic>
              </a:graphicData>
            </a:graphic>
          </wp:inline>
        </w:drawing>
      </w:r>
    </w:p>
    <w:p w14:paraId="2FF99082" w14:textId="77777777" w:rsidR="00AB1DDB" w:rsidRDefault="00D815AB">
      <w:pPr>
        <w:pStyle w:val="SuppCaption"/>
        <w:spacing w:after="0" w:line="480" w:lineRule="auto"/>
      </w:pPr>
      <w:r>
        <w:t>Schematic of the NADH-coupled assay used for coupled-output quantification in Fig. 5D.</w:t>
      </w:r>
    </w:p>
    <w:p w14:paraId="142993D6" w14:textId="77777777" w:rsidR="00AB1DDB" w:rsidRDefault="00D815AB">
      <w:pPr>
        <w:spacing w:after="0" w:line="480" w:lineRule="auto"/>
      </w:pPr>
      <w:r>
        <w:br w:type="page"/>
      </w:r>
    </w:p>
    <w:p w14:paraId="1A192C98" w14:textId="77777777" w:rsidR="00AB1DDB" w:rsidRDefault="00D815AB">
      <w:pPr>
        <w:pStyle w:val="SuppFigure"/>
        <w:spacing w:after="0" w:line="480" w:lineRule="auto"/>
      </w:pPr>
      <w:r>
        <w:lastRenderedPageBreak/>
        <w:t xml:space="preserve">Supplementary Figure S21. Raw NADH-coupled kinetic traces for WT and enriched </w:t>
      </w:r>
      <w:r>
        <w:rPr>
          <w:i/>
        </w:rPr>
        <w:t>kfiA</w:t>
      </w:r>
      <w:r>
        <w:t xml:space="preserve"> variants.</w:t>
      </w:r>
    </w:p>
    <w:p w14:paraId="52D0915E" w14:textId="77777777" w:rsidR="00AB1DDB" w:rsidRDefault="00D815AB">
      <w:pPr>
        <w:spacing w:after="0" w:line="480" w:lineRule="auto"/>
        <w:jc w:val="center"/>
      </w:pPr>
      <w:r>
        <w:rPr>
          <w:noProof/>
        </w:rPr>
        <w:drawing>
          <wp:inline distT="0" distB="0" distL="0" distR="0" wp14:anchorId="1883AF3E" wp14:editId="0EE6901A">
            <wp:extent cx="5943600" cy="389180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h_kinetic_traces_supp_final.png"/>
                    <pic:cNvPicPr/>
                  </pic:nvPicPr>
                  <pic:blipFill>
                    <a:blip r:embed="rId28"/>
                    <a:stretch>
                      <a:fillRect/>
                    </a:stretch>
                  </pic:blipFill>
                  <pic:spPr>
                    <a:xfrm>
                      <a:off x="0" y="0"/>
                      <a:ext cx="5943600" cy="3891806"/>
                    </a:xfrm>
                    <a:prstGeom prst="rect">
                      <a:avLst/>
                    </a:prstGeom>
                  </pic:spPr>
                </pic:pic>
              </a:graphicData>
            </a:graphic>
          </wp:inline>
        </w:drawing>
      </w:r>
    </w:p>
    <w:p w14:paraId="2665AE4C" w14:textId="77777777" w:rsidR="00AB1DDB" w:rsidRDefault="00D815AB">
      <w:pPr>
        <w:pStyle w:val="SuppCaption"/>
        <w:spacing w:after="0" w:line="480" w:lineRule="auto"/>
      </w:pPr>
      <w:r>
        <w:t>Raw A340 time-course traces used for slope extraction in Fig. 5D. Thin lines indicate biological replicates; thick lines indicate group means.</w:t>
      </w:r>
    </w:p>
    <w:p w14:paraId="25DC69B6" w14:textId="77777777" w:rsidR="00AB1DDB" w:rsidRDefault="00AB1DDB">
      <w:pPr>
        <w:spacing w:after="0" w:line="480" w:lineRule="auto"/>
      </w:pPr>
    </w:p>
    <w:p w14:paraId="13D02544" w14:textId="77777777" w:rsidR="00AB1DDB" w:rsidRDefault="00D815AB">
      <w:pPr>
        <w:pStyle w:val="SuppSection"/>
        <w:keepNext/>
        <w:pageBreakBefore/>
        <w:spacing w:after="0" w:line="480" w:lineRule="auto"/>
      </w:pPr>
      <w:r>
        <w:rPr>
          <w:rFonts w:ascii="Arial" w:eastAsia="Arial" w:hAnsi="Arial"/>
          <w:sz w:val="22"/>
        </w:rPr>
        <w:lastRenderedPageBreak/>
        <w:t>Section VI. Transcriptomic comparison between K5-WGE and K5</w:t>
      </w:r>
    </w:p>
    <w:p w14:paraId="33325362" w14:textId="77777777" w:rsidR="00AB1DDB" w:rsidRDefault="00D815AB">
      <w:pPr>
        <w:pStyle w:val="SuppFigure"/>
        <w:keepNext/>
        <w:spacing w:after="0" w:line="480" w:lineRule="auto"/>
      </w:pPr>
      <w:r>
        <w:t>Supplementary Figure S22. K5-WGE gene saturation.</w:t>
      </w:r>
    </w:p>
    <w:p w14:paraId="2CB59A7D" w14:textId="77777777" w:rsidR="00AB1DDB" w:rsidRDefault="00D815AB">
      <w:pPr>
        <w:spacing w:after="0" w:line="480" w:lineRule="auto"/>
        <w:jc w:val="center"/>
      </w:pPr>
      <w:r>
        <w:rPr>
          <w:noProof/>
        </w:rPr>
        <w:drawing>
          <wp:inline distT="0" distB="0" distL="0" distR="0" wp14:anchorId="3E330039" wp14:editId="459C6F30">
            <wp:extent cx="5580000" cy="415319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5.png"/>
                    <pic:cNvPicPr/>
                  </pic:nvPicPr>
                  <pic:blipFill>
                    <a:blip r:embed="rId29"/>
                    <a:stretch>
                      <a:fillRect/>
                    </a:stretch>
                  </pic:blipFill>
                  <pic:spPr>
                    <a:xfrm>
                      <a:off x="0" y="0"/>
                      <a:ext cx="5580000" cy="4153192"/>
                    </a:xfrm>
                    <a:prstGeom prst="rect">
                      <a:avLst/>
                    </a:prstGeom>
                  </pic:spPr>
                </pic:pic>
              </a:graphicData>
            </a:graphic>
          </wp:inline>
        </w:drawing>
      </w:r>
    </w:p>
    <w:p w14:paraId="4DF4769D" w14:textId="77777777" w:rsidR="00AB1DDB" w:rsidRDefault="00D815AB">
      <w:pPr>
        <w:pStyle w:val="SuppCaption"/>
        <w:spacing w:after="0" w:line="480" w:lineRule="auto"/>
      </w:pPr>
      <w:r>
        <w:t>Gene-saturation plot for K5-WGE.</w:t>
      </w:r>
    </w:p>
    <w:p w14:paraId="367750A2" w14:textId="77777777" w:rsidR="00AB1DDB" w:rsidRDefault="00D815AB">
      <w:pPr>
        <w:spacing w:after="0" w:line="480" w:lineRule="auto"/>
      </w:pPr>
      <w:r>
        <w:br w:type="page"/>
      </w:r>
    </w:p>
    <w:p w14:paraId="1A5D2A66" w14:textId="77777777" w:rsidR="00AB1DDB" w:rsidRDefault="00D815AB">
      <w:pPr>
        <w:pStyle w:val="SuppFigure"/>
        <w:keepNext/>
        <w:spacing w:after="0" w:line="480" w:lineRule="auto"/>
      </w:pPr>
      <w:r>
        <w:lastRenderedPageBreak/>
        <w:t>Supplementary Figure S23. K5 gene saturation.</w:t>
      </w:r>
    </w:p>
    <w:p w14:paraId="033052D7" w14:textId="77777777" w:rsidR="00AB1DDB" w:rsidRDefault="00D815AB">
      <w:pPr>
        <w:spacing w:after="0" w:line="480" w:lineRule="auto"/>
        <w:jc w:val="center"/>
      </w:pPr>
      <w:r>
        <w:rPr>
          <w:noProof/>
        </w:rPr>
        <w:drawing>
          <wp:inline distT="0" distB="0" distL="0" distR="0" wp14:anchorId="1D624E2B" wp14:editId="5F5D9745">
            <wp:extent cx="5580000" cy="41464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6.png"/>
                    <pic:cNvPicPr/>
                  </pic:nvPicPr>
                  <pic:blipFill>
                    <a:blip r:embed="rId30"/>
                    <a:stretch>
                      <a:fillRect/>
                    </a:stretch>
                  </pic:blipFill>
                  <pic:spPr>
                    <a:xfrm>
                      <a:off x="0" y="0"/>
                      <a:ext cx="5580000" cy="4146439"/>
                    </a:xfrm>
                    <a:prstGeom prst="rect">
                      <a:avLst/>
                    </a:prstGeom>
                  </pic:spPr>
                </pic:pic>
              </a:graphicData>
            </a:graphic>
          </wp:inline>
        </w:drawing>
      </w:r>
    </w:p>
    <w:p w14:paraId="6FE6B607" w14:textId="77777777" w:rsidR="00AB1DDB" w:rsidRDefault="00D815AB">
      <w:pPr>
        <w:pStyle w:val="SuppCaption"/>
        <w:spacing w:after="0" w:line="480" w:lineRule="auto"/>
      </w:pPr>
      <w:r>
        <w:t>Gene-saturation plot for K5.</w:t>
      </w:r>
    </w:p>
    <w:p w14:paraId="00E22608" w14:textId="77777777" w:rsidR="00AB1DDB" w:rsidRDefault="00D815AB">
      <w:pPr>
        <w:spacing w:after="0" w:line="480" w:lineRule="auto"/>
      </w:pPr>
      <w:r>
        <w:br w:type="page"/>
      </w:r>
    </w:p>
    <w:p w14:paraId="7ED9B248" w14:textId="77777777" w:rsidR="00AB1DDB" w:rsidRDefault="00D815AB">
      <w:pPr>
        <w:pStyle w:val="SuppFigure"/>
        <w:keepNext/>
        <w:spacing w:after="0" w:line="480" w:lineRule="auto"/>
      </w:pPr>
      <w:r>
        <w:lastRenderedPageBreak/>
        <w:t>Supplementary Figure S24. K5-WGE versus K5 MA plot.</w:t>
      </w:r>
    </w:p>
    <w:p w14:paraId="009968E6" w14:textId="77777777" w:rsidR="00AB1DDB" w:rsidRDefault="00D815AB">
      <w:pPr>
        <w:spacing w:after="0" w:line="480" w:lineRule="auto"/>
        <w:jc w:val="center"/>
      </w:pPr>
      <w:r>
        <w:rPr>
          <w:noProof/>
        </w:rPr>
        <w:drawing>
          <wp:inline distT="0" distB="0" distL="0" distR="0" wp14:anchorId="24810F21" wp14:editId="062E2F65">
            <wp:extent cx="5580000" cy="54143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2.png"/>
                    <pic:cNvPicPr/>
                  </pic:nvPicPr>
                  <pic:blipFill>
                    <a:blip r:embed="rId31"/>
                    <a:stretch>
                      <a:fillRect/>
                    </a:stretch>
                  </pic:blipFill>
                  <pic:spPr>
                    <a:xfrm>
                      <a:off x="0" y="0"/>
                      <a:ext cx="5580000" cy="5414310"/>
                    </a:xfrm>
                    <a:prstGeom prst="rect">
                      <a:avLst/>
                    </a:prstGeom>
                  </pic:spPr>
                </pic:pic>
              </a:graphicData>
            </a:graphic>
          </wp:inline>
        </w:drawing>
      </w:r>
    </w:p>
    <w:p w14:paraId="1859FE6C" w14:textId="77777777" w:rsidR="00AB1DDB" w:rsidRDefault="00D815AB">
      <w:pPr>
        <w:pStyle w:val="SuppCaption"/>
        <w:spacing w:after="0" w:line="480" w:lineRule="auto"/>
      </w:pPr>
      <w:r>
        <w:t>MA plot for K5-WGE versus K5.</w:t>
      </w:r>
    </w:p>
    <w:p w14:paraId="4F8237EC" w14:textId="77777777" w:rsidR="00AB1DDB" w:rsidRDefault="00D815AB">
      <w:pPr>
        <w:spacing w:after="0" w:line="480" w:lineRule="auto"/>
      </w:pPr>
      <w:r>
        <w:br w:type="page"/>
      </w:r>
    </w:p>
    <w:p w14:paraId="51A83109" w14:textId="77777777" w:rsidR="00AB1DDB" w:rsidRDefault="00D815AB">
      <w:pPr>
        <w:pStyle w:val="SuppFigure"/>
        <w:keepNext/>
        <w:spacing w:after="0" w:line="480" w:lineRule="auto"/>
      </w:pPr>
      <w:r>
        <w:lastRenderedPageBreak/>
        <w:t>Supplementary Figure S25. K5-WGE versus K5 GO enrichment support.</w:t>
      </w:r>
    </w:p>
    <w:p w14:paraId="3C6E15C3" w14:textId="77777777" w:rsidR="00AB1DDB" w:rsidRDefault="00D815AB">
      <w:pPr>
        <w:spacing w:after="0" w:line="480" w:lineRule="auto"/>
        <w:jc w:val="center"/>
      </w:pPr>
      <w:r>
        <w:rPr>
          <w:noProof/>
        </w:rPr>
        <w:drawing>
          <wp:inline distT="0" distB="0" distL="0" distR="0" wp14:anchorId="34DCF754" wp14:editId="1C092FDA">
            <wp:extent cx="5943600" cy="1880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5_S47_combo.png"/>
                    <pic:cNvPicPr/>
                  </pic:nvPicPr>
                  <pic:blipFill>
                    <a:blip r:embed="rId32"/>
                    <a:stretch>
                      <a:fillRect/>
                    </a:stretch>
                  </pic:blipFill>
                  <pic:spPr>
                    <a:xfrm>
                      <a:off x="0" y="0"/>
                      <a:ext cx="5943600" cy="1880225"/>
                    </a:xfrm>
                    <a:prstGeom prst="rect">
                      <a:avLst/>
                    </a:prstGeom>
                  </pic:spPr>
                </pic:pic>
              </a:graphicData>
            </a:graphic>
          </wp:inline>
        </w:drawing>
      </w:r>
    </w:p>
    <w:p w14:paraId="6645BE77" w14:textId="77777777" w:rsidR="00AB1DDB" w:rsidRDefault="00D815AB">
      <w:pPr>
        <w:pStyle w:val="SuppCaption"/>
        <w:spacing w:after="0" w:line="480" w:lineRule="auto"/>
      </w:pPr>
      <w:r>
        <w:t>GO enrichment summary for K5-WGE versus K5.</w:t>
      </w:r>
    </w:p>
    <w:p w14:paraId="1CA8D943" w14:textId="77777777" w:rsidR="00AB1DDB" w:rsidRDefault="00D815AB">
      <w:pPr>
        <w:spacing w:after="0" w:line="480" w:lineRule="auto"/>
      </w:pPr>
      <w:r>
        <w:br w:type="page"/>
      </w:r>
    </w:p>
    <w:p w14:paraId="14A3A6C0" w14:textId="77777777" w:rsidR="00AB1DDB" w:rsidRDefault="00D815AB">
      <w:pPr>
        <w:pStyle w:val="SuppTableTitle"/>
        <w:keepNext/>
        <w:pageBreakBefore/>
        <w:spacing w:after="0" w:line="480" w:lineRule="auto"/>
      </w:pPr>
      <w:r>
        <w:rPr>
          <w:rFonts w:ascii="Arial" w:eastAsia="Arial" w:hAnsi="Arial"/>
        </w:rPr>
        <w:lastRenderedPageBreak/>
        <w:t>Supplementary Table S4. Sample definitions and naming conventions used across datasets</w:t>
      </w:r>
    </w:p>
    <w:tbl>
      <w:tblPr>
        <w:tblStyle w:val="aff1"/>
        <w:tblW w:w="0" w:type="auto"/>
        <w:jc w:val="center"/>
        <w:tblLook w:val="04A0" w:firstRow="1" w:lastRow="0" w:firstColumn="1" w:lastColumn="0" w:noHBand="0" w:noVBand="1"/>
      </w:tblPr>
      <w:tblGrid>
        <w:gridCol w:w="2878"/>
        <w:gridCol w:w="7048"/>
      </w:tblGrid>
      <w:tr w:rsidR="00AB1DDB" w14:paraId="43A0B79E" w14:textId="77777777">
        <w:trPr>
          <w:cantSplit/>
          <w:jc w:val="center"/>
        </w:trPr>
        <w:tc>
          <w:tcPr>
            <w:tcW w:w="2880" w:type="dxa"/>
            <w:shd w:val="clear" w:color="auto" w:fill="E9EEF5"/>
            <w:tcMar>
              <w:top w:w="90" w:type="dxa"/>
              <w:left w:w="120" w:type="dxa"/>
              <w:bottom w:w="90" w:type="dxa"/>
              <w:right w:w="120" w:type="dxa"/>
            </w:tcMar>
          </w:tcPr>
          <w:p w14:paraId="6540CB32" w14:textId="77777777" w:rsidR="00AB1DDB" w:rsidRDefault="00D815AB">
            <w:pPr>
              <w:spacing w:line="480" w:lineRule="auto"/>
            </w:pPr>
            <w:r>
              <w:rPr>
                <w:sz w:val="16"/>
              </w:rPr>
              <w:t>Item</w:t>
            </w:r>
          </w:p>
        </w:tc>
        <w:tc>
          <w:tcPr>
            <w:tcW w:w="7056" w:type="dxa"/>
            <w:shd w:val="clear" w:color="auto" w:fill="E9EEF5"/>
            <w:tcMar>
              <w:top w:w="90" w:type="dxa"/>
              <w:left w:w="120" w:type="dxa"/>
              <w:bottom w:w="90" w:type="dxa"/>
              <w:right w:w="120" w:type="dxa"/>
            </w:tcMar>
          </w:tcPr>
          <w:p w14:paraId="01C026E4" w14:textId="77777777" w:rsidR="00AB1DDB" w:rsidRDefault="00D815AB">
            <w:pPr>
              <w:spacing w:line="480" w:lineRule="auto"/>
            </w:pPr>
            <w:r>
              <w:rPr>
                <w:sz w:val="16"/>
              </w:rPr>
              <w:t>Definition</w:t>
            </w:r>
          </w:p>
        </w:tc>
      </w:tr>
      <w:tr w:rsidR="00AB1DDB" w14:paraId="50AD500A" w14:textId="77777777">
        <w:trPr>
          <w:cantSplit/>
          <w:jc w:val="center"/>
        </w:trPr>
        <w:tc>
          <w:tcPr>
            <w:tcW w:w="2880" w:type="dxa"/>
            <w:tcMar>
              <w:top w:w="90" w:type="dxa"/>
              <w:left w:w="120" w:type="dxa"/>
              <w:bottom w:w="90" w:type="dxa"/>
              <w:right w:w="120" w:type="dxa"/>
            </w:tcMar>
          </w:tcPr>
          <w:p w14:paraId="07B10A7C" w14:textId="77777777" w:rsidR="00AB1DDB" w:rsidRDefault="00D815AB">
            <w:pPr>
              <w:spacing w:line="480" w:lineRule="auto"/>
            </w:pPr>
            <w:r>
              <w:rPr>
                <w:sz w:val="16"/>
              </w:rPr>
              <w:t>K1</w:t>
            </w:r>
          </w:p>
        </w:tc>
        <w:tc>
          <w:tcPr>
            <w:tcW w:w="7056" w:type="dxa"/>
            <w:tcMar>
              <w:top w:w="90" w:type="dxa"/>
              <w:left w:w="120" w:type="dxa"/>
              <w:bottom w:w="90" w:type="dxa"/>
              <w:right w:w="120" w:type="dxa"/>
            </w:tcMar>
          </w:tcPr>
          <w:p w14:paraId="2DEBF89C" w14:textId="77777777" w:rsidR="00AB1DDB" w:rsidRDefault="00D815AB">
            <w:pPr>
              <w:spacing w:line="480" w:lineRule="auto"/>
            </w:pPr>
            <w:r>
              <w:rPr>
                <w:sz w:val="16"/>
              </w:rPr>
              <w:t>K5</w:t>
            </w:r>
          </w:p>
        </w:tc>
      </w:tr>
      <w:tr w:rsidR="00AB1DDB" w14:paraId="0B28D979" w14:textId="77777777">
        <w:trPr>
          <w:cantSplit/>
          <w:jc w:val="center"/>
        </w:trPr>
        <w:tc>
          <w:tcPr>
            <w:tcW w:w="2880" w:type="dxa"/>
            <w:shd w:val="clear" w:color="auto" w:fill="F7F9FC"/>
            <w:tcMar>
              <w:top w:w="90" w:type="dxa"/>
              <w:left w:w="120" w:type="dxa"/>
              <w:bottom w:w="90" w:type="dxa"/>
              <w:right w:w="120" w:type="dxa"/>
            </w:tcMar>
          </w:tcPr>
          <w:p w14:paraId="23E46188" w14:textId="77777777" w:rsidR="00AB1DDB" w:rsidRDefault="00D815AB">
            <w:pPr>
              <w:spacing w:line="480" w:lineRule="auto"/>
            </w:pPr>
            <w:r>
              <w:rPr>
                <w:sz w:val="16"/>
              </w:rPr>
              <w:t>A1</w:t>
            </w:r>
          </w:p>
        </w:tc>
        <w:tc>
          <w:tcPr>
            <w:tcW w:w="7056" w:type="dxa"/>
            <w:shd w:val="clear" w:color="auto" w:fill="F7F9FC"/>
            <w:tcMar>
              <w:top w:w="90" w:type="dxa"/>
              <w:left w:w="120" w:type="dxa"/>
              <w:bottom w:w="90" w:type="dxa"/>
              <w:right w:w="120" w:type="dxa"/>
            </w:tcMar>
          </w:tcPr>
          <w:p w14:paraId="0B7E6657" w14:textId="77777777" w:rsidR="00AB1DDB" w:rsidRDefault="00D815AB">
            <w:pPr>
              <w:spacing w:line="480" w:lineRule="auto"/>
            </w:pPr>
            <w:r>
              <w:rPr>
                <w:sz w:val="16"/>
              </w:rPr>
              <w:t>K5A</w:t>
            </w:r>
          </w:p>
        </w:tc>
      </w:tr>
      <w:tr w:rsidR="00AB1DDB" w14:paraId="442CC1F1" w14:textId="77777777">
        <w:trPr>
          <w:cantSplit/>
          <w:jc w:val="center"/>
        </w:trPr>
        <w:tc>
          <w:tcPr>
            <w:tcW w:w="2880" w:type="dxa"/>
            <w:tcMar>
              <w:top w:w="90" w:type="dxa"/>
              <w:left w:w="120" w:type="dxa"/>
              <w:bottom w:w="90" w:type="dxa"/>
              <w:right w:w="120" w:type="dxa"/>
            </w:tcMar>
          </w:tcPr>
          <w:p w14:paraId="392B9D79" w14:textId="77777777" w:rsidR="00AB1DDB" w:rsidRDefault="00D815AB">
            <w:pPr>
              <w:spacing w:line="480" w:lineRule="auto"/>
            </w:pPr>
            <w:r>
              <w:rPr>
                <w:sz w:val="16"/>
              </w:rPr>
              <w:t>Section I transcriptome</w:t>
            </w:r>
          </w:p>
        </w:tc>
        <w:tc>
          <w:tcPr>
            <w:tcW w:w="7056" w:type="dxa"/>
            <w:tcMar>
              <w:top w:w="90" w:type="dxa"/>
              <w:left w:w="120" w:type="dxa"/>
              <w:bottom w:w="90" w:type="dxa"/>
              <w:right w:w="120" w:type="dxa"/>
            </w:tcMar>
          </w:tcPr>
          <w:p w14:paraId="5944EC5E" w14:textId="77777777" w:rsidR="00AB1DDB" w:rsidRDefault="00D815AB">
            <w:pPr>
              <w:spacing w:line="480" w:lineRule="auto"/>
            </w:pPr>
            <w:r>
              <w:rPr>
                <w:sz w:val="16"/>
              </w:rPr>
              <w:t>Stationary phase, OD600 = 2.10; no biological replicates</w:t>
            </w:r>
          </w:p>
        </w:tc>
      </w:tr>
      <w:tr w:rsidR="00AB1DDB" w14:paraId="75490AF3" w14:textId="77777777">
        <w:trPr>
          <w:cantSplit/>
          <w:jc w:val="center"/>
        </w:trPr>
        <w:tc>
          <w:tcPr>
            <w:tcW w:w="2880" w:type="dxa"/>
            <w:shd w:val="clear" w:color="auto" w:fill="F7F9FC"/>
            <w:tcMar>
              <w:top w:w="90" w:type="dxa"/>
              <w:left w:w="120" w:type="dxa"/>
              <w:bottom w:w="90" w:type="dxa"/>
              <w:right w:w="120" w:type="dxa"/>
            </w:tcMar>
          </w:tcPr>
          <w:p w14:paraId="041914B2" w14:textId="77777777" w:rsidR="00AB1DDB" w:rsidRDefault="00D815AB">
            <w:pPr>
              <w:spacing w:line="480" w:lineRule="auto"/>
            </w:pPr>
            <w:r>
              <w:rPr>
                <w:sz w:val="16"/>
              </w:rPr>
              <w:t>M9</w:t>
            </w:r>
          </w:p>
        </w:tc>
        <w:tc>
          <w:tcPr>
            <w:tcW w:w="7056" w:type="dxa"/>
            <w:shd w:val="clear" w:color="auto" w:fill="F7F9FC"/>
            <w:tcMar>
              <w:top w:w="90" w:type="dxa"/>
              <w:left w:w="120" w:type="dxa"/>
              <w:bottom w:w="90" w:type="dxa"/>
              <w:right w:w="120" w:type="dxa"/>
            </w:tcMar>
          </w:tcPr>
          <w:p w14:paraId="513B917B" w14:textId="77777777" w:rsidR="00AB1DDB" w:rsidRDefault="00D815AB">
            <w:pPr>
              <w:spacing w:line="480" w:lineRule="auto"/>
            </w:pPr>
            <w:r>
              <w:rPr>
                <w:sz w:val="16"/>
              </w:rPr>
              <w:t>K5-WGE</w:t>
            </w:r>
          </w:p>
        </w:tc>
      </w:tr>
      <w:tr w:rsidR="00AB1DDB" w14:paraId="751E5135" w14:textId="77777777">
        <w:trPr>
          <w:cantSplit/>
          <w:jc w:val="center"/>
        </w:trPr>
        <w:tc>
          <w:tcPr>
            <w:tcW w:w="2880" w:type="dxa"/>
            <w:tcMar>
              <w:top w:w="90" w:type="dxa"/>
              <w:left w:w="120" w:type="dxa"/>
              <w:bottom w:w="90" w:type="dxa"/>
              <w:right w:w="120" w:type="dxa"/>
            </w:tcMar>
          </w:tcPr>
          <w:p w14:paraId="0E36025E" w14:textId="77777777" w:rsidR="00AB1DDB" w:rsidRDefault="00D815AB">
            <w:pPr>
              <w:spacing w:line="480" w:lineRule="auto"/>
            </w:pPr>
            <w:r>
              <w:rPr>
                <w:sz w:val="16"/>
              </w:rPr>
              <w:t>NT</w:t>
            </w:r>
          </w:p>
        </w:tc>
        <w:tc>
          <w:tcPr>
            <w:tcW w:w="7056" w:type="dxa"/>
            <w:tcMar>
              <w:top w:w="90" w:type="dxa"/>
              <w:left w:w="120" w:type="dxa"/>
              <w:bottom w:w="90" w:type="dxa"/>
              <w:right w:w="120" w:type="dxa"/>
            </w:tcMar>
          </w:tcPr>
          <w:p w14:paraId="49058DD0" w14:textId="77777777" w:rsidR="00AB1DDB" w:rsidRDefault="00D815AB">
            <w:pPr>
              <w:spacing w:line="480" w:lineRule="auto"/>
            </w:pPr>
            <w:r>
              <w:rPr>
                <w:sz w:val="16"/>
              </w:rPr>
              <w:t>K5</w:t>
            </w:r>
          </w:p>
        </w:tc>
      </w:tr>
      <w:tr w:rsidR="00AB1DDB" w14:paraId="3F3F6E61" w14:textId="77777777">
        <w:trPr>
          <w:cantSplit/>
          <w:jc w:val="center"/>
        </w:trPr>
        <w:tc>
          <w:tcPr>
            <w:tcW w:w="2880" w:type="dxa"/>
            <w:shd w:val="clear" w:color="auto" w:fill="F7F9FC"/>
            <w:tcMar>
              <w:top w:w="90" w:type="dxa"/>
              <w:left w:w="120" w:type="dxa"/>
              <w:bottom w:w="90" w:type="dxa"/>
              <w:right w:w="120" w:type="dxa"/>
            </w:tcMar>
          </w:tcPr>
          <w:p w14:paraId="271E46A2" w14:textId="77777777" w:rsidR="00AB1DDB" w:rsidRDefault="00D815AB">
            <w:pPr>
              <w:spacing w:line="480" w:lineRule="auto"/>
            </w:pPr>
            <w:r>
              <w:rPr>
                <w:sz w:val="16"/>
              </w:rPr>
              <w:t>Section VI transcriptome</w:t>
            </w:r>
          </w:p>
        </w:tc>
        <w:tc>
          <w:tcPr>
            <w:tcW w:w="7056" w:type="dxa"/>
            <w:shd w:val="clear" w:color="auto" w:fill="F7F9FC"/>
            <w:tcMar>
              <w:top w:w="90" w:type="dxa"/>
              <w:left w:w="120" w:type="dxa"/>
              <w:bottom w:w="90" w:type="dxa"/>
              <w:right w:w="120" w:type="dxa"/>
            </w:tcMar>
          </w:tcPr>
          <w:p w14:paraId="4F886960" w14:textId="77777777" w:rsidR="00AB1DDB" w:rsidRDefault="00D815AB">
            <w:pPr>
              <w:spacing w:line="480" w:lineRule="auto"/>
            </w:pPr>
            <w:r>
              <w:rPr>
                <w:sz w:val="16"/>
              </w:rPr>
              <w:t>Stationary phase, OD600 = 2.1; no biological replicates</w:t>
            </w:r>
          </w:p>
        </w:tc>
      </w:tr>
      <w:tr w:rsidR="00AB1DDB" w14:paraId="61F70E97" w14:textId="77777777">
        <w:trPr>
          <w:cantSplit/>
          <w:jc w:val="center"/>
        </w:trPr>
        <w:tc>
          <w:tcPr>
            <w:tcW w:w="2880" w:type="dxa"/>
            <w:tcMar>
              <w:top w:w="90" w:type="dxa"/>
              <w:left w:w="120" w:type="dxa"/>
              <w:bottom w:w="90" w:type="dxa"/>
              <w:right w:w="120" w:type="dxa"/>
            </w:tcMar>
          </w:tcPr>
          <w:p w14:paraId="7F7A454B" w14:textId="77777777" w:rsidR="00AB1DDB" w:rsidRDefault="00D815AB">
            <w:pPr>
              <w:spacing w:line="480" w:lineRule="auto"/>
            </w:pPr>
            <w:r>
              <w:rPr>
                <w:sz w:val="16"/>
              </w:rPr>
              <w:t>Candidate 6</w:t>
            </w:r>
          </w:p>
        </w:tc>
        <w:tc>
          <w:tcPr>
            <w:tcW w:w="7056" w:type="dxa"/>
            <w:tcMar>
              <w:top w:w="90" w:type="dxa"/>
              <w:left w:w="120" w:type="dxa"/>
              <w:bottom w:w="90" w:type="dxa"/>
              <w:right w:w="120" w:type="dxa"/>
            </w:tcMar>
          </w:tcPr>
          <w:p w14:paraId="10C14815" w14:textId="77777777" w:rsidR="00AB1DDB" w:rsidRDefault="00D815AB">
            <w:pPr>
              <w:spacing w:line="480" w:lineRule="auto"/>
            </w:pPr>
            <w:r>
              <w:rPr>
                <w:sz w:val="16"/>
              </w:rPr>
              <w:t>YihW</w:t>
            </w:r>
          </w:p>
        </w:tc>
      </w:tr>
      <w:tr w:rsidR="00AB1DDB" w14:paraId="37C6BDA0" w14:textId="77777777">
        <w:trPr>
          <w:cantSplit/>
          <w:jc w:val="center"/>
        </w:trPr>
        <w:tc>
          <w:tcPr>
            <w:tcW w:w="2880" w:type="dxa"/>
            <w:shd w:val="clear" w:color="auto" w:fill="F7F9FC"/>
            <w:tcMar>
              <w:top w:w="90" w:type="dxa"/>
              <w:left w:w="120" w:type="dxa"/>
              <w:bottom w:w="90" w:type="dxa"/>
              <w:right w:w="120" w:type="dxa"/>
            </w:tcMar>
          </w:tcPr>
          <w:p w14:paraId="5DF7A333" w14:textId="77777777" w:rsidR="00F92B3C" w:rsidRDefault="006C1C0C">
            <w:pPr>
              <w:spacing w:line="480" w:lineRule="auto"/>
            </w:pPr>
            <w:r>
              <w:t>Section IV mutation name</w:t>
            </w:r>
          </w:p>
        </w:tc>
        <w:tc>
          <w:tcPr>
            <w:tcW w:w="7056" w:type="dxa"/>
            <w:shd w:val="clear" w:color="auto" w:fill="F7F9FC"/>
            <w:tcMar>
              <w:top w:w="90" w:type="dxa"/>
              <w:left w:w="120" w:type="dxa"/>
              <w:bottom w:w="90" w:type="dxa"/>
              <w:right w:w="120" w:type="dxa"/>
            </w:tcMar>
          </w:tcPr>
          <w:p w14:paraId="003CCE66" w14:textId="77777777" w:rsidR="00AB1DDB" w:rsidRDefault="00D815AB">
            <w:pPr>
              <w:spacing w:line="480" w:lineRule="auto"/>
            </w:pPr>
            <w:r>
              <w:rPr>
                <w:sz w:val="16"/>
              </w:rPr>
              <w:t>S130G</w:t>
            </w:r>
          </w:p>
        </w:tc>
      </w:tr>
    </w:tbl>
    <w:p w14:paraId="5E658129" w14:textId="77777777" w:rsidR="00AB1DDB" w:rsidRDefault="00D815AB">
      <w:pPr>
        <w:spacing w:after="0" w:line="480" w:lineRule="auto"/>
      </w:pPr>
      <w:r>
        <w:br w:type="page"/>
      </w:r>
    </w:p>
    <w:p w14:paraId="7718E88B" w14:textId="77777777" w:rsidR="00AB1DDB" w:rsidRDefault="00D815AB">
      <w:pPr>
        <w:pStyle w:val="SuppSection"/>
        <w:spacing w:after="0" w:line="480" w:lineRule="auto"/>
      </w:pPr>
      <w:r>
        <w:rPr>
          <w:rFonts w:ascii="Arial" w:eastAsia="Arial" w:hAnsi="Arial"/>
          <w:sz w:val="22"/>
        </w:rPr>
        <w:lastRenderedPageBreak/>
        <w:t>Section VII. Strains and plasmids used in this study</w:t>
      </w:r>
    </w:p>
    <w:p w14:paraId="119E16DB" w14:textId="77777777" w:rsidR="00AB1DDB" w:rsidRDefault="00D815AB">
      <w:pPr>
        <w:spacing w:after="0" w:line="480" w:lineRule="auto"/>
      </w:pPr>
      <w:r>
        <w:t>To improve reproducibility and nomenclature consistency, Supplementary Tables S5 and S6 summarize the principal strains and plasmids used in this study. These tables also reflect the revised platform-building logic used in Figure 3: construction of the clean K5AC chassis, Pgnt-only dual-plasmid benchmarking with pNG and pACYC-NaKfiA/</w:t>
      </w:r>
      <w:r>
        <w:rPr>
          <w:i/>
          <w:iCs/>
        </w:rPr>
        <w:t>kfiC</w:t>
      </w:r>
      <w:r>
        <w:t>, CRP-assisted fluorescence/growth selection with pNTG-CRP, and mixed-population validation under tetracycline pressure. Here, CRP-assisted selection refers to matching Pgnt with additional CRP supplied from the biosensor plasmid in the otherwise CRP-positive K5AC chassis.</w:t>
      </w:r>
    </w:p>
    <w:p w14:paraId="78DF9ADC" w14:textId="77777777" w:rsidR="00AB1DDB" w:rsidRDefault="00D815AB">
      <w:pPr>
        <w:pStyle w:val="SuppTableTitle"/>
        <w:spacing w:after="0" w:line="480" w:lineRule="auto"/>
      </w:pPr>
      <w:r>
        <w:rPr>
          <w:rFonts w:ascii="Arial" w:eastAsia="Arial" w:hAnsi="Arial"/>
        </w:rPr>
        <w:t>Supplementary Table S5. Strains used in this study</w:t>
      </w:r>
    </w:p>
    <w:tbl>
      <w:tblPr>
        <w:tblStyle w:val="aff1"/>
        <w:tblW w:w="0" w:type="auto"/>
        <w:jc w:val="center"/>
        <w:tblLook w:val="04A0" w:firstRow="1" w:lastRow="0" w:firstColumn="1" w:lastColumn="0" w:noHBand="0" w:noVBand="1"/>
      </w:tblPr>
      <w:tblGrid>
        <w:gridCol w:w="1223"/>
        <w:gridCol w:w="2935"/>
        <w:gridCol w:w="4230"/>
        <w:gridCol w:w="1532"/>
      </w:tblGrid>
      <w:tr w:rsidR="00AB1DDB" w14:paraId="30A7FC96" w14:textId="77777777">
        <w:trPr>
          <w:cantSplit/>
          <w:tblHeader/>
          <w:jc w:val="center"/>
        </w:trPr>
        <w:tc>
          <w:tcPr>
            <w:tcW w:w="1247"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3544D8D1" w14:textId="77777777" w:rsidR="00AB1DDB" w:rsidRDefault="00D815AB">
            <w:pPr>
              <w:spacing w:before="20" w:line="480" w:lineRule="auto"/>
              <w:jc w:val="center"/>
            </w:pPr>
            <w:r>
              <w:rPr>
                <w:sz w:val="16"/>
              </w:rPr>
              <w:t>Strain</w:t>
            </w:r>
          </w:p>
        </w:tc>
        <w:tc>
          <w:tcPr>
            <w:tcW w:w="2948"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2D3E9D2C" w14:textId="77777777" w:rsidR="00AB1DDB" w:rsidRDefault="00D815AB">
            <w:pPr>
              <w:spacing w:before="20" w:line="480" w:lineRule="auto"/>
              <w:jc w:val="center"/>
            </w:pPr>
            <w:r>
              <w:rPr>
                <w:sz w:val="16"/>
              </w:rPr>
              <w:t>Relevant genotype / carried construct(s)</w:t>
            </w:r>
          </w:p>
        </w:tc>
        <w:tc>
          <w:tcPr>
            <w:tcW w:w="4535"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56207341" w14:textId="77777777" w:rsidR="00AB1DDB" w:rsidRDefault="00D815AB">
            <w:pPr>
              <w:spacing w:before="20" w:line="480" w:lineRule="auto"/>
              <w:jc w:val="center"/>
            </w:pPr>
            <w:r>
              <w:rPr>
                <w:sz w:val="16"/>
              </w:rPr>
              <w:t>Description and experimental use</w:t>
            </w:r>
          </w:p>
        </w:tc>
        <w:tc>
          <w:tcPr>
            <w:tcW w:w="1587"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35F26F63" w14:textId="77777777" w:rsidR="00AB1DDB" w:rsidRDefault="00D815AB">
            <w:pPr>
              <w:spacing w:before="20" w:line="480" w:lineRule="auto"/>
              <w:jc w:val="center"/>
            </w:pPr>
            <w:r>
              <w:rPr>
                <w:sz w:val="16"/>
              </w:rPr>
              <w:t>Source</w:t>
            </w:r>
          </w:p>
        </w:tc>
      </w:tr>
      <w:tr w:rsidR="00AB1DDB" w14:paraId="07D5046E" w14:textId="77777777">
        <w:trPr>
          <w:cantSplit/>
          <w:jc w:val="center"/>
        </w:trPr>
        <w:tc>
          <w:tcPr>
            <w:tcW w:w="1247" w:type="dxa"/>
            <w:tcMar>
              <w:top w:w="80" w:type="dxa"/>
              <w:left w:w="90" w:type="dxa"/>
              <w:bottom w:w="80" w:type="dxa"/>
              <w:right w:w="90" w:type="dxa"/>
            </w:tcMar>
          </w:tcPr>
          <w:p w14:paraId="3791D53E" w14:textId="77777777" w:rsidR="00AB1DDB" w:rsidRDefault="00D815AB">
            <w:pPr>
              <w:spacing w:before="20" w:line="480" w:lineRule="auto"/>
            </w:pPr>
            <w:r>
              <w:rPr>
                <w:sz w:val="16"/>
              </w:rPr>
              <w:t>K5</w:t>
            </w:r>
          </w:p>
        </w:tc>
        <w:tc>
          <w:tcPr>
            <w:tcW w:w="2948" w:type="dxa"/>
            <w:tcMar>
              <w:top w:w="80" w:type="dxa"/>
              <w:left w:w="90" w:type="dxa"/>
              <w:bottom w:w="80" w:type="dxa"/>
              <w:right w:w="90" w:type="dxa"/>
            </w:tcMar>
          </w:tcPr>
          <w:p w14:paraId="70AE81B0" w14:textId="77777777" w:rsidR="00AB1DDB" w:rsidRDefault="00D815AB">
            <w:pPr>
              <w:spacing w:before="20" w:line="480" w:lineRule="auto"/>
            </w:pPr>
            <w:r>
              <w:rPr>
                <w:i/>
                <w:iCs/>
                <w:sz w:val="16"/>
              </w:rPr>
              <w:t>Escherichia coli</w:t>
            </w:r>
            <w:r>
              <w:rPr>
                <w:sz w:val="16"/>
              </w:rPr>
              <w:t xml:space="preserve"> K5</w:t>
            </w:r>
          </w:p>
        </w:tc>
        <w:tc>
          <w:tcPr>
            <w:tcW w:w="4535" w:type="dxa"/>
            <w:tcMar>
              <w:top w:w="80" w:type="dxa"/>
              <w:left w:w="90" w:type="dxa"/>
              <w:bottom w:w="80" w:type="dxa"/>
              <w:right w:w="90" w:type="dxa"/>
            </w:tcMar>
          </w:tcPr>
          <w:p w14:paraId="71B238CB" w14:textId="77777777" w:rsidR="00AB1DDB" w:rsidRDefault="00D815AB">
            <w:pPr>
              <w:spacing w:before="20" w:line="480" w:lineRule="auto"/>
            </w:pPr>
            <w:r>
              <w:rPr>
                <w:sz w:val="16"/>
              </w:rPr>
              <w:t>Parental heparosan-producing strain used as the wild-type reference for pathway characterization, transcriptomic comparison, and selection-circuit evaluation.</w:t>
            </w:r>
          </w:p>
        </w:tc>
        <w:tc>
          <w:tcPr>
            <w:tcW w:w="1587" w:type="dxa"/>
            <w:tcMar>
              <w:top w:w="80" w:type="dxa"/>
              <w:left w:w="90" w:type="dxa"/>
              <w:bottom w:w="80" w:type="dxa"/>
              <w:right w:w="90" w:type="dxa"/>
            </w:tcMar>
          </w:tcPr>
          <w:p w14:paraId="5D39A753" w14:textId="77777777" w:rsidR="00AB1DDB" w:rsidRDefault="00D815AB">
            <w:pPr>
              <w:spacing w:before="20" w:line="480" w:lineRule="auto"/>
            </w:pPr>
            <w:r>
              <w:rPr>
                <w:sz w:val="16"/>
              </w:rPr>
              <w:t>This study</w:t>
            </w:r>
          </w:p>
        </w:tc>
      </w:tr>
      <w:tr w:rsidR="00AB1DDB" w14:paraId="465B22E1" w14:textId="77777777">
        <w:trPr>
          <w:cantSplit/>
          <w:jc w:val="center"/>
        </w:trPr>
        <w:tc>
          <w:tcPr>
            <w:tcW w:w="1247" w:type="dxa"/>
            <w:tcMar>
              <w:top w:w="80" w:type="dxa"/>
              <w:left w:w="90" w:type="dxa"/>
              <w:bottom w:w="80" w:type="dxa"/>
              <w:right w:w="90" w:type="dxa"/>
            </w:tcMar>
          </w:tcPr>
          <w:p w14:paraId="1217AB4F" w14:textId="77777777" w:rsidR="00AB1DDB" w:rsidRDefault="00D815AB">
            <w:pPr>
              <w:spacing w:before="20" w:line="480" w:lineRule="auto"/>
            </w:pPr>
            <w:r>
              <w:rPr>
                <w:sz w:val="16"/>
              </w:rPr>
              <w:t>K5A</w:t>
            </w:r>
          </w:p>
        </w:tc>
        <w:tc>
          <w:tcPr>
            <w:tcW w:w="2948" w:type="dxa"/>
            <w:tcMar>
              <w:top w:w="80" w:type="dxa"/>
              <w:left w:w="90" w:type="dxa"/>
              <w:bottom w:w="80" w:type="dxa"/>
              <w:right w:w="90" w:type="dxa"/>
            </w:tcMar>
          </w:tcPr>
          <w:p w14:paraId="3113A3C8" w14:textId="77777777" w:rsidR="00AB1DDB" w:rsidRDefault="00D815AB">
            <w:pPr>
              <w:spacing w:before="20" w:line="480" w:lineRule="auto"/>
            </w:pPr>
            <w:r>
              <w:rPr>
                <w:i/>
                <w:iCs/>
                <w:sz w:val="16"/>
              </w:rPr>
              <w:t>E. coli</w:t>
            </w:r>
            <w:r>
              <w:rPr>
                <w:sz w:val="16"/>
              </w:rPr>
              <w:t xml:space="preserve"> K5 Δ</w:t>
            </w:r>
            <w:r>
              <w:rPr>
                <w:i/>
                <w:iCs/>
                <w:sz w:val="16"/>
              </w:rPr>
              <w:t>kfiA</w:t>
            </w:r>
          </w:p>
        </w:tc>
        <w:tc>
          <w:tcPr>
            <w:tcW w:w="4535" w:type="dxa"/>
            <w:tcMar>
              <w:top w:w="80" w:type="dxa"/>
              <w:left w:w="90" w:type="dxa"/>
              <w:bottom w:w="80" w:type="dxa"/>
              <w:right w:w="90" w:type="dxa"/>
            </w:tcMar>
          </w:tcPr>
          <w:p w14:paraId="597EFE54" w14:textId="77777777" w:rsidR="00AB1DDB" w:rsidRDefault="00D815AB">
            <w:pPr>
              <w:spacing w:before="20" w:line="480" w:lineRule="auto"/>
            </w:pPr>
            <w:r>
              <w:rPr>
                <w:i/>
                <w:iCs/>
                <w:sz w:val="16"/>
              </w:rPr>
              <w:t>kfiA</w:t>
            </w:r>
            <w:r>
              <w:rPr>
                <w:sz w:val="16"/>
              </w:rPr>
              <w:t>-deficient chassis generated by CRISPR/Cas9-mediated genome editing; used to define the heparosan-deficient state and to evaluate reporter performance.</w:t>
            </w:r>
          </w:p>
        </w:tc>
        <w:tc>
          <w:tcPr>
            <w:tcW w:w="1587" w:type="dxa"/>
            <w:tcMar>
              <w:top w:w="80" w:type="dxa"/>
              <w:left w:w="90" w:type="dxa"/>
              <w:bottom w:w="80" w:type="dxa"/>
              <w:right w:w="90" w:type="dxa"/>
            </w:tcMar>
          </w:tcPr>
          <w:p w14:paraId="77EFD213" w14:textId="77777777" w:rsidR="00AB1DDB" w:rsidRDefault="00D815AB">
            <w:pPr>
              <w:spacing w:before="20" w:line="480" w:lineRule="auto"/>
            </w:pPr>
            <w:r>
              <w:rPr>
                <w:sz w:val="16"/>
              </w:rPr>
              <w:t>This study</w:t>
            </w:r>
          </w:p>
        </w:tc>
      </w:tr>
      <w:tr w:rsidR="00AB1DDB" w14:paraId="4BAA8048" w14:textId="77777777">
        <w:trPr>
          <w:cantSplit/>
          <w:jc w:val="center"/>
        </w:trPr>
        <w:tc>
          <w:tcPr>
            <w:tcW w:w="1247" w:type="dxa"/>
            <w:tcMar>
              <w:top w:w="80" w:type="dxa"/>
              <w:left w:w="90" w:type="dxa"/>
              <w:bottom w:w="80" w:type="dxa"/>
              <w:right w:w="90" w:type="dxa"/>
            </w:tcMar>
          </w:tcPr>
          <w:p w14:paraId="3155F4DF" w14:textId="77777777" w:rsidR="00AB1DDB" w:rsidRDefault="00D815AB">
            <w:pPr>
              <w:spacing w:before="20" w:line="480" w:lineRule="auto"/>
            </w:pPr>
            <w:r>
              <w:rPr>
                <w:sz w:val="16"/>
              </w:rPr>
              <w:t>K5A/</w:t>
            </w:r>
            <w:r>
              <w:rPr>
                <w:i/>
                <w:iCs/>
                <w:sz w:val="16"/>
              </w:rPr>
              <w:t>kfiA</w:t>
            </w:r>
          </w:p>
        </w:tc>
        <w:tc>
          <w:tcPr>
            <w:tcW w:w="2948" w:type="dxa"/>
            <w:tcMar>
              <w:top w:w="80" w:type="dxa"/>
              <w:left w:w="90" w:type="dxa"/>
              <w:bottom w:w="80" w:type="dxa"/>
              <w:right w:w="90" w:type="dxa"/>
            </w:tcMar>
          </w:tcPr>
          <w:p w14:paraId="499FCE67" w14:textId="77777777" w:rsidR="00FA0455" w:rsidRDefault="00FF2E54">
            <w:pPr>
              <w:spacing w:line="480" w:lineRule="auto"/>
            </w:pPr>
            <w:r>
              <w:rPr>
                <w:sz w:val="16"/>
              </w:rPr>
              <w:t>K5A carrying pACYC_P34_</w:t>
            </w:r>
            <w:r>
              <w:rPr>
                <w:i/>
                <w:iCs/>
                <w:sz w:val="16"/>
              </w:rPr>
              <w:t>kfiA</w:t>
            </w:r>
          </w:p>
        </w:tc>
        <w:tc>
          <w:tcPr>
            <w:tcW w:w="4535" w:type="dxa"/>
            <w:tcMar>
              <w:top w:w="80" w:type="dxa"/>
              <w:left w:w="90" w:type="dxa"/>
              <w:bottom w:w="80" w:type="dxa"/>
              <w:right w:w="90" w:type="dxa"/>
            </w:tcMar>
          </w:tcPr>
          <w:p w14:paraId="12BE1286" w14:textId="77777777" w:rsidR="00FA0455" w:rsidRDefault="00FF2E54">
            <w:pPr>
              <w:spacing w:line="480" w:lineRule="auto"/>
            </w:pPr>
            <w:r>
              <w:rPr>
                <w:i/>
                <w:sz w:val="16"/>
              </w:rPr>
              <w:t>K5A strain carrying pACYC_P34_</w:t>
            </w:r>
            <w:r>
              <w:rPr>
                <w:i/>
                <w:iCs/>
                <w:sz w:val="16"/>
              </w:rPr>
              <w:t>kfiA</w:t>
            </w:r>
            <w:r>
              <w:rPr>
                <w:i/>
                <w:sz w:val="16"/>
              </w:rPr>
              <w:t xml:space="preserve">, used to restore </w:t>
            </w:r>
            <w:r>
              <w:rPr>
                <w:i/>
                <w:iCs/>
                <w:sz w:val="16"/>
              </w:rPr>
              <w:t>kfiA</w:t>
            </w:r>
            <w:r>
              <w:rPr>
                <w:i/>
                <w:sz w:val="16"/>
              </w:rPr>
              <w:t xml:space="preserve"> expression and support validation experiments.</w:t>
            </w:r>
          </w:p>
        </w:tc>
        <w:tc>
          <w:tcPr>
            <w:tcW w:w="1587" w:type="dxa"/>
            <w:tcMar>
              <w:top w:w="80" w:type="dxa"/>
              <w:left w:w="90" w:type="dxa"/>
              <w:bottom w:w="80" w:type="dxa"/>
              <w:right w:w="90" w:type="dxa"/>
            </w:tcMar>
          </w:tcPr>
          <w:p w14:paraId="20D94EA3" w14:textId="77777777" w:rsidR="00AB1DDB" w:rsidRDefault="00D815AB">
            <w:pPr>
              <w:spacing w:before="20" w:line="480" w:lineRule="auto"/>
            </w:pPr>
            <w:r>
              <w:rPr>
                <w:sz w:val="16"/>
              </w:rPr>
              <w:t>This study</w:t>
            </w:r>
          </w:p>
        </w:tc>
      </w:tr>
      <w:tr w:rsidR="00AB1DDB" w14:paraId="69C546E4" w14:textId="77777777">
        <w:trPr>
          <w:cantSplit/>
          <w:jc w:val="center"/>
        </w:trPr>
        <w:tc>
          <w:tcPr>
            <w:tcW w:w="1247" w:type="dxa"/>
            <w:tcMar>
              <w:top w:w="80" w:type="dxa"/>
              <w:left w:w="90" w:type="dxa"/>
              <w:bottom w:w="80" w:type="dxa"/>
              <w:right w:w="90" w:type="dxa"/>
            </w:tcMar>
          </w:tcPr>
          <w:p w14:paraId="6708256B" w14:textId="77777777" w:rsidR="00AB1DDB" w:rsidRDefault="00D815AB">
            <w:pPr>
              <w:spacing w:before="20" w:line="480" w:lineRule="auto"/>
            </w:pPr>
            <w:r>
              <w:rPr>
                <w:sz w:val="16"/>
              </w:rPr>
              <w:t>K5-WGE</w:t>
            </w:r>
          </w:p>
        </w:tc>
        <w:tc>
          <w:tcPr>
            <w:tcW w:w="2948" w:type="dxa"/>
            <w:tcMar>
              <w:top w:w="80" w:type="dxa"/>
              <w:left w:w="90" w:type="dxa"/>
              <w:bottom w:w="80" w:type="dxa"/>
              <w:right w:w="90" w:type="dxa"/>
            </w:tcMar>
          </w:tcPr>
          <w:p w14:paraId="3E905CDA" w14:textId="77777777" w:rsidR="00AB1DDB" w:rsidRDefault="00D815AB">
            <w:pPr>
              <w:spacing w:before="20" w:line="480" w:lineRule="auto"/>
            </w:pPr>
            <w:r>
              <w:rPr>
                <w:sz w:val="16"/>
              </w:rPr>
              <w:t xml:space="preserve">Whole-genome-evolved </w:t>
            </w:r>
            <w:r>
              <w:rPr>
                <w:i/>
                <w:iCs/>
                <w:sz w:val="16"/>
              </w:rPr>
              <w:t>E. coli</w:t>
            </w:r>
            <w:r>
              <w:rPr>
                <w:sz w:val="16"/>
              </w:rPr>
              <w:t xml:space="preserve"> K5 derivative</w:t>
            </w:r>
          </w:p>
        </w:tc>
        <w:tc>
          <w:tcPr>
            <w:tcW w:w="4535" w:type="dxa"/>
            <w:tcMar>
              <w:top w:w="80" w:type="dxa"/>
              <w:left w:w="90" w:type="dxa"/>
              <w:bottom w:w="80" w:type="dxa"/>
              <w:right w:w="90" w:type="dxa"/>
            </w:tcMar>
          </w:tcPr>
          <w:p w14:paraId="4346EF03" w14:textId="77777777" w:rsidR="00AB1DDB" w:rsidRDefault="00D815AB">
            <w:pPr>
              <w:spacing w:before="20" w:line="480" w:lineRule="auto"/>
            </w:pPr>
            <w:r>
              <w:rPr>
                <w:sz w:val="16"/>
              </w:rPr>
              <w:t>Population isolated after coupling the Pgnt-CRP circuit to continuous genome-wide mutagenesis; used to assess host-adaptive outcomes and boundary conditions of the selection strategy.</w:t>
            </w:r>
          </w:p>
        </w:tc>
        <w:tc>
          <w:tcPr>
            <w:tcW w:w="1587" w:type="dxa"/>
            <w:tcMar>
              <w:top w:w="80" w:type="dxa"/>
              <w:left w:w="90" w:type="dxa"/>
              <w:bottom w:w="80" w:type="dxa"/>
              <w:right w:w="90" w:type="dxa"/>
            </w:tcMar>
          </w:tcPr>
          <w:p w14:paraId="134C1B70" w14:textId="77777777" w:rsidR="00AB1DDB" w:rsidRDefault="00D815AB">
            <w:pPr>
              <w:spacing w:before="20" w:line="480" w:lineRule="auto"/>
            </w:pPr>
            <w:r>
              <w:rPr>
                <w:sz w:val="16"/>
              </w:rPr>
              <w:t>This study</w:t>
            </w:r>
          </w:p>
        </w:tc>
      </w:tr>
      <w:tr w:rsidR="00AB1DDB" w14:paraId="4DFC7D38" w14:textId="77777777">
        <w:trPr>
          <w:cantSplit/>
          <w:jc w:val="center"/>
        </w:trPr>
        <w:tc>
          <w:tcPr>
            <w:tcW w:w="1247" w:type="dxa"/>
            <w:tcMar>
              <w:top w:w="80" w:type="dxa"/>
              <w:left w:w="90" w:type="dxa"/>
              <w:bottom w:w="80" w:type="dxa"/>
              <w:right w:w="90" w:type="dxa"/>
            </w:tcMar>
          </w:tcPr>
          <w:p w14:paraId="503D834D" w14:textId="77777777" w:rsidR="00AB1DDB" w:rsidRDefault="00D815AB">
            <w:pPr>
              <w:spacing w:before="20" w:line="480" w:lineRule="auto"/>
            </w:pPr>
            <w:r>
              <w:rPr>
                <w:sz w:val="16"/>
              </w:rPr>
              <w:t>BL21(DE3)</w:t>
            </w:r>
          </w:p>
        </w:tc>
        <w:tc>
          <w:tcPr>
            <w:tcW w:w="2948" w:type="dxa"/>
            <w:tcMar>
              <w:top w:w="80" w:type="dxa"/>
              <w:left w:w="90" w:type="dxa"/>
              <w:bottom w:w="80" w:type="dxa"/>
              <w:right w:w="90" w:type="dxa"/>
            </w:tcMar>
          </w:tcPr>
          <w:p w14:paraId="62E2FF15" w14:textId="77777777" w:rsidR="00AB1DDB" w:rsidRDefault="00D815AB">
            <w:pPr>
              <w:spacing w:before="20" w:line="480" w:lineRule="auto"/>
            </w:pPr>
            <w:r>
              <w:rPr>
                <w:i/>
                <w:iCs/>
                <w:sz w:val="16"/>
              </w:rPr>
              <w:t>Escherichia coli</w:t>
            </w:r>
            <w:r>
              <w:rPr>
                <w:sz w:val="16"/>
              </w:rPr>
              <w:t xml:space="preserve"> BL21(DE3)</w:t>
            </w:r>
          </w:p>
        </w:tc>
        <w:tc>
          <w:tcPr>
            <w:tcW w:w="4535" w:type="dxa"/>
            <w:tcMar>
              <w:top w:w="80" w:type="dxa"/>
              <w:left w:w="90" w:type="dxa"/>
              <w:bottom w:w="80" w:type="dxa"/>
              <w:right w:w="90" w:type="dxa"/>
            </w:tcMar>
          </w:tcPr>
          <w:p w14:paraId="3960A7DD" w14:textId="77777777" w:rsidR="00AB1DDB" w:rsidRDefault="00D815AB">
            <w:pPr>
              <w:spacing w:before="20" w:line="480" w:lineRule="auto"/>
            </w:pPr>
            <w:r>
              <w:rPr>
                <w:sz w:val="16"/>
              </w:rPr>
              <w:t>Protein-expression host used for recombinant production and biochemical characterization of PmHS2 wild-type and mutant proteins carried on pET-28a(+) constructs.</w:t>
            </w:r>
          </w:p>
        </w:tc>
        <w:tc>
          <w:tcPr>
            <w:tcW w:w="1587" w:type="dxa"/>
            <w:tcMar>
              <w:top w:w="80" w:type="dxa"/>
              <w:left w:w="90" w:type="dxa"/>
              <w:bottom w:w="80" w:type="dxa"/>
              <w:right w:w="90" w:type="dxa"/>
            </w:tcMar>
          </w:tcPr>
          <w:p w14:paraId="4C149DF4" w14:textId="77777777" w:rsidR="00AB1DDB" w:rsidRDefault="00D815AB">
            <w:pPr>
              <w:spacing w:before="20" w:line="480" w:lineRule="auto"/>
            </w:pPr>
            <w:r>
              <w:rPr>
                <w:sz w:val="16"/>
              </w:rPr>
              <w:t>Commercial</w:t>
            </w:r>
          </w:p>
        </w:tc>
      </w:tr>
      <w:tr w:rsidR="00FA0455" w14:paraId="716942B7" w14:textId="77777777">
        <w:trPr>
          <w:cantSplit/>
          <w:jc w:val="center"/>
        </w:trPr>
        <w:tc>
          <w:tcPr>
            <w:tcW w:w="1247" w:type="dxa"/>
          </w:tcPr>
          <w:p w14:paraId="6A5CB68A" w14:textId="77777777" w:rsidR="00FA0455" w:rsidRDefault="00FF2E54">
            <w:pPr>
              <w:spacing w:line="480" w:lineRule="auto"/>
            </w:pPr>
            <w:r>
              <w:rPr>
                <w:sz w:val="16"/>
              </w:rPr>
              <w:t>K5AC</w:t>
            </w:r>
          </w:p>
        </w:tc>
        <w:tc>
          <w:tcPr>
            <w:tcW w:w="2948" w:type="dxa"/>
          </w:tcPr>
          <w:p w14:paraId="01D3CD3D" w14:textId="77777777" w:rsidR="00FA0455" w:rsidRDefault="00FF2E54">
            <w:pPr>
              <w:spacing w:line="480" w:lineRule="auto"/>
            </w:pPr>
            <w:r>
              <w:rPr>
                <w:i/>
                <w:iCs/>
                <w:sz w:val="16"/>
              </w:rPr>
              <w:t>E. coli</w:t>
            </w:r>
            <w:r>
              <w:rPr>
                <w:sz w:val="16"/>
              </w:rPr>
              <w:t xml:space="preserve"> K5 Δ</w:t>
            </w:r>
            <w:r>
              <w:rPr>
                <w:i/>
                <w:iCs/>
                <w:sz w:val="16"/>
              </w:rPr>
              <w:t>kfiA</w:t>
            </w:r>
            <w:r>
              <w:rPr>
                <w:sz w:val="16"/>
              </w:rPr>
              <w:t xml:space="preserve"> Δ</w:t>
            </w:r>
            <w:r>
              <w:rPr>
                <w:i/>
                <w:iCs/>
                <w:sz w:val="16"/>
              </w:rPr>
              <w:t>kfiC</w:t>
            </w:r>
          </w:p>
        </w:tc>
        <w:tc>
          <w:tcPr>
            <w:tcW w:w="4535" w:type="dxa"/>
          </w:tcPr>
          <w:p w14:paraId="35754F5D" w14:textId="77777777" w:rsidR="00FA0455" w:rsidRDefault="00FF2E54">
            <w:pPr>
              <w:spacing w:line="480" w:lineRule="auto"/>
            </w:pPr>
            <w:r>
              <w:rPr>
                <w:sz w:val="16"/>
              </w:rPr>
              <w:t xml:space="preserve">Clean double-knockout chassis generated by additional deletion of </w:t>
            </w:r>
            <w:r>
              <w:rPr>
                <w:i/>
                <w:iCs/>
                <w:sz w:val="16"/>
              </w:rPr>
              <w:t>kfiC</w:t>
            </w:r>
            <w:r>
              <w:rPr>
                <w:sz w:val="16"/>
              </w:rPr>
              <w:t xml:space="preserve"> in the K5A background; used for Figure 3 benchmark validation, Pgnt-only and CRP-assisted circuit testing, PmHS2 evolution, and </w:t>
            </w:r>
            <w:r>
              <w:rPr>
                <w:i/>
                <w:iCs/>
                <w:sz w:val="16"/>
              </w:rPr>
              <w:t>kfiA</w:t>
            </w:r>
            <w:r>
              <w:rPr>
                <w:sz w:val="16"/>
              </w:rPr>
              <w:t>/</w:t>
            </w:r>
            <w:r>
              <w:rPr>
                <w:i/>
                <w:iCs/>
                <w:sz w:val="16"/>
              </w:rPr>
              <w:t>kfiC</w:t>
            </w:r>
            <w:r>
              <w:rPr>
                <w:sz w:val="16"/>
              </w:rPr>
              <w:t xml:space="preserve"> system evolution.</w:t>
            </w:r>
          </w:p>
        </w:tc>
        <w:tc>
          <w:tcPr>
            <w:tcW w:w="1587" w:type="dxa"/>
          </w:tcPr>
          <w:p w14:paraId="70727116" w14:textId="77777777" w:rsidR="00FA0455" w:rsidRDefault="00FF2E54">
            <w:pPr>
              <w:spacing w:line="480" w:lineRule="auto"/>
            </w:pPr>
            <w:r>
              <w:rPr>
                <w:sz w:val="16"/>
              </w:rPr>
              <w:t>This study</w:t>
            </w:r>
          </w:p>
        </w:tc>
      </w:tr>
      <w:tr w:rsidR="00FA0455" w14:paraId="2BC049B2" w14:textId="77777777">
        <w:trPr>
          <w:cantSplit/>
          <w:jc w:val="center"/>
        </w:trPr>
        <w:tc>
          <w:tcPr>
            <w:tcW w:w="1247" w:type="dxa"/>
          </w:tcPr>
          <w:p w14:paraId="6E314BB5" w14:textId="77777777" w:rsidR="00FA0455" w:rsidRDefault="00FF2E54">
            <w:pPr>
              <w:spacing w:line="480" w:lineRule="auto"/>
            </w:pPr>
            <w:r>
              <w:rPr>
                <w:sz w:val="16"/>
              </w:rPr>
              <w:lastRenderedPageBreak/>
              <w:t>K5AC-NaKfiA benchmark strains</w:t>
            </w:r>
          </w:p>
        </w:tc>
        <w:tc>
          <w:tcPr>
            <w:tcW w:w="2948" w:type="dxa"/>
          </w:tcPr>
          <w:p w14:paraId="743247E0" w14:textId="77777777" w:rsidR="00FA0455" w:rsidRDefault="00FF2E54">
            <w:pPr>
              <w:spacing w:line="480" w:lineRule="auto"/>
            </w:pPr>
            <w:r>
              <w:rPr>
                <w:sz w:val="16"/>
              </w:rPr>
              <w:t>K5AC carrying pNG or pNTG-CRP plus pACYC_P34_NaKfiA(mut)_P34_</w:t>
            </w:r>
            <w:r>
              <w:rPr>
                <w:i/>
                <w:iCs/>
                <w:sz w:val="16"/>
              </w:rPr>
              <w:t>kfiC</w:t>
            </w:r>
          </w:p>
        </w:tc>
        <w:tc>
          <w:tcPr>
            <w:tcW w:w="4535" w:type="dxa"/>
          </w:tcPr>
          <w:p w14:paraId="47FC5695" w14:textId="77777777" w:rsidR="00FA0455" w:rsidRDefault="00FF2E54">
            <w:pPr>
              <w:spacing w:line="480" w:lineRule="auto"/>
            </w:pPr>
            <w:r>
              <w:rPr>
                <w:sz w:val="16"/>
              </w:rPr>
              <w:t xml:space="preserve">Dual-plasmid benchmark strains carrying wild-type NaKfiA or one of four NaKfiA variants (E74Y, I76V, T108Y, S165K) together with </w:t>
            </w:r>
            <w:r>
              <w:rPr>
                <w:i/>
                <w:iCs/>
                <w:sz w:val="16"/>
              </w:rPr>
              <w:t>kfiC</w:t>
            </w:r>
            <w:r>
              <w:rPr>
                <w:sz w:val="16"/>
              </w:rPr>
              <w:t>; used to evaluate Pgnt-only GFP output, CRP-assisted GFP output, tetracycline-coupled growth, and mixed-population serial-passage enrichment.</w:t>
            </w:r>
          </w:p>
        </w:tc>
        <w:tc>
          <w:tcPr>
            <w:tcW w:w="1587" w:type="dxa"/>
          </w:tcPr>
          <w:p w14:paraId="369275DC" w14:textId="77777777" w:rsidR="00FA0455" w:rsidRDefault="00FF2E54">
            <w:pPr>
              <w:spacing w:line="480" w:lineRule="auto"/>
            </w:pPr>
            <w:r>
              <w:rPr>
                <w:sz w:val="16"/>
              </w:rPr>
              <w:t>This study</w:t>
            </w:r>
          </w:p>
        </w:tc>
      </w:tr>
    </w:tbl>
    <w:p w14:paraId="0AD8042A" w14:textId="77777777" w:rsidR="00AB1DDB" w:rsidRDefault="00AB1DDB">
      <w:pPr>
        <w:spacing w:after="0" w:line="480" w:lineRule="auto"/>
      </w:pPr>
    </w:p>
    <w:p w14:paraId="1C247236" w14:textId="77777777" w:rsidR="00AB1DDB" w:rsidRDefault="00D815AB">
      <w:pPr>
        <w:pStyle w:val="SuppTableTitle"/>
        <w:spacing w:after="0" w:line="480" w:lineRule="auto"/>
      </w:pPr>
      <w:r>
        <w:rPr>
          <w:rFonts w:ascii="Arial" w:eastAsia="Arial" w:hAnsi="Arial"/>
        </w:rPr>
        <w:t>Supplementary Table S6. Plasmids used in this study</w:t>
      </w:r>
    </w:p>
    <w:tbl>
      <w:tblPr>
        <w:tblStyle w:val="aff1"/>
        <w:tblW w:w="0" w:type="auto"/>
        <w:jc w:val="center"/>
        <w:tblLook w:val="04A0" w:firstRow="1" w:lastRow="0" w:firstColumn="1" w:lastColumn="0" w:noHBand="0" w:noVBand="1"/>
      </w:tblPr>
      <w:tblGrid>
        <w:gridCol w:w="2965"/>
        <w:gridCol w:w="2822"/>
        <w:gridCol w:w="1548"/>
        <w:gridCol w:w="1700"/>
        <w:gridCol w:w="885"/>
      </w:tblGrid>
      <w:tr w:rsidR="00AB1DDB" w14:paraId="16B5BB9A" w14:textId="77777777">
        <w:trPr>
          <w:cantSplit/>
          <w:tblHeader/>
          <w:jc w:val="center"/>
        </w:trPr>
        <w:tc>
          <w:tcPr>
            <w:tcW w:w="2381"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3D3E48E0" w14:textId="77777777" w:rsidR="00AB1DDB" w:rsidRDefault="00D815AB">
            <w:pPr>
              <w:spacing w:before="20" w:line="480" w:lineRule="auto"/>
              <w:jc w:val="center"/>
            </w:pPr>
            <w:r>
              <w:rPr>
                <w:sz w:val="16"/>
              </w:rPr>
              <w:t>Standardized name</w:t>
            </w:r>
          </w:p>
        </w:tc>
        <w:tc>
          <w:tcPr>
            <w:tcW w:w="2324"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197E8940" w14:textId="77777777" w:rsidR="00AB1DDB" w:rsidRDefault="00D815AB">
            <w:pPr>
              <w:spacing w:before="20" w:line="480" w:lineRule="auto"/>
              <w:jc w:val="center"/>
            </w:pPr>
            <w:r>
              <w:rPr>
                <w:sz w:val="16"/>
              </w:rPr>
              <w:t>Full designation / backbone</w:t>
            </w:r>
          </w:p>
        </w:tc>
        <w:tc>
          <w:tcPr>
            <w:tcW w:w="2835"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266427DB" w14:textId="77777777" w:rsidR="00AB1DDB" w:rsidRDefault="00D815AB">
            <w:pPr>
              <w:spacing w:before="20" w:line="480" w:lineRule="auto"/>
              <w:jc w:val="center"/>
            </w:pPr>
            <w:r>
              <w:rPr>
                <w:sz w:val="16"/>
              </w:rPr>
              <w:t>Key genetic element(s)</w:t>
            </w:r>
          </w:p>
        </w:tc>
        <w:tc>
          <w:tcPr>
            <w:tcW w:w="2948"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6B59BA99" w14:textId="77777777" w:rsidR="00AB1DDB" w:rsidRDefault="00D815AB">
            <w:pPr>
              <w:spacing w:before="20" w:line="480" w:lineRule="auto"/>
              <w:jc w:val="center"/>
            </w:pPr>
            <w:r>
              <w:rPr>
                <w:sz w:val="16"/>
              </w:rPr>
              <w:t>Primary use in this study</w:t>
            </w:r>
          </w:p>
        </w:tc>
        <w:tc>
          <w:tcPr>
            <w:tcW w:w="1247" w:type="dxa"/>
            <w:tcBorders>
              <w:top w:val="single" w:sz="6" w:space="0" w:color="B8C7D1"/>
              <w:left w:val="single" w:sz="6" w:space="0" w:color="B8C7D1"/>
              <w:bottom w:val="single" w:sz="6" w:space="0" w:color="B8C7D1"/>
              <w:right w:val="single" w:sz="6" w:space="0" w:color="B8C7D1"/>
            </w:tcBorders>
            <w:shd w:val="clear" w:color="auto" w:fill="E9EEF5"/>
            <w:tcMar>
              <w:top w:w="80" w:type="dxa"/>
              <w:left w:w="90" w:type="dxa"/>
              <w:bottom w:w="80" w:type="dxa"/>
              <w:right w:w="90" w:type="dxa"/>
            </w:tcMar>
          </w:tcPr>
          <w:p w14:paraId="6C5868B4" w14:textId="77777777" w:rsidR="00AB1DDB" w:rsidRDefault="00D815AB">
            <w:pPr>
              <w:spacing w:before="20" w:line="480" w:lineRule="auto"/>
              <w:jc w:val="center"/>
            </w:pPr>
            <w:r>
              <w:rPr>
                <w:sz w:val="16"/>
              </w:rPr>
              <w:t>Source</w:t>
            </w:r>
          </w:p>
        </w:tc>
      </w:tr>
      <w:tr w:rsidR="00AB1DDB" w14:paraId="16C0A6B8" w14:textId="77777777">
        <w:trPr>
          <w:cantSplit/>
          <w:jc w:val="center"/>
        </w:trPr>
        <w:tc>
          <w:tcPr>
            <w:tcW w:w="2381" w:type="dxa"/>
            <w:tcMar>
              <w:top w:w="80" w:type="dxa"/>
              <w:left w:w="90" w:type="dxa"/>
              <w:bottom w:w="80" w:type="dxa"/>
              <w:right w:w="90" w:type="dxa"/>
            </w:tcMar>
          </w:tcPr>
          <w:p w14:paraId="54EAC050" w14:textId="77777777" w:rsidR="00AB1DDB" w:rsidRDefault="00D815AB">
            <w:pPr>
              <w:spacing w:before="20" w:line="480" w:lineRule="auto"/>
            </w:pPr>
            <w:r>
              <w:rPr>
                <w:sz w:val="16"/>
              </w:rPr>
              <w:t>pEcCas</w:t>
            </w:r>
          </w:p>
        </w:tc>
        <w:tc>
          <w:tcPr>
            <w:tcW w:w="2324" w:type="dxa"/>
            <w:tcMar>
              <w:top w:w="80" w:type="dxa"/>
              <w:left w:w="90" w:type="dxa"/>
              <w:bottom w:w="80" w:type="dxa"/>
              <w:right w:w="90" w:type="dxa"/>
            </w:tcMar>
          </w:tcPr>
          <w:p w14:paraId="4CE08DD6" w14:textId="77777777" w:rsidR="00AB1DDB" w:rsidRDefault="00D815AB">
            <w:pPr>
              <w:spacing w:before="20" w:line="480" w:lineRule="auto"/>
            </w:pPr>
            <w:r>
              <w:rPr>
                <w:sz w:val="16"/>
              </w:rPr>
              <w:t>Cas9-expression plasmid</w:t>
            </w:r>
          </w:p>
        </w:tc>
        <w:tc>
          <w:tcPr>
            <w:tcW w:w="2835" w:type="dxa"/>
            <w:tcMar>
              <w:top w:w="80" w:type="dxa"/>
              <w:left w:w="90" w:type="dxa"/>
              <w:bottom w:w="80" w:type="dxa"/>
              <w:right w:w="90" w:type="dxa"/>
            </w:tcMar>
          </w:tcPr>
          <w:p w14:paraId="5DAE1D3D" w14:textId="77777777" w:rsidR="00AB1DDB" w:rsidRDefault="00D815AB">
            <w:pPr>
              <w:spacing w:before="20" w:line="480" w:lineRule="auto"/>
            </w:pPr>
            <w:r>
              <w:rPr>
                <w:sz w:val="16"/>
              </w:rPr>
              <w:t xml:space="preserve">Cas9 nuclease expression cassette for CRISPR/Cas9-mediated editing in </w:t>
            </w:r>
            <w:r>
              <w:rPr>
                <w:i/>
                <w:iCs/>
                <w:sz w:val="16"/>
              </w:rPr>
              <w:t>E. coli</w:t>
            </w:r>
            <w:r>
              <w:rPr>
                <w:sz w:val="16"/>
              </w:rPr>
              <w:t xml:space="preserve"> K5.</w:t>
            </w:r>
          </w:p>
        </w:tc>
        <w:tc>
          <w:tcPr>
            <w:tcW w:w="2948" w:type="dxa"/>
            <w:tcMar>
              <w:top w:w="80" w:type="dxa"/>
              <w:left w:w="90" w:type="dxa"/>
              <w:bottom w:w="80" w:type="dxa"/>
              <w:right w:w="90" w:type="dxa"/>
            </w:tcMar>
          </w:tcPr>
          <w:p w14:paraId="7BA48679" w14:textId="77777777" w:rsidR="00AB1DDB" w:rsidRDefault="00D815AB">
            <w:pPr>
              <w:spacing w:before="20" w:line="480" w:lineRule="auto"/>
            </w:pPr>
            <w:r>
              <w:rPr>
                <w:sz w:val="16"/>
              </w:rPr>
              <w:t xml:space="preserve">Genome editing of </w:t>
            </w:r>
            <w:r>
              <w:rPr>
                <w:i/>
                <w:iCs/>
                <w:sz w:val="16"/>
              </w:rPr>
              <w:t>kfiA</w:t>
            </w:r>
            <w:r>
              <w:rPr>
                <w:sz w:val="16"/>
              </w:rPr>
              <w:t xml:space="preserve"> or </w:t>
            </w:r>
            <w:r>
              <w:rPr>
                <w:i/>
                <w:iCs/>
                <w:sz w:val="16"/>
              </w:rPr>
              <w:t>kfiC</w:t>
            </w:r>
            <w:r>
              <w:rPr>
                <w:sz w:val="16"/>
              </w:rPr>
              <w:t xml:space="preserve"> loci.</w:t>
            </w:r>
          </w:p>
        </w:tc>
        <w:tc>
          <w:tcPr>
            <w:tcW w:w="1247" w:type="dxa"/>
            <w:tcMar>
              <w:top w:w="80" w:type="dxa"/>
              <w:left w:w="90" w:type="dxa"/>
              <w:bottom w:w="80" w:type="dxa"/>
              <w:right w:w="90" w:type="dxa"/>
            </w:tcMar>
          </w:tcPr>
          <w:p w14:paraId="71C7BD93" w14:textId="77777777" w:rsidR="00AB1DDB" w:rsidRDefault="00D815AB">
            <w:pPr>
              <w:spacing w:before="20" w:line="480" w:lineRule="auto"/>
            </w:pPr>
            <w:r>
              <w:rPr>
                <w:sz w:val="16"/>
              </w:rPr>
              <w:t>Previous study / this study</w:t>
            </w:r>
          </w:p>
        </w:tc>
      </w:tr>
      <w:tr w:rsidR="00AB1DDB" w14:paraId="10F5064F" w14:textId="77777777">
        <w:trPr>
          <w:cantSplit/>
          <w:jc w:val="center"/>
        </w:trPr>
        <w:tc>
          <w:tcPr>
            <w:tcW w:w="2381" w:type="dxa"/>
            <w:tcMar>
              <w:top w:w="80" w:type="dxa"/>
              <w:left w:w="90" w:type="dxa"/>
              <w:bottom w:w="80" w:type="dxa"/>
              <w:right w:w="90" w:type="dxa"/>
            </w:tcMar>
          </w:tcPr>
          <w:p w14:paraId="77C88D20" w14:textId="77777777" w:rsidR="00AB1DDB" w:rsidRDefault="00D815AB">
            <w:pPr>
              <w:spacing w:before="20" w:line="480" w:lineRule="auto"/>
            </w:pPr>
            <w:r>
              <w:rPr>
                <w:sz w:val="16"/>
              </w:rPr>
              <w:t>pEcgRNA-N20-</w:t>
            </w:r>
            <w:r>
              <w:rPr>
                <w:i/>
                <w:iCs/>
                <w:sz w:val="16"/>
              </w:rPr>
              <w:t>kfiA</w:t>
            </w:r>
          </w:p>
        </w:tc>
        <w:tc>
          <w:tcPr>
            <w:tcW w:w="2324" w:type="dxa"/>
            <w:tcMar>
              <w:top w:w="80" w:type="dxa"/>
              <w:left w:w="90" w:type="dxa"/>
              <w:bottom w:w="80" w:type="dxa"/>
              <w:right w:w="90" w:type="dxa"/>
            </w:tcMar>
          </w:tcPr>
          <w:p w14:paraId="63DAEBE0" w14:textId="77777777" w:rsidR="00AB1DDB" w:rsidRDefault="00D815AB">
            <w:pPr>
              <w:spacing w:before="20" w:line="480" w:lineRule="auto"/>
            </w:pPr>
            <w:r>
              <w:rPr>
                <w:sz w:val="16"/>
              </w:rPr>
              <w:t>gRNA plasmid</w:t>
            </w:r>
          </w:p>
        </w:tc>
        <w:tc>
          <w:tcPr>
            <w:tcW w:w="2835" w:type="dxa"/>
            <w:tcMar>
              <w:top w:w="80" w:type="dxa"/>
              <w:left w:w="90" w:type="dxa"/>
              <w:bottom w:w="80" w:type="dxa"/>
              <w:right w:w="90" w:type="dxa"/>
            </w:tcMar>
          </w:tcPr>
          <w:p w14:paraId="6097D5E7" w14:textId="77777777" w:rsidR="00AB1DDB" w:rsidRDefault="00D815AB">
            <w:pPr>
              <w:spacing w:before="20" w:line="480" w:lineRule="auto"/>
            </w:pPr>
            <w:r>
              <w:rPr>
                <w:sz w:val="16"/>
              </w:rPr>
              <w:t xml:space="preserve">Guide RNA targeting </w:t>
            </w:r>
            <w:r>
              <w:rPr>
                <w:i/>
                <w:iCs/>
                <w:sz w:val="16"/>
              </w:rPr>
              <w:t>kfiA</w:t>
            </w:r>
            <w:r>
              <w:rPr>
                <w:sz w:val="16"/>
              </w:rPr>
              <w:t>.</w:t>
            </w:r>
          </w:p>
        </w:tc>
        <w:tc>
          <w:tcPr>
            <w:tcW w:w="2948" w:type="dxa"/>
            <w:tcMar>
              <w:top w:w="80" w:type="dxa"/>
              <w:left w:w="90" w:type="dxa"/>
              <w:bottom w:w="80" w:type="dxa"/>
              <w:right w:w="90" w:type="dxa"/>
            </w:tcMar>
          </w:tcPr>
          <w:p w14:paraId="3BF5DD7A" w14:textId="77777777" w:rsidR="00AB1DDB" w:rsidRDefault="00D815AB">
            <w:pPr>
              <w:spacing w:before="20" w:line="480" w:lineRule="auto"/>
            </w:pPr>
            <w:r>
              <w:rPr>
                <w:sz w:val="16"/>
              </w:rPr>
              <w:t xml:space="preserve">CRISPR/Cas9 deletion or editing of </w:t>
            </w:r>
            <w:r>
              <w:rPr>
                <w:i/>
                <w:iCs/>
                <w:sz w:val="16"/>
              </w:rPr>
              <w:t>kfiA</w:t>
            </w:r>
            <w:r>
              <w:rPr>
                <w:sz w:val="16"/>
              </w:rPr>
              <w:t>.</w:t>
            </w:r>
          </w:p>
        </w:tc>
        <w:tc>
          <w:tcPr>
            <w:tcW w:w="1247" w:type="dxa"/>
            <w:tcMar>
              <w:top w:w="80" w:type="dxa"/>
              <w:left w:w="90" w:type="dxa"/>
              <w:bottom w:w="80" w:type="dxa"/>
              <w:right w:w="90" w:type="dxa"/>
            </w:tcMar>
          </w:tcPr>
          <w:p w14:paraId="623E7400" w14:textId="77777777" w:rsidR="00AB1DDB" w:rsidRDefault="00D815AB">
            <w:pPr>
              <w:spacing w:before="20" w:line="480" w:lineRule="auto"/>
            </w:pPr>
            <w:r>
              <w:rPr>
                <w:sz w:val="16"/>
              </w:rPr>
              <w:t>This study</w:t>
            </w:r>
          </w:p>
        </w:tc>
      </w:tr>
      <w:tr w:rsidR="00AB1DDB" w14:paraId="6ADA53B1" w14:textId="77777777">
        <w:trPr>
          <w:cantSplit/>
          <w:jc w:val="center"/>
        </w:trPr>
        <w:tc>
          <w:tcPr>
            <w:tcW w:w="2381" w:type="dxa"/>
            <w:tcMar>
              <w:top w:w="80" w:type="dxa"/>
              <w:left w:w="90" w:type="dxa"/>
              <w:bottom w:w="80" w:type="dxa"/>
              <w:right w:w="90" w:type="dxa"/>
            </w:tcMar>
          </w:tcPr>
          <w:p w14:paraId="22FFC42A" w14:textId="77777777" w:rsidR="00AB1DDB" w:rsidRDefault="00D815AB">
            <w:pPr>
              <w:spacing w:before="20" w:line="480" w:lineRule="auto"/>
            </w:pPr>
            <w:r>
              <w:rPr>
                <w:sz w:val="16"/>
              </w:rPr>
              <w:t>pEcgRNA-N20-</w:t>
            </w:r>
            <w:r>
              <w:rPr>
                <w:i/>
                <w:iCs/>
                <w:sz w:val="16"/>
              </w:rPr>
              <w:t>kfiC</w:t>
            </w:r>
          </w:p>
        </w:tc>
        <w:tc>
          <w:tcPr>
            <w:tcW w:w="2324" w:type="dxa"/>
            <w:tcMar>
              <w:top w:w="80" w:type="dxa"/>
              <w:left w:w="90" w:type="dxa"/>
              <w:bottom w:w="80" w:type="dxa"/>
              <w:right w:w="90" w:type="dxa"/>
            </w:tcMar>
          </w:tcPr>
          <w:p w14:paraId="49155354" w14:textId="77777777" w:rsidR="00AB1DDB" w:rsidRDefault="00D815AB">
            <w:pPr>
              <w:spacing w:before="20" w:line="480" w:lineRule="auto"/>
            </w:pPr>
            <w:r>
              <w:rPr>
                <w:sz w:val="16"/>
              </w:rPr>
              <w:t>gRNA plasmid</w:t>
            </w:r>
          </w:p>
        </w:tc>
        <w:tc>
          <w:tcPr>
            <w:tcW w:w="2835" w:type="dxa"/>
            <w:tcMar>
              <w:top w:w="80" w:type="dxa"/>
              <w:left w:w="90" w:type="dxa"/>
              <w:bottom w:w="80" w:type="dxa"/>
              <w:right w:w="90" w:type="dxa"/>
            </w:tcMar>
          </w:tcPr>
          <w:p w14:paraId="522A8FB6" w14:textId="77777777" w:rsidR="00AB1DDB" w:rsidRDefault="00D815AB">
            <w:pPr>
              <w:spacing w:before="20" w:line="480" w:lineRule="auto"/>
            </w:pPr>
            <w:r>
              <w:rPr>
                <w:sz w:val="16"/>
              </w:rPr>
              <w:t xml:space="preserve">Guide RNA targeting </w:t>
            </w:r>
            <w:r>
              <w:rPr>
                <w:i/>
                <w:iCs/>
                <w:sz w:val="16"/>
              </w:rPr>
              <w:t>kfiC</w:t>
            </w:r>
            <w:r>
              <w:rPr>
                <w:sz w:val="16"/>
              </w:rPr>
              <w:t>.</w:t>
            </w:r>
          </w:p>
        </w:tc>
        <w:tc>
          <w:tcPr>
            <w:tcW w:w="2948" w:type="dxa"/>
            <w:tcMar>
              <w:top w:w="80" w:type="dxa"/>
              <w:left w:w="90" w:type="dxa"/>
              <w:bottom w:w="80" w:type="dxa"/>
              <w:right w:w="90" w:type="dxa"/>
            </w:tcMar>
          </w:tcPr>
          <w:p w14:paraId="45D81CEC" w14:textId="77777777" w:rsidR="00AB1DDB" w:rsidRDefault="00D815AB">
            <w:pPr>
              <w:spacing w:before="20" w:line="480" w:lineRule="auto"/>
            </w:pPr>
            <w:r>
              <w:rPr>
                <w:sz w:val="16"/>
              </w:rPr>
              <w:t xml:space="preserve">CRISPR/Cas9 deletion or editing of </w:t>
            </w:r>
            <w:r>
              <w:rPr>
                <w:i/>
                <w:iCs/>
                <w:sz w:val="16"/>
              </w:rPr>
              <w:t>kfiC</w:t>
            </w:r>
            <w:r>
              <w:rPr>
                <w:sz w:val="16"/>
              </w:rPr>
              <w:t>.</w:t>
            </w:r>
          </w:p>
        </w:tc>
        <w:tc>
          <w:tcPr>
            <w:tcW w:w="1247" w:type="dxa"/>
            <w:tcMar>
              <w:top w:w="80" w:type="dxa"/>
              <w:left w:w="90" w:type="dxa"/>
              <w:bottom w:w="80" w:type="dxa"/>
              <w:right w:w="90" w:type="dxa"/>
            </w:tcMar>
          </w:tcPr>
          <w:p w14:paraId="0EDA617B" w14:textId="77777777" w:rsidR="00AB1DDB" w:rsidRDefault="00D815AB">
            <w:pPr>
              <w:spacing w:before="20" w:line="480" w:lineRule="auto"/>
            </w:pPr>
            <w:r>
              <w:rPr>
                <w:sz w:val="16"/>
              </w:rPr>
              <w:t>This study</w:t>
            </w:r>
          </w:p>
        </w:tc>
      </w:tr>
      <w:tr w:rsidR="00AB1DDB" w14:paraId="1BFEA2FE" w14:textId="77777777">
        <w:trPr>
          <w:cantSplit/>
          <w:jc w:val="center"/>
        </w:trPr>
        <w:tc>
          <w:tcPr>
            <w:tcW w:w="2381" w:type="dxa"/>
            <w:tcMar>
              <w:top w:w="80" w:type="dxa"/>
              <w:left w:w="90" w:type="dxa"/>
              <w:bottom w:w="80" w:type="dxa"/>
              <w:right w:w="90" w:type="dxa"/>
            </w:tcMar>
          </w:tcPr>
          <w:p w14:paraId="54C9AD5A" w14:textId="77777777" w:rsidR="00AB1DDB" w:rsidRDefault="00D815AB">
            <w:pPr>
              <w:spacing w:before="20" w:line="480" w:lineRule="auto"/>
            </w:pPr>
            <w:r>
              <w:rPr>
                <w:sz w:val="16"/>
              </w:rPr>
              <w:t>pACYC_EcgRNA_N20-</w:t>
            </w:r>
            <w:r>
              <w:rPr>
                <w:i/>
                <w:iCs/>
                <w:sz w:val="16"/>
              </w:rPr>
              <w:t>kfiA</w:t>
            </w:r>
          </w:p>
        </w:tc>
        <w:tc>
          <w:tcPr>
            <w:tcW w:w="2324" w:type="dxa"/>
            <w:tcMar>
              <w:top w:w="80" w:type="dxa"/>
              <w:left w:w="90" w:type="dxa"/>
              <w:bottom w:w="80" w:type="dxa"/>
              <w:right w:w="90" w:type="dxa"/>
            </w:tcMar>
          </w:tcPr>
          <w:p w14:paraId="580C3FDE" w14:textId="77777777" w:rsidR="00AB1DDB" w:rsidRDefault="00D815AB">
            <w:pPr>
              <w:spacing w:before="20" w:line="480" w:lineRule="auto"/>
            </w:pPr>
            <w:r>
              <w:rPr>
                <w:sz w:val="16"/>
              </w:rPr>
              <w:t>pACYC-based gRNA plasmid</w:t>
            </w:r>
          </w:p>
        </w:tc>
        <w:tc>
          <w:tcPr>
            <w:tcW w:w="2835" w:type="dxa"/>
            <w:tcMar>
              <w:top w:w="80" w:type="dxa"/>
              <w:left w:w="90" w:type="dxa"/>
              <w:bottom w:w="80" w:type="dxa"/>
              <w:right w:w="90" w:type="dxa"/>
            </w:tcMar>
          </w:tcPr>
          <w:p w14:paraId="68FB103F" w14:textId="77777777" w:rsidR="00AB1DDB" w:rsidRDefault="00D815AB">
            <w:pPr>
              <w:spacing w:before="20" w:line="480" w:lineRule="auto"/>
            </w:pPr>
            <w:r>
              <w:rPr>
                <w:sz w:val="16"/>
              </w:rPr>
              <w:t xml:space="preserve">Low-copy guide RNA vector targeting </w:t>
            </w:r>
            <w:r>
              <w:rPr>
                <w:i/>
                <w:iCs/>
                <w:sz w:val="16"/>
              </w:rPr>
              <w:t>kfiA</w:t>
            </w:r>
            <w:r>
              <w:rPr>
                <w:sz w:val="16"/>
              </w:rPr>
              <w:t>.</w:t>
            </w:r>
          </w:p>
        </w:tc>
        <w:tc>
          <w:tcPr>
            <w:tcW w:w="2948" w:type="dxa"/>
            <w:tcMar>
              <w:top w:w="80" w:type="dxa"/>
              <w:left w:w="90" w:type="dxa"/>
              <w:bottom w:w="80" w:type="dxa"/>
              <w:right w:w="90" w:type="dxa"/>
            </w:tcMar>
          </w:tcPr>
          <w:p w14:paraId="02AB309C" w14:textId="77777777" w:rsidR="00AB1DDB" w:rsidRDefault="00D815AB">
            <w:pPr>
              <w:spacing w:before="20" w:line="480" w:lineRule="auto"/>
            </w:pPr>
            <w:r>
              <w:rPr>
                <w:sz w:val="16"/>
              </w:rPr>
              <w:t xml:space="preserve">Optimized genome editing in </w:t>
            </w:r>
            <w:r>
              <w:rPr>
                <w:i/>
                <w:iCs/>
                <w:sz w:val="16"/>
              </w:rPr>
              <w:t>E. coli</w:t>
            </w:r>
            <w:r>
              <w:rPr>
                <w:sz w:val="16"/>
              </w:rPr>
              <w:t xml:space="preserve"> K5 background.</w:t>
            </w:r>
          </w:p>
        </w:tc>
        <w:tc>
          <w:tcPr>
            <w:tcW w:w="1247" w:type="dxa"/>
            <w:tcMar>
              <w:top w:w="80" w:type="dxa"/>
              <w:left w:w="90" w:type="dxa"/>
              <w:bottom w:w="80" w:type="dxa"/>
              <w:right w:w="90" w:type="dxa"/>
            </w:tcMar>
          </w:tcPr>
          <w:p w14:paraId="7C747D7A" w14:textId="77777777" w:rsidR="00AB1DDB" w:rsidRDefault="00D815AB">
            <w:pPr>
              <w:spacing w:before="20" w:line="480" w:lineRule="auto"/>
            </w:pPr>
            <w:r>
              <w:rPr>
                <w:sz w:val="16"/>
              </w:rPr>
              <w:t>This study</w:t>
            </w:r>
          </w:p>
        </w:tc>
      </w:tr>
      <w:tr w:rsidR="00AB1DDB" w14:paraId="6775DCA4" w14:textId="77777777">
        <w:trPr>
          <w:cantSplit/>
          <w:jc w:val="center"/>
        </w:trPr>
        <w:tc>
          <w:tcPr>
            <w:tcW w:w="2381" w:type="dxa"/>
            <w:tcMar>
              <w:top w:w="80" w:type="dxa"/>
              <w:left w:w="90" w:type="dxa"/>
              <w:bottom w:w="80" w:type="dxa"/>
              <w:right w:w="90" w:type="dxa"/>
            </w:tcMar>
          </w:tcPr>
          <w:p w14:paraId="12BFA372" w14:textId="77777777" w:rsidR="00AB1DDB" w:rsidRDefault="00D815AB">
            <w:pPr>
              <w:spacing w:before="20" w:line="480" w:lineRule="auto"/>
            </w:pPr>
            <w:r>
              <w:rPr>
                <w:sz w:val="16"/>
              </w:rPr>
              <w:t>pACYC_EcgRNA_N20-</w:t>
            </w:r>
            <w:r>
              <w:rPr>
                <w:i/>
                <w:iCs/>
                <w:sz w:val="16"/>
              </w:rPr>
              <w:t>kfiC</w:t>
            </w:r>
          </w:p>
        </w:tc>
        <w:tc>
          <w:tcPr>
            <w:tcW w:w="2324" w:type="dxa"/>
            <w:tcMar>
              <w:top w:w="80" w:type="dxa"/>
              <w:left w:w="90" w:type="dxa"/>
              <w:bottom w:w="80" w:type="dxa"/>
              <w:right w:w="90" w:type="dxa"/>
            </w:tcMar>
          </w:tcPr>
          <w:p w14:paraId="5CEE1697" w14:textId="77777777" w:rsidR="00AB1DDB" w:rsidRDefault="00D815AB">
            <w:pPr>
              <w:spacing w:before="20" w:line="480" w:lineRule="auto"/>
            </w:pPr>
            <w:r>
              <w:rPr>
                <w:sz w:val="16"/>
              </w:rPr>
              <w:t>pACYC-based gRNA plasmid</w:t>
            </w:r>
          </w:p>
        </w:tc>
        <w:tc>
          <w:tcPr>
            <w:tcW w:w="2835" w:type="dxa"/>
            <w:tcMar>
              <w:top w:w="80" w:type="dxa"/>
              <w:left w:w="90" w:type="dxa"/>
              <w:bottom w:w="80" w:type="dxa"/>
              <w:right w:w="90" w:type="dxa"/>
            </w:tcMar>
          </w:tcPr>
          <w:p w14:paraId="34E59851" w14:textId="77777777" w:rsidR="00AB1DDB" w:rsidRDefault="00D815AB">
            <w:pPr>
              <w:spacing w:before="20" w:line="480" w:lineRule="auto"/>
            </w:pPr>
            <w:r>
              <w:rPr>
                <w:sz w:val="16"/>
              </w:rPr>
              <w:t xml:space="preserve">Low-copy guide RNA vector targeting </w:t>
            </w:r>
            <w:r>
              <w:rPr>
                <w:i/>
                <w:iCs/>
                <w:sz w:val="16"/>
              </w:rPr>
              <w:t>kfiC</w:t>
            </w:r>
            <w:r>
              <w:rPr>
                <w:sz w:val="16"/>
              </w:rPr>
              <w:t>.</w:t>
            </w:r>
          </w:p>
        </w:tc>
        <w:tc>
          <w:tcPr>
            <w:tcW w:w="2948" w:type="dxa"/>
            <w:tcMar>
              <w:top w:w="80" w:type="dxa"/>
              <w:left w:w="90" w:type="dxa"/>
              <w:bottom w:w="80" w:type="dxa"/>
              <w:right w:w="90" w:type="dxa"/>
            </w:tcMar>
          </w:tcPr>
          <w:p w14:paraId="67111FC2" w14:textId="77777777" w:rsidR="00AB1DDB" w:rsidRDefault="00D815AB">
            <w:pPr>
              <w:spacing w:before="20" w:line="480" w:lineRule="auto"/>
            </w:pPr>
            <w:r>
              <w:rPr>
                <w:sz w:val="16"/>
              </w:rPr>
              <w:t xml:space="preserve">Optimized genome editing in </w:t>
            </w:r>
            <w:r>
              <w:rPr>
                <w:i/>
                <w:iCs/>
                <w:sz w:val="16"/>
              </w:rPr>
              <w:t>E. coli</w:t>
            </w:r>
            <w:r>
              <w:rPr>
                <w:sz w:val="16"/>
              </w:rPr>
              <w:t xml:space="preserve"> K5 background.</w:t>
            </w:r>
          </w:p>
        </w:tc>
        <w:tc>
          <w:tcPr>
            <w:tcW w:w="1247" w:type="dxa"/>
            <w:tcMar>
              <w:top w:w="80" w:type="dxa"/>
              <w:left w:w="90" w:type="dxa"/>
              <w:bottom w:w="80" w:type="dxa"/>
              <w:right w:w="90" w:type="dxa"/>
            </w:tcMar>
          </w:tcPr>
          <w:p w14:paraId="16FC487F" w14:textId="77777777" w:rsidR="00AB1DDB" w:rsidRDefault="00D815AB">
            <w:pPr>
              <w:spacing w:before="20" w:line="480" w:lineRule="auto"/>
            </w:pPr>
            <w:r>
              <w:rPr>
                <w:sz w:val="16"/>
              </w:rPr>
              <w:t>This study</w:t>
            </w:r>
          </w:p>
        </w:tc>
      </w:tr>
      <w:tr w:rsidR="00AB1DDB" w14:paraId="23936E1B" w14:textId="77777777">
        <w:trPr>
          <w:cantSplit/>
          <w:jc w:val="center"/>
        </w:trPr>
        <w:tc>
          <w:tcPr>
            <w:tcW w:w="2381" w:type="dxa"/>
            <w:tcMar>
              <w:top w:w="80" w:type="dxa"/>
              <w:left w:w="90" w:type="dxa"/>
              <w:bottom w:w="80" w:type="dxa"/>
              <w:right w:w="90" w:type="dxa"/>
            </w:tcMar>
          </w:tcPr>
          <w:p w14:paraId="2F9E7BBC" w14:textId="77777777" w:rsidR="00AB1DDB" w:rsidRDefault="00D815AB">
            <w:pPr>
              <w:spacing w:before="20" w:line="480" w:lineRule="auto"/>
            </w:pPr>
            <w:r>
              <w:rPr>
                <w:sz w:val="16"/>
              </w:rPr>
              <w:lastRenderedPageBreak/>
              <w:t>pNG</w:t>
            </w:r>
          </w:p>
        </w:tc>
        <w:tc>
          <w:tcPr>
            <w:tcW w:w="2324" w:type="dxa"/>
            <w:tcMar>
              <w:top w:w="80" w:type="dxa"/>
              <w:left w:w="90" w:type="dxa"/>
              <w:bottom w:w="80" w:type="dxa"/>
              <w:right w:w="90" w:type="dxa"/>
            </w:tcMar>
          </w:tcPr>
          <w:p w14:paraId="6DFDB44F" w14:textId="77777777" w:rsidR="00FA0455" w:rsidRDefault="00FF2E54">
            <w:pPr>
              <w:spacing w:line="480" w:lineRule="auto"/>
            </w:pPr>
            <w:r>
              <w:rPr>
                <w:sz w:val="16"/>
              </w:rPr>
              <w:t>pETDuet-1_Pgnt_</w:t>
            </w:r>
            <w:r>
              <w:rPr>
                <w:i/>
                <w:iCs/>
                <w:sz w:val="16"/>
              </w:rPr>
              <w:t>gfp</w:t>
            </w:r>
          </w:p>
        </w:tc>
        <w:tc>
          <w:tcPr>
            <w:tcW w:w="2835" w:type="dxa"/>
            <w:tcMar>
              <w:top w:w="80" w:type="dxa"/>
              <w:left w:w="90" w:type="dxa"/>
              <w:bottom w:w="80" w:type="dxa"/>
              <w:right w:w="90" w:type="dxa"/>
            </w:tcMar>
          </w:tcPr>
          <w:p w14:paraId="38FB32CF" w14:textId="77777777" w:rsidR="00FA0455" w:rsidRDefault="00FF2E54">
            <w:pPr>
              <w:spacing w:line="480" w:lineRule="auto"/>
            </w:pPr>
            <w:r>
              <w:rPr>
                <w:sz w:val="16"/>
              </w:rPr>
              <w:t xml:space="preserve">Pgnt promoter fused upstream of </w:t>
            </w:r>
            <w:r>
              <w:rPr>
                <w:i/>
                <w:iCs/>
                <w:sz w:val="16"/>
              </w:rPr>
              <w:t>gfp</w:t>
            </w:r>
            <w:r>
              <w:rPr>
                <w:sz w:val="16"/>
              </w:rPr>
              <w:t>.</w:t>
            </w:r>
          </w:p>
        </w:tc>
        <w:tc>
          <w:tcPr>
            <w:tcW w:w="2948" w:type="dxa"/>
            <w:tcMar>
              <w:top w:w="80" w:type="dxa"/>
              <w:left w:w="90" w:type="dxa"/>
              <w:bottom w:w="80" w:type="dxa"/>
              <w:right w:w="90" w:type="dxa"/>
            </w:tcMar>
          </w:tcPr>
          <w:p w14:paraId="17D90FA2" w14:textId="77777777" w:rsidR="00FA0455" w:rsidRDefault="00FF2E54">
            <w:pPr>
              <w:spacing w:line="480" w:lineRule="auto"/>
            </w:pPr>
            <w:r>
              <w:rPr>
                <w:sz w:val="16"/>
              </w:rPr>
              <w:t>Pgnt-only GFP reporter plasmid used with pACYC-NaKfiA/</w:t>
            </w:r>
            <w:r>
              <w:rPr>
                <w:i/>
                <w:iCs/>
                <w:sz w:val="16"/>
              </w:rPr>
              <w:t>kfiC</w:t>
            </w:r>
            <w:r>
              <w:rPr>
                <w:sz w:val="16"/>
              </w:rPr>
              <w:t xml:space="preserve"> for Figure 3 dual-plasmid benchmarking.</w:t>
            </w:r>
          </w:p>
        </w:tc>
        <w:tc>
          <w:tcPr>
            <w:tcW w:w="1247" w:type="dxa"/>
            <w:tcMar>
              <w:top w:w="80" w:type="dxa"/>
              <w:left w:w="90" w:type="dxa"/>
              <w:bottom w:w="80" w:type="dxa"/>
              <w:right w:w="90" w:type="dxa"/>
            </w:tcMar>
          </w:tcPr>
          <w:p w14:paraId="7D398AEC" w14:textId="77777777" w:rsidR="00FA0455" w:rsidRDefault="00FF2E54">
            <w:pPr>
              <w:spacing w:line="480" w:lineRule="auto"/>
            </w:pPr>
            <w:r>
              <w:rPr>
                <w:sz w:val="16"/>
              </w:rPr>
              <w:t>This study</w:t>
            </w:r>
          </w:p>
        </w:tc>
      </w:tr>
      <w:tr w:rsidR="00AB1DDB" w14:paraId="0FF924D5" w14:textId="77777777">
        <w:trPr>
          <w:cantSplit/>
          <w:jc w:val="center"/>
        </w:trPr>
        <w:tc>
          <w:tcPr>
            <w:tcW w:w="2381" w:type="dxa"/>
            <w:tcMar>
              <w:top w:w="80" w:type="dxa"/>
              <w:left w:w="90" w:type="dxa"/>
              <w:bottom w:w="80" w:type="dxa"/>
              <w:right w:w="90" w:type="dxa"/>
            </w:tcMar>
          </w:tcPr>
          <w:p w14:paraId="69F3CAB6" w14:textId="77777777" w:rsidR="00AB1DDB" w:rsidRDefault="00D815AB">
            <w:pPr>
              <w:spacing w:before="20" w:line="480" w:lineRule="auto"/>
            </w:pPr>
            <w:r>
              <w:rPr>
                <w:sz w:val="16"/>
              </w:rPr>
              <w:t>pNT</w:t>
            </w:r>
          </w:p>
        </w:tc>
        <w:tc>
          <w:tcPr>
            <w:tcW w:w="2324" w:type="dxa"/>
            <w:tcMar>
              <w:top w:w="80" w:type="dxa"/>
              <w:left w:w="90" w:type="dxa"/>
              <w:bottom w:w="80" w:type="dxa"/>
              <w:right w:w="90" w:type="dxa"/>
            </w:tcMar>
          </w:tcPr>
          <w:p w14:paraId="48B49E34" w14:textId="77777777" w:rsidR="00AB1DDB" w:rsidRDefault="00D815AB">
            <w:pPr>
              <w:spacing w:before="20" w:line="480" w:lineRule="auto"/>
            </w:pPr>
            <w:r>
              <w:rPr>
                <w:sz w:val="16"/>
              </w:rPr>
              <w:t>pETDuet-1_Pgnt_</w:t>
            </w:r>
            <w:r>
              <w:rPr>
                <w:i/>
                <w:iCs/>
                <w:sz w:val="16"/>
              </w:rPr>
              <w:t>tetA</w:t>
            </w:r>
          </w:p>
        </w:tc>
        <w:tc>
          <w:tcPr>
            <w:tcW w:w="2835" w:type="dxa"/>
            <w:tcMar>
              <w:top w:w="80" w:type="dxa"/>
              <w:left w:w="90" w:type="dxa"/>
              <w:bottom w:w="80" w:type="dxa"/>
              <w:right w:w="90" w:type="dxa"/>
            </w:tcMar>
          </w:tcPr>
          <w:p w14:paraId="542614EB" w14:textId="77777777" w:rsidR="00AB1DDB" w:rsidRDefault="00D815AB">
            <w:pPr>
              <w:spacing w:before="20" w:line="480" w:lineRule="auto"/>
            </w:pPr>
            <w:r>
              <w:rPr>
                <w:sz w:val="16"/>
              </w:rPr>
              <w:t xml:space="preserve">Pgnt promoter fused upstream of </w:t>
            </w:r>
            <w:r>
              <w:rPr>
                <w:i/>
                <w:iCs/>
                <w:sz w:val="16"/>
              </w:rPr>
              <w:t>tetA</w:t>
            </w:r>
            <w:r>
              <w:rPr>
                <w:sz w:val="16"/>
              </w:rPr>
              <w:t>.</w:t>
            </w:r>
          </w:p>
        </w:tc>
        <w:tc>
          <w:tcPr>
            <w:tcW w:w="2948" w:type="dxa"/>
            <w:tcMar>
              <w:top w:w="80" w:type="dxa"/>
              <w:left w:w="90" w:type="dxa"/>
              <w:bottom w:w="80" w:type="dxa"/>
              <w:right w:w="90" w:type="dxa"/>
            </w:tcMar>
          </w:tcPr>
          <w:p w14:paraId="53FD6804" w14:textId="77777777" w:rsidR="00AB1DDB" w:rsidRDefault="00D815AB">
            <w:pPr>
              <w:spacing w:before="20" w:line="480" w:lineRule="auto"/>
            </w:pPr>
            <w:r>
              <w:rPr>
                <w:sz w:val="16"/>
              </w:rPr>
              <w:t>Growth-coupled selection module used to convert Pgnt output into tetracycline resistance.</w:t>
            </w:r>
          </w:p>
        </w:tc>
        <w:tc>
          <w:tcPr>
            <w:tcW w:w="1247" w:type="dxa"/>
            <w:tcMar>
              <w:top w:w="80" w:type="dxa"/>
              <w:left w:w="90" w:type="dxa"/>
              <w:bottom w:w="80" w:type="dxa"/>
              <w:right w:w="90" w:type="dxa"/>
            </w:tcMar>
          </w:tcPr>
          <w:p w14:paraId="3B8C49D4" w14:textId="77777777" w:rsidR="00AB1DDB" w:rsidRDefault="00D815AB">
            <w:pPr>
              <w:spacing w:before="20" w:line="480" w:lineRule="auto"/>
            </w:pPr>
            <w:r>
              <w:rPr>
                <w:sz w:val="16"/>
              </w:rPr>
              <w:t>This study</w:t>
            </w:r>
          </w:p>
        </w:tc>
      </w:tr>
      <w:tr w:rsidR="00AB1DDB" w14:paraId="7B64A487" w14:textId="77777777">
        <w:trPr>
          <w:cantSplit/>
          <w:jc w:val="center"/>
        </w:trPr>
        <w:tc>
          <w:tcPr>
            <w:tcW w:w="2381" w:type="dxa"/>
            <w:tcMar>
              <w:top w:w="80" w:type="dxa"/>
              <w:left w:w="90" w:type="dxa"/>
              <w:bottom w:w="80" w:type="dxa"/>
              <w:right w:w="90" w:type="dxa"/>
            </w:tcMar>
          </w:tcPr>
          <w:p w14:paraId="6406B88C" w14:textId="77777777" w:rsidR="00AB1DDB" w:rsidRDefault="00D815AB">
            <w:pPr>
              <w:spacing w:before="20" w:line="480" w:lineRule="auto"/>
            </w:pPr>
            <w:r>
              <w:rPr>
                <w:sz w:val="16"/>
              </w:rPr>
              <w:t>NCT</w:t>
            </w:r>
          </w:p>
        </w:tc>
        <w:tc>
          <w:tcPr>
            <w:tcW w:w="2324" w:type="dxa"/>
            <w:tcMar>
              <w:top w:w="80" w:type="dxa"/>
              <w:left w:w="90" w:type="dxa"/>
              <w:bottom w:w="80" w:type="dxa"/>
              <w:right w:w="90" w:type="dxa"/>
            </w:tcMar>
          </w:tcPr>
          <w:p w14:paraId="70E2C366" w14:textId="77777777" w:rsidR="00FA0455" w:rsidRDefault="00FF2E54">
            <w:pPr>
              <w:spacing w:line="480" w:lineRule="auto"/>
            </w:pPr>
            <w:r>
              <w:rPr>
                <w:sz w:val="16"/>
              </w:rPr>
              <w:t>pETDuet-1_Pgnt_</w:t>
            </w:r>
            <w:r>
              <w:rPr>
                <w:i/>
                <w:iCs/>
                <w:sz w:val="16"/>
              </w:rPr>
              <w:t>tetA</w:t>
            </w:r>
            <w:r>
              <w:rPr>
                <w:sz w:val="16"/>
              </w:rPr>
              <w:t>_P34_CRP</w:t>
            </w:r>
          </w:p>
        </w:tc>
        <w:tc>
          <w:tcPr>
            <w:tcW w:w="2835" w:type="dxa"/>
            <w:tcMar>
              <w:top w:w="80" w:type="dxa"/>
              <w:left w:w="90" w:type="dxa"/>
              <w:bottom w:w="80" w:type="dxa"/>
              <w:right w:w="90" w:type="dxa"/>
            </w:tcMar>
          </w:tcPr>
          <w:p w14:paraId="466F1983" w14:textId="77777777" w:rsidR="00FA0455" w:rsidRDefault="00FF2E54">
            <w:pPr>
              <w:spacing w:line="480" w:lineRule="auto"/>
            </w:pPr>
            <w:r>
              <w:rPr>
                <w:sz w:val="16"/>
              </w:rPr>
              <w:t>Pgnt-</w:t>
            </w:r>
            <w:r>
              <w:rPr>
                <w:i/>
                <w:iCs/>
                <w:sz w:val="16"/>
              </w:rPr>
              <w:t>tetA</w:t>
            </w:r>
            <w:r>
              <w:rPr>
                <w:sz w:val="16"/>
              </w:rPr>
              <w:t xml:space="preserve"> cassette combined with constitutive P34-driven CRP expression.</w:t>
            </w:r>
          </w:p>
        </w:tc>
        <w:tc>
          <w:tcPr>
            <w:tcW w:w="2948" w:type="dxa"/>
            <w:tcMar>
              <w:top w:w="80" w:type="dxa"/>
              <w:left w:w="90" w:type="dxa"/>
              <w:bottom w:w="80" w:type="dxa"/>
              <w:right w:w="90" w:type="dxa"/>
            </w:tcMar>
          </w:tcPr>
          <w:p w14:paraId="2F32A15D" w14:textId="77777777" w:rsidR="00FA0455" w:rsidRDefault="00FF2E54">
            <w:pPr>
              <w:spacing w:line="480" w:lineRule="auto"/>
            </w:pPr>
            <w:r>
              <w:rPr>
                <w:sz w:val="16"/>
              </w:rPr>
              <w:t>CRP-assisted sensor-selection circuit used for directed evolution and selection tests.</w:t>
            </w:r>
          </w:p>
        </w:tc>
        <w:tc>
          <w:tcPr>
            <w:tcW w:w="1247" w:type="dxa"/>
            <w:tcMar>
              <w:top w:w="80" w:type="dxa"/>
              <w:left w:w="90" w:type="dxa"/>
              <w:bottom w:w="80" w:type="dxa"/>
              <w:right w:w="90" w:type="dxa"/>
            </w:tcMar>
          </w:tcPr>
          <w:p w14:paraId="44654068" w14:textId="77777777" w:rsidR="00AB1DDB" w:rsidRDefault="00D815AB">
            <w:pPr>
              <w:spacing w:before="20" w:line="480" w:lineRule="auto"/>
            </w:pPr>
            <w:r>
              <w:rPr>
                <w:sz w:val="16"/>
              </w:rPr>
              <w:t>This study</w:t>
            </w:r>
          </w:p>
        </w:tc>
      </w:tr>
      <w:tr w:rsidR="00AB1DDB" w14:paraId="3AC3CA6F" w14:textId="77777777">
        <w:trPr>
          <w:cantSplit/>
          <w:jc w:val="center"/>
        </w:trPr>
        <w:tc>
          <w:tcPr>
            <w:tcW w:w="2381" w:type="dxa"/>
            <w:tcMar>
              <w:top w:w="80" w:type="dxa"/>
              <w:left w:w="90" w:type="dxa"/>
              <w:bottom w:w="80" w:type="dxa"/>
              <w:right w:w="90" w:type="dxa"/>
            </w:tcMar>
          </w:tcPr>
          <w:p w14:paraId="5F08CB92" w14:textId="77777777" w:rsidR="00FA0455" w:rsidRDefault="00FF2E54">
            <w:pPr>
              <w:spacing w:line="480" w:lineRule="auto"/>
            </w:pPr>
            <w:r>
              <w:rPr>
                <w:sz w:val="16"/>
              </w:rPr>
              <w:t>pNTG-CRP</w:t>
            </w:r>
          </w:p>
        </w:tc>
        <w:tc>
          <w:tcPr>
            <w:tcW w:w="2324" w:type="dxa"/>
            <w:tcMar>
              <w:top w:w="80" w:type="dxa"/>
              <w:left w:w="90" w:type="dxa"/>
              <w:bottom w:w="80" w:type="dxa"/>
              <w:right w:w="90" w:type="dxa"/>
            </w:tcMar>
          </w:tcPr>
          <w:p w14:paraId="6F769C0B" w14:textId="77777777" w:rsidR="00FA0455" w:rsidRDefault="00FF2E54">
            <w:pPr>
              <w:spacing w:line="480" w:lineRule="auto"/>
            </w:pPr>
            <w:r>
              <w:rPr>
                <w:sz w:val="16"/>
              </w:rPr>
              <w:t>pETDuet-1_Pgnt_</w:t>
            </w:r>
            <w:r>
              <w:rPr>
                <w:i/>
                <w:iCs/>
                <w:sz w:val="16"/>
              </w:rPr>
              <w:t>tetA</w:t>
            </w:r>
            <w:r>
              <w:rPr>
                <w:sz w:val="16"/>
              </w:rPr>
              <w:t>_</w:t>
            </w:r>
            <w:r>
              <w:rPr>
                <w:i/>
                <w:iCs/>
                <w:sz w:val="16"/>
              </w:rPr>
              <w:t>gfp</w:t>
            </w:r>
            <w:r>
              <w:rPr>
                <w:sz w:val="16"/>
              </w:rPr>
              <w:t>_Pbad_</w:t>
            </w:r>
            <w:r>
              <w:rPr>
                <w:i/>
                <w:iCs/>
                <w:sz w:val="16"/>
              </w:rPr>
              <w:t>crp</w:t>
            </w:r>
          </w:p>
        </w:tc>
        <w:tc>
          <w:tcPr>
            <w:tcW w:w="2835" w:type="dxa"/>
            <w:tcMar>
              <w:top w:w="80" w:type="dxa"/>
              <w:left w:w="90" w:type="dxa"/>
              <w:bottom w:w="80" w:type="dxa"/>
              <w:right w:w="90" w:type="dxa"/>
            </w:tcMar>
          </w:tcPr>
          <w:p w14:paraId="344D4370" w14:textId="77777777" w:rsidR="00FA0455" w:rsidRDefault="00FF2E54">
            <w:pPr>
              <w:spacing w:line="480" w:lineRule="auto"/>
            </w:pPr>
            <w:r>
              <w:rPr>
                <w:sz w:val="16"/>
              </w:rPr>
              <w:t xml:space="preserve">Pgnt-linked </w:t>
            </w:r>
            <w:r>
              <w:rPr>
                <w:i/>
                <w:iCs/>
                <w:sz w:val="16"/>
              </w:rPr>
              <w:t>gfp</w:t>
            </w:r>
            <w:r>
              <w:rPr>
                <w:sz w:val="16"/>
              </w:rPr>
              <w:t xml:space="preserve"> and </w:t>
            </w:r>
            <w:r>
              <w:rPr>
                <w:i/>
                <w:iCs/>
                <w:sz w:val="16"/>
              </w:rPr>
              <w:t>tetA</w:t>
            </w:r>
            <w:r>
              <w:rPr>
                <w:sz w:val="16"/>
              </w:rPr>
              <w:t xml:space="preserve"> outputs plus Pbad-</w:t>
            </w:r>
            <w:r>
              <w:rPr>
                <w:i/>
                <w:iCs/>
                <w:sz w:val="16"/>
              </w:rPr>
              <w:t>crp</w:t>
            </w:r>
            <w:r>
              <w:rPr>
                <w:sz w:val="16"/>
              </w:rPr>
              <w:t xml:space="preserve"> expression module; </w:t>
            </w:r>
            <w:r>
              <w:rPr>
                <w:i/>
                <w:iCs/>
                <w:sz w:val="16"/>
              </w:rPr>
              <w:t>crp</w:t>
            </w:r>
            <w:r>
              <w:rPr>
                <w:sz w:val="16"/>
              </w:rPr>
              <w:t xml:space="preserve"> induction with 2 mg/mL arabinose.</w:t>
            </w:r>
          </w:p>
        </w:tc>
        <w:tc>
          <w:tcPr>
            <w:tcW w:w="2948" w:type="dxa"/>
            <w:tcMar>
              <w:top w:w="80" w:type="dxa"/>
              <w:left w:w="90" w:type="dxa"/>
              <w:bottom w:w="80" w:type="dxa"/>
              <w:right w:w="90" w:type="dxa"/>
            </w:tcMar>
          </w:tcPr>
          <w:p w14:paraId="1320F9D4" w14:textId="77777777" w:rsidR="00FA0455" w:rsidRDefault="00FF2E54">
            <w:pPr>
              <w:spacing w:line="480" w:lineRule="auto"/>
            </w:pPr>
            <w:r>
              <w:rPr>
                <w:sz w:val="16"/>
              </w:rPr>
              <w:t>CRP-assisted dual-output reporter/selection plasmid used for Figure 3 fluorescence and tetracycline-growth benchmarking.</w:t>
            </w:r>
          </w:p>
        </w:tc>
        <w:tc>
          <w:tcPr>
            <w:tcW w:w="1247" w:type="dxa"/>
            <w:tcMar>
              <w:top w:w="80" w:type="dxa"/>
              <w:left w:w="90" w:type="dxa"/>
              <w:bottom w:w="80" w:type="dxa"/>
              <w:right w:w="90" w:type="dxa"/>
            </w:tcMar>
          </w:tcPr>
          <w:p w14:paraId="731D0132" w14:textId="77777777" w:rsidR="00FA0455" w:rsidRDefault="00FF2E54">
            <w:pPr>
              <w:spacing w:line="480" w:lineRule="auto"/>
            </w:pPr>
            <w:r>
              <w:rPr>
                <w:sz w:val="16"/>
              </w:rPr>
              <w:t>This study</w:t>
            </w:r>
          </w:p>
        </w:tc>
      </w:tr>
      <w:tr w:rsidR="00AB1DDB" w14:paraId="0B1A7481" w14:textId="77777777">
        <w:trPr>
          <w:cantSplit/>
          <w:jc w:val="center"/>
        </w:trPr>
        <w:tc>
          <w:tcPr>
            <w:tcW w:w="2381" w:type="dxa"/>
            <w:tcMar>
              <w:top w:w="80" w:type="dxa"/>
              <w:left w:w="90" w:type="dxa"/>
              <w:bottom w:w="80" w:type="dxa"/>
              <w:right w:w="90" w:type="dxa"/>
            </w:tcMar>
          </w:tcPr>
          <w:p w14:paraId="0439D420" w14:textId="77777777" w:rsidR="00AB1DDB" w:rsidRDefault="00D815AB">
            <w:pPr>
              <w:spacing w:before="20" w:line="480" w:lineRule="auto"/>
            </w:pPr>
            <w:r>
              <w:rPr>
                <w:sz w:val="16"/>
              </w:rPr>
              <w:t>pETDuet-1_Pgnt_</w:t>
            </w:r>
            <w:r>
              <w:rPr>
                <w:i/>
                <w:iCs/>
                <w:sz w:val="16"/>
              </w:rPr>
              <w:t>gfp</w:t>
            </w:r>
            <w:r>
              <w:rPr>
                <w:sz w:val="16"/>
              </w:rPr>
              <w:t>_Pbad_</w:t>
            </w:r>
            <w:r>
              <w:rPr>
                <w:i/>
                <w:iCs/>
                <w:sz w:val="16"/>
              </w:rPr>
              <w:t>grcA</w:t>
            </w:r>
          </w:p>
        </w:tc>
        <w:tc>
          <w:tcPr>
            <w:tcW w:w="2324" w:type="dxa"/>
            <w:tcMar>
              <w:top w:w="80" w:type="dxa"/>
              <w:left w:w="90" w:type="dxa"/>
              <w:bottom w:w="80" w:type="dxa"/>
              <w:right w:w="90" w:type="dxa"/>
            </w:tcMar>
          </w:tcPr>
          <w:p w14:paraId="398B9443"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3AC39081"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grcA</w:t>
            </w:r>
            <w:r>
              <w:rPr>
                <w:sz w:val="16"/>
              </w:rPr>
              <w:t xml:space="preserve"> expression.</w:t>
            </w:r>
          </w:p>
        </w:tc>
        <w:tc>
          <w:tcPr>
            <w:tcW w:w="2948" w:type="dxa"/>
            <w:tcMar>
              <w:top w:w="80" w:type="dxa"/>
              <w:left w:w="90" w:type="dxa"/>
              <w:bottom w:w="80" w:type="dxa"/>
              <w:right w:w="90" w:type="dxa"/>
            </w:tcMar>
          </w:tcPr>
          <w:p w14:paraId="7B8B673F"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2E04D98B" w14:textId="77777777" w:rsidR="00AB1DDB" w:rsidRDefault="00D815AB">
            <w:pPr>
              <w:spacing w:before="20" w:line="480" w:lineRule="auto"/>
            </w:pPr>
            <w:r>
              <w:rPr>
                <w:sz w:val="16"/>
              </w:rPr>
              <w:t>This study</w:t>
            </w:r>
          </w:p>
        </w:tc>
      </w:tr>
      <w:tr w:rsidR="00AB1DDB" w14:paraId="5F7EA904" w14:textId="77777777">
        <w:trPr>
          <w:cantSplit/>
          <w:jc w:val="center"/>
        </w:trPr>
        <w:tc>
          <w:tcPr>
            <w:tcW w:w="2381" w:type="dxa"/>
            <w:tcMar>
              <w:top w:w="80" w:type="dxa"/>
              <w:left w:w="90" w:type="dxa"/>
              <w:bottom w:w="80" w:type="dxa"/>
              <w:right w:w="90" w:type="dxa"/>
            </w:tcMar>
          </w:tcPr>
          <w:p w14:paraId="10F42586" w14:textId="77777777" w:rsidR="00AB1DDB" w:rsidRDefault="00D815AB">
            <w:pPr>
              <w:spacing w:before="20" w:line="480" w:lineRule="auto"/>
            </w:pPr>
            <w:r>
              <w:rPr>
                <w:sz w:val="16"/>
              </w:rPr>
              <w:lastRenderedPageBreak/>
              <w:t>pETDuet-1_Pgnt_</w:t>
            </w:r>
            <w:r>
              <w:rPr>
                <w:i/>
                <w:iCs/>
                <w:sz w:val="16"/>
              </w:rPr>
              <w:t>gfp</w:t>
            </w:r>
            <w:r>
              <w:rPr>
                <w:sz w:val="16"/>
              </w:rPr>
              <w:t>_Pbad_</w:t>
            </w:r>
            <w:r>
              <w:rPr>
                <w:i/>
                <w:iCs/>
                <w:sz w:val="16"/>
              </w:rPr>
              <w:t>rdgC</w:t>
            </w:r>
          </w:p>
        </w:tc>
        <w:tc>
          <w:tcPr>
            <w:tcW w:w="2324" w:type="dxa"/>
            <w:tcMar>
              <w:top w:w="80" w:type="dxa"/>
              <w:left w:w="90" w:type="dxa"/>
              <w:bottom w:w="80" w:type="dxa"/>
              <w:right w:w="90" w:type="dxa"/>
            </w:tcMar>
          </w:tcPr>
          <w:p w14:paraId="0150430D"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7F28F421"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rdgC</w:t>
            </w:r>
            <w:r>
              <w:rPr>
                <w:sz w:val="16"/>
              </w:rPr>
              <w:t xml:space="preserve"> expression.</w:t>
            </w:r>
          </w:p>
        </w:tc>
        <w:tc>
          <w:tcPr>
            <w:tcW w:w="2948" w:type="dxa"/>
            <w:tcMar>
              <w:top w:w="80" w:type="dxa"/>
              <w:left w:w="90" w:type="dxa"/>
              <w:bottom w:w="80" w:type="dxa"/>
              <w:right w:w="90" w:type="dxa"/>
            </w:tcMar>
          </w:tcPr>
          <w:p w14:paraId="612A8ED9"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38B6FFC3" w14:textId="77777777" w:rsidR="00AB1DDB" w:rsidRDefault="00D815AB">
            <w:pPr>
              <w:spacing w:before="20" w:line="480" w:lineRule="auto"/>
            </w:pPr>
            <w:r>
              <w:rPr>
                <w:sz w:val="16"/>
              </w:rPr>
              <w:t>This study</w:t>
            </w:r>
          </w:p>
        </w:tc>
      </w:tr>
      <w:tr w:rsidR="00AB1DDB" w14:paraId="40F5C46F" w14:textId="77777777">
        <w:trPr>
          <w:cantSplit/>
          <w:jc w:val="center"/>
        </w:trPr>
        <w:tc>
          <w:tcPr>
            <w:tcW w:w="2381" w:type="dxa"/>
            <w:tcMar>
              <w:top w:w="80" w:type="dxa"/>
              <w:left w:w="90" w:type="dxa"/>
              <w:bottom w:w="80" w:type="dxa"/>
              <w:right w:w="90" w:type="dxa"/>
            </w:tcMar>
          </w:tcPr>
          <w:p w14:paraId="1926DBBE" w14:textId="77777777" w:rsidR="00AB1DDB" w:rsidRDefault="00D815AB">
            <w:pPr>
              <w:spacing w:before="20" w:line="480" w:lineRule="auto"/>
            </w:pPr>
            <w:r>
              <w:rPr>
                <w:sz w:val="16"/>
              </w:rPr>
              <w:t>pETDuet-1_Pgnt_</w:t>
            </w:r>
            <w:r>
              <w:rPr>
                <w:i/>
                <w:iCs/>
                <w:sz w:val="16"/>
              </w:rPr>
              <w:t>gfp</w:t>
            </w:r>
            <w:r>
              <w:rPr>
                <w:sz w:val="16"/>
              </w:rPr>
              <w:t>_Pbad_</w:t>
            </w:r>
            <w:r>
              <w:rPr>
                <w:i/>
                <w:iCs/>
                <w:sz w:val="16"/>
              </w:rPr>
              <w:t>ompR</w:t>
            </w:r>
          </w:p>
        </w:tc>
        <w:tc>
          <w:tcPr>
            <w:tcW w:w="2324" w:type="dxa"/>
            <w:tcMar>
              <w:top w:w="80" w:type="dxa"/>
              <w:left w:w="90" w:type="dxa"/>
              <w:bottom w:w="80" w:type="dxa"/>
              <w:right w:w="90" w:type="dxa"/>
            </w:tcMar>
          </w:tcPr>
          <w:p w14:paraId="02C8C0F9"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6A9FC5BB"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ompR</w:t>
            </w:r>
            <w:r>
              <w:rPr>
                <w:sz w:val="16"/>
              </w:rPr>
              <w:t xml:space="preserve"> expression.</w:t>
            </w:r>
          </w:p>
        </w:tc>
        <w:tc>
          <w:tcPr>
            <w:tcW w:w="2948" w:type="dxa"/>
            <w:tcMar>
              <w:top w:w="80" w:type="dxa"/>
              <w:left w:w="90" w:type="dxa"/>
              <w:bottom w:w="80" w:type="dxa"/>
              <w:right w:w="90" w:type="dxa"/>
            </w:tcMar>
          </w:tcPr>
          <w:p w14:paraId="0E717666"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31D7DAE8" w14:textId="77777777" w:rsidR="00AB1DDB" w:rsidRDefault="00D815AB">
            <w:pPr>
              <w:spacing w:before="20" w:line="480" w:lineRule="auto"/>
            </w:pPr>
            <w:r>
              <w:rPr>
                <w:sz w:val="16"/>
              </w:rPr>
              <w:t>This study</w:t>
            </w:r>
          </w:p>
        </w:tc>
      </w:tr>
      <w:tr w:rsidR="00AB1DDB" w14:paraId="121CAF55" w14:textId="77777777">
        <w:trPr>
          <w:cantSplit/>
          <w:jc w:val="center"/>
        </w:trPr>
        <w:tc>
          <w:tcPr>
            <w:tcW w:w="2381" w:type="dxa"/>
            <w:tcMar>
              <w:top w:w="80" w:type="dxa"/>
              <w:left w:w="90" w:type="dxa"/>
              <w:bottom w:w="80" w:type="dxa"/>
              <w:right w:w="90" w:type="dxa"/>
            </w:tcMar>
          </w:tcPr>
          <w:p w14:paraId="2F7D9B1C" w14:textId="77777777" w:rsidR="00AB1DDB" w:rsidRDefault="00D815AB">
            <w:pPr>
              <w:spacing w:before="20" w:line="480" w:lineRule="auto"/>
            </w:pPr>
            <w:r>
              <w:rPr>
                <w:sz w:val="16"/>
              </w:rPr>
              <w:t>pETDuet-1_Pgnt_</w:t>
            </w:r>
            <w:r>
              <w:rPr>
                <w:i/>
                <w:iCs/>
                <w:sz w:val="16"/>
              </w:rPr>
              <w:t>gfp</w:t>
            </w:r>
            <w:r>
              <w:rPr>
                <w:sz w:val="16"/>
              </w:rPr>
              <w:t>_Pbad_</w:t>
            </w:r>
            <w:r>
              <w:rPr>
                <w:i/>
                <w:iCs/>
                <w:sz w:val="16"/>
              </w:rPr>
              <w:t>rluB</w:t>
            </w:r>
          </w:p>
        </w:tc>
        <w:tc>
          <w:tcPr>
            <w:tcW w:w="2324" w:type="dxa"/>
            <w:tcMar>
              <w:top w:w="80" w:type="dxa"/>
              <w:left w:w="90" w:type="dxa"/>
              <w:bottom w:w="80" w:type="dxa"/>
              <w:right w:w="90" w:type="dxa"/>
            </w:tcMar>
          </w:tcPr>
          <w:p w14:paraId="00B45146"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209EA494"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rluB</w:t>
            </w:r>
            <w:r>
              <w:rPr>
                <w:sz w:val="16"/>
              </w:rPr>
              <w:t xml:space="preserve"> expression.</w:t>
            </w:r>
          </w:p>
        </w:tc>
        <w:tc>
          <w:tcPr>
            <w:tcW w:w="2948" w:type="dxa"/>
            <w:tcMar>
              <w:top w:w="80" w:type="dxa"/>
              <w:left w:w="90" w:type="dxa"/>
              <w:bottom w:w="80" w:type="dxa"/>
              <w:right w:w="90" w:type="dxa"/>
            </w:tcMar>
          </w:tcPr>
          <w:p w14:paraId="011C7373"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3B85ABCD" w14:textId="77777777" w:rsidR="00AB1DDB" w:rsidRDefault="00D815AB">
            <w:pPr>
              <w:spacing w:before="20" w:line="480" w:lineRule="auto"/>
            </w:pPr>
            <w:r>
              <w:rPr>
                <w:sz w:val="16"/>
              </w:rPr>
              <w:t>This study</w:t>
            </w:r>
          </w:p>
        </w:tc>
      </w:tr>
      <w:tr w:rsidR="00AB1DDB" w14:paraId="51853382" w14:textId="77777777">
        <w:trPr>
          <w:cantSplit/>
          <w:jc w:val="center"/>
        </w:trPr>
        <w:tc>
          <w:tcPr>
            <w:tcW w:w="2381" w:type="dxa"/>
            <w:tcMar>
              <w:top w:w="80" w:type="dxa"/>
              <w:left w:w="90" w:type="dxa"/>
              <w:bottom w:w="80" w:type="dxa"/>
              <w:right w:w="90" w:type="dxa"/>
            </w:tcMar>
          </w:tcPr>
          <w:p w14:paraId="717EFAA9" w14:textId="77777777" w:rsidR="00AB1DDB" w:rsidRDefault="00D815AB">
            <w:pPr>
              <w:spacing w:before="20" w:line="480" w:lineRule="auto"/>
            </w:pPr>
            <w:r>
              <w:rPr>
                <w:sz w:val="16"/>
              </w:rPr>
              <w:t>pETDuet-1_Pgnt_</w:t>
            </w:r>
            <w:r>
              <w:rPr>
                <w:i/>
                <w:iCs/>
                <w:sz w:val="16"/>
              </w:rPr>
              <w:t>gfp</w:t>
            </w:r>
            <w:r>
              <w:rPr>
                <w:sz w:val="16"/>
              </w:rPr>
              <w:t>_Pbad_</w:t>
            </w:r>
            <w:r>
              <w:rPr>
                <w:i/>
                <w:iCs/>
                <w:sz w:val="16"/>
              </w:rPr>
              <w:t>rraA</w:t>
            </w:r>
          </w:p>
        </w:tc>
        <w:tc>
          <w:tcPr>
            <w:tcW w:w="2324" w:type="dxa"/>
            <w:tcMar>
              <w:top w:w="80" w:type="dxa"/>
              <w:left w:w="90" w:type="dxa"/>
              <w:bottom w:w="80" w:type="dxa"/>
              <w:right w:w="90" w:type="dxa"/>
            </w:tcMar>
          </w:tcPr>
          <w:p w14:paraId="2F631ABC"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08056329"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rraA</w:t>
            </w:r>
            <w:r>
              <w:rPr>
                <w:sz w:val="16"/>
              </w:rPr>
              <w:t xml:space="preserve"> expression.</w:t>
            </w:r>
          </w:p>
        </w:tc>
        <w:tc>
          <w:tcPr>
            <w:tcW w:w="2948" w:type="dxa"/>
            <w:tcMar>
              <w:top w:w="80" w:type="dxa"/>
              <w:left w:w="90" w:type="dxa"/>
              <w:bottom w:w="80" w:type="dxa"/>
              <w:right w:w="90" w:type="dxa"/>
            </w:tcMar>
          </w:tcPr>
          <w:p w14:paraId="51B9CC99"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5FEAE5F8" w14:textId="77777777" w:rsidR="00AB1DDB" w:rsidRDefault="00D815AB">
            <w:pPr>
              <w:spacing w:before="20" w:line="480" w:lineRule="auto"/>
            </w:pPr>
            <w:r>
              <w:rPr>
                <w:sz w:val="16"/>
              </w:rPr>
              <w:t>This study</w:t>
            </w:r>
          </w:p>
        </w:tc>
      </w:tr>
      <w:tr w:rsidR="00AB1DDB" w14:paraId="3510C10F" w14:textId="77777777">
        <w:trPr>
          <w:cantSplit/>
          <w:jc w:val="center"/>
        </w:trPr>
        <w:tc>
          <w:tcPr>
            <w:tcW w:w="2381" w:type="dxa"/>
            <w:tcMar>
              <w:top w:w="80" w:type="dxa"/>
              <w:left w:w="90" w:type="dxa"/>
              <w:bottom w:w="80" w:type="dxa"/>
              <w:right w:w="90" w:type="dxa"/>
            </w:tcMar>
          </w:tcPr>
          <w:p w14:paraId="7E15E8F3" w14:textId="77777777" w:rsidR="00AB1DDB" w:rsidRDefault="00D815AB">
            <w:pPr>
              <w:spacing w:before="20" w:line="480" w:lineRule="auto"/>
            </w:pPr>
            <w:r>
              <w:rPr>
                <w:sz w:val="16"/>
              </w:rPr>
              <w:t>pETDuet-1_Pgnt_</w:t>
            </w:r>
            <w:r>
              <w:rPr>
                <w:i/>
                <w:iCs/>
                <w:sz w:val="16"/>
              </w:rPr>
              <w:t>gfp</w:t>
            </w:r>
            <w:r>
              <w:rPr>
                <w:sz w:val="16"/>
              </w:rPr>
              <w:t>_Pbad_</w:t>
            </w:r>
            <w:r>
              <w:rPr>
                <w:i/>
                <w:iCs/>
                <w:sz w:val="16"/>
              </w:rPr>
              <w:t>rbfA</w:t>
            </w:r>
          </w:p>
        </w:tc>
        <w:tc>
          <w:tcPr>
            <w:tcW w:w="2324" w:type="dxa"/>
            <w:tcMar>
              <w:top w:w="80" w:type="dxa"/>
              <w:left w:w="90" w:type="dxa"/>
              <w:bottom w:w="80" w:type="dxa"/>
              <w:right w:w="90" w:type="dxa"/>
            </w:tcMar>
          </w:tcPr>
          <w:p w14:paraId="2996B39B"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15750891"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rbfA</w:t>
            </w:r>
            <w:r>
              <w:rPr>
                <w:sz w:val="16"/>
              </w:rPr>
              <w:t xml:space="preserve"> expression.</w:t>
            </w:r>
          </w:p>
        </w:tc>
        <w:tc>
          <w:tcPr>
            <w:tcW w:w="2948" w:type="dxa"/>
            <w:tcMar>
              <w:top w:w="80" w:type="dxa"/>
              <w:left w:w="90" w:type="dxa"/>
              <w:bottom w:w="80" w:type="dxa"/>
              <w:right w:w="90" w:type="dxa"/>
            </w:tcMar>
          </w:tcPr>
          <w:p w14:paraId="45D6728D"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4EF556D3" w14:textId="77777777" w:rsidR="00AB1DDB" w:rsidRDefault="00D815AB">
            <w:pPr>
              <w:spacing w:before="20" w:line="480" w:lineRule="auto"/>
            </w:pPr>
            <w:r>
              <w:rPr>
                <w:sz w:val="16"/>
              </w:rPr>
              <w:t>This study</w:t>
            </w:r>
          </w:p>
        </w:tc>
      </w:tr>
      <w:tr w:rsidR="00AB1DDB" w14:paraId="709F1053" w14:textId="77777777">
        <w:trPr>
          <w:cantSplit/>
          <w:jc w:val="center"/>
        </w:trPr>
        <w:tc>
          <w:tcPr>
            <w:tcW w:w="2381" w:type="dxa"/>
            <w:tcMar>
              <w:top w:w="80" w:type="dxa"/>
              <w:left w:w="90" w:type="dxa"/>
              <w:bottom w:w="80" w:type="dxa"/>
              <w:right w:w="90" w:type="dxa"/>
            </w:tcMar>
          </w:tcPr>
          <w:p w14:paraId="5ECB1F35" w14:textId="77777777" w:rsidR="00AB1DDB" w:rsidRDefault="00D815AB">
            <w:pPr>
              <w:spacing w:before="20" w:line="480" w:lineRule="auto"/>
            </w:pPr>
            <w:r>
              <w:rPr>
                <w:sz w:val="16"/>
              </w:rPr>
              <w:t>pETDuet-1_Pgnt_</w:t>
            </w:r>
            <w:r>
              <w:rPr>
                <w:i/>
                <w:iCs/>
                <w:sz w:val="16"/>
              </w:rPr>
              <w:t>gfp</w:t>
            </w:r>
            <w:r>
              <w:rPr>
                <w:sz w:val="16"/>
              </w:rPr>
              <w:t>_Pbad_</w:t>
            </w:r>
            <w:r>
              <w:rPr>
                <w:i/>
                <w:iCs/>
                <w:sz w:val="16"/>
              </w:rPr>
              <w:t>crp</w:t>
            </w:r>
          </w:p>
        </w:tc>
        <w:tc>
          <w:tcPr>
            <w:tcW w:w="2324" w:type="dxa"/>
            <w:tcMar>
              <w:top w:w="80" w:type="dxa"/>
              <w:left w:w="90" w:type="dxa"/>
              <w:bottom w:w="80" w:type="dxa"/>
              <w:right w:w="90" w:type="dxa"/>
            </w:tcMar>
          </w:tcPr>
          <w:p w14:paraId="31792E63"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10F568A8"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crp</w:t>
            </w:r>
            <w:r>
              <w:rPr>
                <w:sz w:val="16"/>
              </w:rPr>
              <w:t xml:space="preserve"> expression.</w:t>
            </w:r>
          </w:p>
        </w:tc>
        <w:tc>
          <w:tcPr>
            <w:tcW w:w="2948" w:type="dxa"/>
            <w:tcMar>
              <w:top w:w="80" w:type="dxa"/>
              <w:left w:w="90" w:type="dxa"/>
              <w:bottom w:w="80" w:type="dxa"/>
              <w:right w:w="90" w:type="dxa"/>
            </w:tcMar>
          </w:tcPr>
          <w:p w14:paraId="31BC9C98" w14:textId="77777777" w:rsidR="00AB1DDB" w:rsidRDefault="00D815AB">
            <w:pPr>
              <w:spacing w:before="20" w:line="480" w:lineRule="auto"/>
            </w:pPr>
            <w:r>
              <w:rPr>
                <w:sz w:val="16"/>
              </w:rPr>
              <w:t>Candidate transcription-factor screening that nominated CRP as the highest-confidence functional modulator of Pgnt output.</w:t>
            </w:r>
          </w:p>
        </w:tc>
        <w:tc>
          <w:tcPr>
            <w:tcW w:w="1247" w:type="dxa"/>
            <w:tcMar>
              <w:top w:w="80" w:type="dxa"/>
              <w:left w:w="90" w:type="dxa"/>
              <w:bottom w:w="80" w:type="dxa"/>
              <w:right w:w="90" w:type="dxa"/>
            </w:tcMar>
          </w:tcPr>
          <w:p w14:paraId="2BD04976" w14:textId="77777777" w:rsidR="00AB1DDB" w:rsidRDefault="00D815AB">
            <w:pPr>
              <w:spacing w:before="20" w:line="480" w:lineRule="auto"/>
            </w:pPr>
            <w:r>
              <w:rPr>
                <w:sz w:val="16"/>
              </w:rPr>
              <w:t>This study</w:t>
            </w:r>
          </w:p>
        </w:tc>
      </w:tr>
      <w:tr w:rsidR="00AB1DDB" w14:paraId="1BFE8BD9" w14:textId="77777777">
        <w:trPr>
          <w:cantSplit/>
          <w:jc w:val="center"/>
        </w:trPr>
        <w:tc>
          <w:tcPr>
            <w:tcW w:w="2381" w:type="dxa"/>
            <w:tcMar>
              <w:top w:w="80" w:type="dxa"/>
              <w:left w:w="90" w:type="dxa"/>
              <w:bottom w:w="80" w:type="dxa"/>
              <w:right w:w="90" w:type="dxa"/>
            </w:tcMar>
          </w:tcPr>
          <w:p w14:paraId="214245E7" w14:textId="77777777" w:rsidR="00AB1DDB" w:rsidRDefault="00D815AB">
            <w:pPr>
              <w:spacing w:before="20" w:line="480" w:lineRule="auto"/>
            </w:pPr>
            <w:r>
              <w:rPr>
                <w:sz w:val="16"/>
              </w:rPr>
              <w:lastRenderedPageBreak/>
              <w:t>pETDuet-1_Pgnt_</w:t>
            </w:r>
            <w:r>
              <w:rPr>
                <w:i/>
                <w:iCs/>
                <w:sz w:val="16"/>
              </w:rPr>
              <w:t>gfp</w:t>
            </w:r>
            <w:r>
              <w:rPr>
                <w:sz w:val="16"/>
              </w:rPr>
              <w:t>_Pbad_</w:t>
            </w:r>
            <w:r>
              <w:rPr>
                <w:i/>
                <w:iCs/>
                <w:sz w:val="16"/>
              </w:rPr>
              <w:t>yihW</w:t>
            </w:r>
          </w:p>
        </w:tc>
        <w:tc>
          <w:tcPr>
            <w:tcW w:w="2324" w:type="dxa"/>
            <w:tcMar>
              <w:top w:w="80" w:type="dxa"/>
              <w:left w:w="90" w:type="dxa"/>
              <w:bottom w:w="80" w:type="dxa"/>
              <w:right w:w="90" w:type="dxa"/>
            </w:tcMar>
          </w:tcPr>
          <w:p w14:paraId="06806B3D"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079EBF1B"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yihW</w:t>
            </w:r>
            <w:r>
              <w:rPr>
                <w:sz w:val="16"/>
              </w:rPr>
              <w:t xml:space="preserve"> expression.</w:t>
            </w:r>
          </w:p>
        </w:tc>
        <w:tc>
          <w:tcPr>
            <w:tcW w:w="2948" w:type="dxa"/>
            <w:tcMar>
              <w:top w:w="80" w:type="dxa"/>
              <w:left w:w="90" w:type="dxa"/>
              <w:bottom w:w="80" w:type="dxa"/>
              <w:right w:w="90" w:type="dxa"/>
            </w:tcMar>
          </w:tcPr>
          <w:p w14:paraId="70162E45"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1DFA0780" w14:textId="77777777" w:rsidR="00AB1DDB" w:rsidRDefault="00D815AB">
            <w:pPr>
              <w:spacing w:before="20" w:line="480" w:lineRule="auto"/>
            </w:pPr>
            <w:r>
              <w:rPr>
                <w:sz w:val="16"/>
              </w:rPr>
              <w:t>This study</w:t>
            </w:r>
          </w:p>
        </w:tc>
      </w:tr>
      <w:tr w:rsidR="00AB1DDB" w14:paraId="0B7E1AAB" w14:textId="77777777">
        <w:trPr>
          <w:cantSplit/>
          <w:jc w:val="center"/>
        </w:trPr>
        <w:tc>
          <w:tcPr>
            <w:tcW w:w="2381" w:type="dxa"/>
            <w:tcMar>
              <w:top w:w="80" w:type="dxa"/>
              <w:left w:w="90" w:type="dxa"/>
              <w:bottom w:w="80" w:type="dxa"/>
              <w:right w:w="90" w:type="dxa"/>
            </w:tcMar>
          </w:tcPr>
          <w:p w14:paraId="0F47CF37" w14:textId="77777777" w:rsidR="00AB1DDB" w:rsidRDefault="00D815AB">
            <w:pPr>
              <w:spacing w:before="20" w:line="480" w:lineRule="auto"/>
            </w:pPr>
            <w:r>
              <w:rPr>
                <w:sz w:val="16"/>
              </w:rPr>
              <w:t>pETDuet-1_Pgnt_</w:t>
            </w:r>
            <w:r>
              <w:rPr>
                <w:i/>
                <w:iCs/>
                <w:sz w:val="16"/>
              </w:rPr>
              <w:t>gfp</w:t>
            </w:r>
            <w:r>
              <w:rPr>
                <w:sz w:val="16"/>
              </w:rPr>
              <w:t>_Pbad_</w:t>
            </w:r>
            <w:r>
              <w:rPr>
                <w:i/>
                <w:iCs/>
                <w:sz w:val="16"/>
              </w:rPr>
              <w:t>clpB</w:t>
            </w:r>
          </w:p>
        </w:tc>
        <w:tc>
          <w:tcPr>
            <w:tcW w:w="2324" w:type="dxa"/>
            <w:tcMar>
              <w:top w:w="80" w:type="dxa"/>
              <w:left w:w="90" w:type="dxa"/>
              <w:bottom w:w="80" w:type="dxa"/>
              <w:right w:w="90" w:type="dxa"/>
            </w:tcMar>
          </w:tcPr>
          <w:p w14:paraId="50E51A1E"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0027C007"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clpB</w:t>
            </w:r>
            <w:r>
              <w:rPr>
                <w:sz w:val="16"/>
              </w:rPr>
              <w:t xml:space="preserve"> expression.</w:t>
            </w:r>
          </w:p>
        </w:tc>
        <w:tc>
          <w:tcPr>
            <w:tcW w:w="2948" w:type="dxa"/>
            <w:tcMar>
              <w:top w:w="80" w:type="dxa"/>
              <w:left w:w="90" w:type="dxa"/>
              <w:bottom w:w="80" w:type="dxa"/>
              <w:right w:w="90" w:type="dxa"/>
            </w:tcMar>
          </w:tcPr>
          <w:p w14:paraId="0FFE78D4"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306E1DE8" w14:textId="77777777" w:rsidR="00AB1DDB" w:rsidRDefault="00D815AB">
            <w:pPr>
              <w:spacing w:before="20" w:line="480" w:lineRule="auto"/>
            </w:pPr>
            <w:r>
              <w:rPr>
                <w:sz w:val="16"/>
              </w:rPr>
              <w:t>This study</w:t>
            </w:r>
          </w:p>
        </w:tc>
      </w:tr>
      <w:tr w:rsidR="00AB1DDB" w14:paraId="35E8D152" w14:textId="77777777">
        <w:trPr>
          <w:cantSplit/>
          <w:jc w:val="center"/>
        </w:trPr>
        <w:tc>
          <w:tcPr>
            <w:tcW w:w="2381" w:type="dxa"/>
            <w:tcMar>
              <w:top w:w="80" w:type="dxa"/>
              <w:left w:w="90" w:type="dxa"/>
              <w:bottom w:w="80" w:type="dxa"/>
              <w:right w:w="90" w:type="dxa"/>
            </w:tcMar>
          </w:tcPr>
          <w:p w14:paraId="7FD1BF73" w14:textId="77777777" w:rsidR="00AB1DDB" w:rsidRDefault="00D815AB">
            <w:pPr>
              <w:spacing w:before="20" w:line="480" w:lineRule="auto"/>
            </w:pPr>
            <w:r>
              <w:rPr>
                <w:sz w:val="16"/>
              </w:rPr>
              <w:t>pETDuet-1_Pgnt_</w:t>
            </w:r>
            <w:r>
              <w:rPr>
                <w:i/>
                <w:iCs/>
                <w:sz w:val="16"/>
              </w:rPr>
              <w:t>gfp</w:t>
            </w:r>
            <w:r>
              <w:rPr>
                <w:sz w:val="16"/>
              </w:rPr>
              <w:t>_Pbad_</w:t>
            </w:r>
            <w:r>
              <w:rPr>
                <w:i/>
                <w:iCs/>
                <w:sz w:val="16"/>
              </w:rPr>
              <w:t>rpoD</w:t>
            </w:r>
          </w:p>
        </w:tc>
        <w:tc>
          <w:tcPr>
            <w:tcW w:w="2324" w:type="dxa"/>
            <w:tcMar>
              <w:top w:w="80" w:type="dxa"/>
              <w:left w:w="90" w:type="dxa"/>
              <w:bottom w:w="80" w:type="dxa"/>
              <w:right w:w="90" w:type="dxa"/>
            </w:tcMar>
          </w:tcPr>
          <w:p w14:paraId="2CAA9ADC" w14:textId="77777777" w:rsidR="00AB1DDB" w:rsidRDefault="00D815AB">
            <w:pPr>
              <w:spacing w:before="20" w:line="480" w:lineRule="auto"/>
            </w:pPr>
            <w:r>
              <w:rPr>
                <w:sz w:val="16"/>
              </w:rPr>
              <w:t>TF-screen reporter plasmid</w:t>
            </w:r>
          </w:p>
        </w:tc>
        <w:tc>
          <w:tcPr>
            <w:tcW w:w="2835" w:type="dxa"/>
            <w:tcMar>
              <w:top w:w="80" w:type="dxa"/>
              <w:left w:w="90" w:type="dxa"/>
              <w:bottom w:w="80" w:type="dxa"/>
              <w:right w:w="90" w:type="dxa"/>
            </w:tcMar>
          </w:tcPr>
          <w:p w14:paraId="2803BBF8" w14:textId="77777777" w:rsidR="00AB1DDB" w:rsidRDefault="00D815AB">
            <w:pPr>
              <w:spacing w:before="20" w:line="480" w:lineRule="auto"/>
            </w:pPr>
            <w:r>
              <w:rPr>
                <w:sz w:val="16"/>
              </w:rPr>
              <w:t>Pgnt-</w:t>
            </w:r>
            <w:r>
              <w:rPr>
                <w:i/>
                <w:iCs/>
                <w:sz w:val="16"/>
              </w:rPr>
              <w:t>gfp</w:t>
            </w:r>
            <w:r>
              <w:rPr>
                <w:sz w:val="16"/>
              </w:rPr>
              <w:t xml:space="preserve"> reporter combined with inducible </w:t>
            </w:r>
            <w:r>
              <w:rPr>
                <w:i/>
                <w:iCs/>
                <w:sz w:val="16"/>
              </w:rPr>
              <w:t>rpoD</w:t>
            </w:r>
            <w:r>
              <w:rPr>
                <w:sz w:val="16"/>
              </w:rPr>
              <w:t xml:space="preserve"> expression.</w:t>
            </w:r>
          </w:p>
        </w:tc>
        <w:tc>
          <w:tcPr>
            <w:tcW w:w="2948" w:type="dxa"/>
            <w:tcMar>
              <w:top w:w="80" w:type="dxa"/>
              <w:left w:w="90" w:type="dxa"/>
              <w:bottom w:w="80" w:type="dxa"/>
              <w:right w:w="90" w:type="dxa"/>
            </w:tcMar>
          </w:tcPr>
          <w:p w14:paraId="324EEEF6" w14:textId="77777777" w:rsidR="00AB1DDB" w:rsidRDefault="00D815AB">
            <w:pPr>
              <w:spacing w:before="20" w:line="480" w:lineRule="auto"/>
            </w:pPr>
            <w:r>
              <w:rPr>
                <w:sz w:val="16"/>
              </w:rPr>
              <w:t>Candidate transcription-factor screening against Pgnt output.</w:t>
            </w:r>
          </w:p>
        </w:tc>
        <w:tc>
          <w:tcPr>
            <w:tcW w:w="1247" w:type="dxa"/>
            <w:tcMar>
              <w:top w:w="80" w:type="dxa"/>
              <w:left w:w="90" w:type="dxa"/>
              <w:bottom w:w="80" w:type="dxa"/>
              <w:right w:w="90" w:type="dxa"/>
            </w:tcMar>
          </w:tcPr>
          <w:p w14:paraId="1932335A" w14:textId="77777777" w:rsidR="00AB1DDB" w:rsidRDefault="00D815AB">
            <w:pPr>
              <w:spacing w:before="20" w:line="480" w:lineRule="auto"/>
            </w:pPr>
            <w:r>
              <w:rPr>
                <w:sz w:val="16"/>
              </w:rPr>
              <w:t>This study</w:t>
            </w:r>
          </w:p>
        </w:tc>
      </w:tr>
      <w:tr w:rsidR="00AB1DDB" w14:paraId="0986A174" w14:textId="77777777">
        <w:trPr>
          <w:cantSplit/>
          <w:jc w:val="center"/>
        </w:trPr>
        <w:tc>
          <w:tcPr>
            <w:tcW w:w="2381" w:type="dxa"/>
            <w:tcMar>
              <w:top w:w="80" w:type="dxa"/>
              <w:left w:w="90" w:type="dxa"/>
              <w:bottom w:w="80" w:type="dxa"/>
              <w:right w:w="90" w:type="dxa"/>
            </w:tcMar>
          </w:tcPr>
          <w:p w14:paraId="3FB31786" w14:textId="77777777" w:rsidR="00AB1DDB" w:rsidRDefault="00D815AB">
            <w:pPr>
              <w:spacing w:before="20" w:line="480" w:lineRule="auto"/>
            </w:pPr>
            <w:r>
              <w:rPr>
                <w:sz w:val="16"/>
              </w:rPr>
              <w:t>pPM</w:t>
            </w:r>
          </w:p>
        </w:tc>
        <w:tc>
          <w:tcPr>
            <w:tcW w:w="2324" w:type="dxa"/>
            <w:tcMar>
              <w:top w:w="80" w:type="dxa"/>
              <w:left w:w="90" w:type="dxa"/>
              <w:bottom w:w="80" w:type="dxa"/>
              <w:right w:w="90" w:type="dxa"/>
            </w:tcMar>
          </w:tcPr>
          <w:p w14:paraId="549A3643" w14:textId="77777777" w:rsidR="00AB1DDB" w:rsidRDefault="00D815AB">
            <w:pPr>
              <w:spacing w:before="20" w:line="480" w:lineRule="auto"/>
            </w:pPr>
            <w:r>
              <w:rPr>
                <w:sz w:val="16"/>
              </w:rPr>
              <w:t>pACYC_P34_PmHS2</w:t>
            </w:r>
          </w:p>
        </w:tc>
        <w:tc>
          <w:tcPr>
            <w:tcW w:w="2835" w:type="dxa"/>
            <w:tcMar>
              <w:top w:w="80" w:type="dxa"/>
              <w:left w:w="90" w:type="dxa"/>
              <w:bottom w:w="80" w:type="dxa"/>
              <w:right w:w="90" w:type="dxa"/>
            </w:tcMar>
          </w:tcPr>
          <w:p w14:paraId="3B20863A" w14:textId="77777777" w:rsidR="00AB1DDB" w:rsidRDefault="00D815AB">
            <w:pPr>
              <w:spacing w:before="20" w:line="480" w:lineRule="auto"/>
            </w:pPr>
            <w:r>
              <w:rPr>
                <w:sz w:val="16"/>
              </w:rPr>
              <w:t>Constitutive P34-driven PmHS2 expression cassette on a pACYC backbone.</w:t>
            </w:r>
          </w:p>
        </w:tc>
        <w:tc>
          <w:tcPr>
            <w:tcW w:w="2948" w:type="dxa"/>
            <w:tcMar>
              <w:top w:w="80" w:type="dxa"/>
              <w:left w:w="90" w:type="dxa"/>
              <w:bottom w:w="80" w:type="dxa"/>
              <w:right w:w="90" w:type="dxa"/>
            </w:tcMar>
          </w:tcPr>
          <w:p w14:paraId="69CA2966" w14:textId="77777777" w:rsidR="00AB1DDB" w:rsidRDefault="00D815AB">
            <w:pPr>
              <w:spacing w:before="20" w:line="480" w:lineRule="auto"/>
            </w:pPr>
            <w:r>
              <w:rPr>
                <w:sz w:val="16"/>
              </w:rPr>
              <w:t>PmHS2 mutant-library construction and growth-coupled evolution.</w:t>
            </w:r>
          </w:p>
        </w:tc>
        <w:tc>
          <w:tcPr>
            <w:tcW w:w="1247" w:type="dxa"/>
            <w:tcMar>
              <w:top w:w="80" w:type="dxa"/>
              <w:left w:w="90" w:type="dxa"/>
              <w:bottom w:w="80" w:type="dxa"/>
              <w:right w:w="90" w:type="dxa"/>
            </w:tcMar>
          </w:tcPr>
          <w:p w14:paraId="0BA30F17" w14:textId="77777777" w:rsidR="00AB1DDB" w:rsidRDefault="00D815AB">
            <w:pPr>
              <w:spacing w:before="20" w:line="480" w:lineRule="auto"/>
            </w:pPr>
            <w:r>
              <w:rPr>
                <w:sz w:val="16"/>
              </w:rPr>
              <w:t>This study</w:t>
            </w:r>
          </w:p>
        </w:tc>
      </w:tr>
      <w:tr w:rsidR="00AB1DDB" w14:paraId="632056CF" w14:textId="77777777">
        <w:trPr>
          <w:cantSplit/>
          <w:jc w:val="center"/>
        </w:trPr>
        <w:tc>
          <w:tcPr>
            <w:tcW w:w="2381" w:type="dxa"/>
            <w:tcMar>
              <w:top w:w="80" w:type="dxa"/>
              <w:left w:w="90" w:type="dxa"/>
              <w:bottom w:w="80" w:type="dxa"/>
              <w:right w:w="90" w:type="dxa"/>
            </w:tcMar>
          </w:tcPr>
          <w:p w14:paraId="0CEC862F" w14:textId="77777777" w:rsidR="00AB1DDB" w:rsidRDefault="00D815AB">
            <w:pPr>
              <w:spacing w:before="20" w:line="480" w:lineRule="auto"/>
            </w:pPr>
            <w:r>
              <w:rPr>
                <w:sz w:val="16"/>
              </w:rPr>
              <w:t>pACYC_P34_</w:t>
            </w:r>
            <w:r>
              <w:rPr>
                <w:i/>
                <w:iCs/>
                <w:sz w:val="16"/>
              </w:rPr>
              <w:t>kfiA</w:t>
            </w:r>
            <w:r>
              <w:rPr>
                <w:sz w:val="16"/>
              </w:rPr>
              <w:t>_P34_</w:t>
            </w:r>
            <w:r>
              <w:rPr>
                <w:i/>
                <w:iCs/>
                <w:sz w:val="16"/>
              </w:rPr>
              <w:t>kfiC</w:t>
            </w:r>
          </w:p>
        </w:tc>
        <w:tc>
          <w:tcPr>
            <w:tcW w:w="2324" w:type="dxa"/>
            <w:tcMar>
              <w:top w:w="80" w:type="dxa"/>
              <w:left w:w="90" w:type="dxa"/>
              <w:bottom w:w="80" w:type="dxa"/>
              <w:right w:w="90" w:type="dxa"/>
            </w:tcMar>
          </w:tcPr>
          <w:p w14:paraId="68E45E89" w14:textId="77777777" w:rsidR="00AB1DDB" w:rsidRDefault="00D815AB">
            <w:pPr>
              <w:spacing w:before="20" w:line="480" w:lineRule="auto"/>
            </w:pPr>
            <w:r>
              <w:rPr>
                <w:i/>
                <w:iCs/>
                <w:sz w:val="16"/>
              </w:rPr>
              <w:t>kfiA</w:t>
            </w:r>
            <w:r>
              <w:rPr>
                <w:sz w:val="16"/>
              </w:rPr>
              <w:t>/</w:t>
            </w:r>
            <w:r>
              <w:rPr>
                <w:i/>
                <w:iCs/>
                <w:sz w:val="16"/>
              </w:rPr>
              <w:t>kfiC</w:t>
            </w:r>
            <w:r>
              <w:rPr>
                <w:sz w:val="16"/>
              </w:rPr>
              <w:t xml:space="preserve"> library vector</w:t>
            </w:r>
          </w:p>
        </w:tc>
        <w:tc>
          <w:tcPr>
            <w:tcW w:w="2835" w:type="dxa"/>
            <w:tcMar>
              <w:top w:w="80" w:type="dxa"/>
              <w:left w:w="90" w:type="dxa"/>
              <w:bottom w:w="80" w:type="dxa"/>
              <w:right w:w="90" w:type="dxa"/>
            </w:tcMar>
          </w:tcPr>
          <w:p w14:paraId="1C0BA715" w14:textId="77777777" w:rsidR="00AB1DDB" w:rsidRDefault="00D815AB">
            <w:pPr>
              <w:spacing w:before="20" w:line="480" w:lineRule="auto"/>
            </w:pPr>
            <w:r>
              <w:rPr>
                <w:sz w:val="16"/>
              </w:rPr>
              <w:t xml:space="preserve">Dual-expression construct carrying </w:t>
            </w:r>
            <w:r>
              <w:rPr>
                <w:i/>
                <w:iCs/>
                <w:sz w:val="16"/>
              </w:rPr>
              <w:t>kfiA</w:t>
            </w:r>
            <w:r>
              <w:rPr>
                <w:sz w:val="16"/>
              </w:rPr>
              <w:t xml:space="preserve"> and </w:t>
            </w:r>
            <w:r>
              <w:rPr>
                <w:i/>
                <w:iCs/>
                <w:sz w:val="16"/>
              </w:rPr>
              <w:t>kfiC</w:t>
            </w:r>
            <w:r>
              <w:rPr>
                <w:sz w:val="16"/>
              </w:rPr>
              <w:t xml:space="preserve"> under P34 promoters.</w:t>
            </w:r>
          </w:p>
        </w:tc>
        <w:tc>
          <w:tcPr>
            <w:tcW w:w="2948" w:type="dxa"/>
            <w:tcMar>
              <w:top w:w="80" w:type="dxa"/>
              <w:left w:w="90" w:type="dxa"/>
              <w:bottom w:w="80" w:type="dxa"/>
              <w:right w:w="90" w:type="dxa"/>
            </w:tcMar>
          </w:tcPr>
          <w:p w14:paraId="06158708" w14:textId="77777777" w:rsidR="00AB1DDB" w:rsidRDefault="00D815AB">
            <w:pPr>
              <w:spacing w:before="20" w:line="480" w:lineRule="auto"/>
            </w:pPr>
            <w:r>
              <w:rPr>
                <w:sz w:val="16"/>
              </w:rPr>
              <w:t xml:space="preserve">Construction and propagation of the heteromeric </w:t>
            </w:r>
            <w:r>
              <w:rPr>
                <w:i/>
                <w:iCs/>
                <w:sz w:val="16"/>
              </w:rPr>
              <w:t>kfiA</w:t>
            </w:r>
            <w:r>
              <w:rPr>
                <w:sz w:val="16"/>
              </w:rPr>
              <w:t xml:space="preserve"> mutant library with </w:t>
            </w:r>
            <w:r>
              <w:rPr>
                <w:i/>
                <w:iCs/>
                <w:sz w:val="16"/>
              </w:rPr>
              <w:t>kfiC</w:t>
            </w:r>
            <w:r>
              <w:rPr>
                <w:sz w:val="16"/>
              </w:rPr>
              <w:t xml:space="preserve"> maintained as partner subunit.</w:t>
            </w:r>
          </w:p>
        </w:tc>
        <w:tc>
          <w:tcPr>
            <w:tcW w:w="1247" w:type="dxa"/>
            <w:tcMar>
              <w:top w:w="80" w:type="dxa"/>
              <w:left w:w="90" w:type="dxa"/>
              <w:bottom w:w="80" w:type="dxa"/>
              <w:right w:w="90" w:type="dxa"/>
            </w:tcMar>
          </w:tcPr>
          <w:p w14:paraId="02E9EC71" w14:textId="77777777" w:rsidR="00AB1DDB" w:rsidRDefault="00D815AB">
            <w:pPr>
              <w:spacing w:before="20" w:line="480" w:lineRule="auto"/>
            </w:pPr>
            <w:r>
              <w:rPr>
                <w:sz w:val="16"/>
              </w:rPr>
              <w:t>This study</w:t>
            </w:r>
          </w:p>
        </w:tc>
      </w:tr>
      <w:tr w:rsidR="00AB1DDB" w14:paraId="4478C9AC" w14:textId="77777777">
        <w:trPr>
          <w:cantSplit/>
          <w:jc w:val="center"/>
        </w:trPr>
        <w:tc>
          <w:tcPr>
            <w:tcW w:w="2381" w:type="dxa"/>
            <w:tcMar>
              <w:top w:w="80" w:type="dxa"/>
              <w:left w:w="90" w:type="dxa"/>
              <w:bottom w:w="80" w:type="dxa"/>
              <w:right w:w="90" w:type="dxa"/>
            </w:tcMar>
          </w:tcPr>
          <w:p w14:paraId="6AAF2009" w14:textId="77777777" w:rsidR="00AB1DDB" w:rsidRDefault="00D815AB">
            <w:pPr>
              <w:spacing w:before="20" w:line="480" w:lineRule="auto"/>
            </w:pPr>
            <w:r>
              <w:rPr>
                <w:sz w:val="16"/>
              </w:rPr>
              <w:t>pSC101_MutD5</w:t>
            </w:r>
          </w:p>
        </w:tc>
        <w:tc>
          <w:tcPr>
            <w:tcW w:w="2324" w:type="dxa"/>
            <w:tcMar>
              <w:top w:w="80" w:type="dxa"/>
              <w:left w:w="90" w:type="dxa"/>
              <w:bottom w:w="80" w:type="dxa"/>
              <w:right w:w="90" w:type="dxa"/>
            </w:tcMar>
          </w:tcPr>
          <w:p w14:paraId="5B6CEC22" w14:textId="77777777" w:rsidR="00AB1DDB" w:rsidRDefault="00D815AB">
            <w:pPr>
              <w:spacing w:before="20" w:line="480" w:lineRule="auto"/>
            </w:pPr>
            <w:r>
              <w:rPr>
                <w:sz w:val="16"/>
              </w:rPr>
              <w:t>Whole-genome dual-plasmid mutagenesis system</w:t>
            </w:r>
          </w:p>
        </w:tc>
        <w:tc>
          <w:tcPr>
            <w:tcW w:w="2835" w:type="dxa"/>
            <w:tcMar>
              <w:top w:w="80" w:type="dxa"/>
              <w:left w:w="90" w:type="dxa"/>
              <w:bottom w:w="80" w:type="dxa"/>
              <w:right w:w="90" w:type="dxa"/>
            </w:tcMar>
          </w:tcPr>
          <w:p w14:paraId="7CABBFA5" w14:textId="77777777" w:rsidR="00AB1DDB" w:rsidRDefault="00D815AB">
            <w:pPr>
              <w:spacing w:before="20" w:line="480" w:lineRule="auto"/>
            </w:pPr>
            <w:r>
              <w:rPr>
                <w:sz w:val="16"/>
              </w:rPr>
              <w:t>Low-copy mutator plasmid encoding MutD5-mediated error-prone replication functions.</w:t>
            </w:r>
          </w:p>
        </w:tc>
        <w:tc>
          <w:tcPr>
            <w:tcW w:w="2948" w:type="dxa"/>
            <w:tcMar>
              <w:top w:w="80" w:type="dxa"/>
              <w:left w:w="90" w:type="dxa"/>
              <w:bottom w:w="80" w:type="dxa"/>
              <w:right w:w="90" w:type="dxa"/>
            </w:tcMar>
          </w:tcPr>
          <w:p w14:paraId="63E42156" w14:textId="77777777" w:rsidR="00AB1DDB" w:rsidRDefault="00D815AB">
            <w:pPr>
              <w:spacing w:before="20" w:line="480" w:lineRule="auto"/>
            </w:pPr>
            <w:r>
              <w:rPr>
                <w:sz w:val="16"/>
              </w:rPr>
              <w:t>Continuous whole-genome diversification coupled to the selection circuit.</w:t>
            </w:r>
          </w:p>
        </w:tc>
        <w:tc>
          <w:tcPr>
            <w:tcW w:w="1247" w:type="dxa"/>
            <w:tcMar>
              <w:top w:w="80" w:type="dxa"/>
              <w:left w:w="90" w:type="dxa"/>
              <w:bottom w:w="80" w:type="dxa"/>
              <w:right w:w="90" w:type="dxa"/>
            </w:tcMar>
          </w:tcPr>
          <w:p w14:paraId="41DFDEF2" w14:textId="77777777" w:rsidR="00AB1DDB" w:rsidRDefault="00D815AB">
            <w:pPr>
              <w:spacing w:before="20" w:line="480" w:lineRule="auto"/>
            </w:pPr>
            <w:r>
              <w:rPr>
                <w:sz w:val="16"/>
              </w:rPr>
              <w:t>This study</w:t>
            </w:r>
          </w:p>
        </w:tc>
      </w:tr>
      <w:tr w:rsidR="00AB1DDB" w14:paraId="755D0209" w14:textId="77777777">
        <w:trPr>
          <w:cantSplit/>
          <w:jc w:val="center"/>
        </w:trPr>
        <w:tc>
          <w:tcPr>
            <w:tcW w:w="2381" w:type="dxa"/>
            <w:tcMar>
              <w:top w:w="80" w:type="dxa"/>
              <w:left w:w="90" w:type="dxa"/>
              <w:bottom w:w="80" w:type="dxa"/>
              <w:right w:w="90" w:type="dxa"/>
            </w:tcMar>
          </w:tcPr>
          <w:p w14:paraId="68DDAA91" w14:textId="77777777" w:rsidR="00AB1DDB" w:rsidRDefault="00D815AB">
            <w:pPr>
              <w:spacing w:before="20" w:line="480" w:lineRule="auto"/>
            </w:pPr>
            <w:r>
              <w:rPr>
                <w:sz w:val="16"/>
              </w:rPr>
              <w:lastRenderedPageBreak/>
              <w:t>pET-28a(+)_PmHS2-WT</w:t>
            </w:r>
          </w:p>
        </w:tc>
        <w:tc>
          <w:tcPr>
            <w:tcW w:w="2324" w:type="dxa"/>
            <w:tcMar>
              <w:top w:w="80" w:type="dxa"/>
              <w:left w:w="90" w:type="dxa"/>
              <w:bottom w:w="80" w:type="dxa"/>
              <w:right w:w="90" w:type="dxa"/>
            </w:tcMar>
          </w:tcPr>
          <w:p w14:paraId="1AE569C6"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6E179663" w14:textId="77777777" w:rsidR="00AB1DDB" w:rsidRDefault="00D815AB">
            <w:pPr>
              <w:spacing w:before="20" w:line="480" w:lineRule="auto"/>
            </w:pPr>
            <w:r>
              <w:rPr>
                <w:sz w:val="16"/>
              </w:rPr>
              <w:t>Wild-type PmHS2 coding sequence.</w:t>
            </w:r>
          </w:p>
        </w:tc>
        <w:tc>
          <w:tcPr>
            <w:tcW w:w="2948" w:type="dxa"/>
            <w:tcMar>
              <w:top w:w="80" w:type="dxa"/>
              <w:left w:w="90" w:type="dxa"/>
              <w:bottom w:w="80" w:type="dxa"/>
              <w:right w:w="90" w:type="dxa"/>
            </w:tcMar>
          </w:tcPr>
          <w:p w14:paraId="19F13C6B" w14:textId="77777777" w:rsidR="00AB1DDB" w:rsidRDefault="00D815AB">
            <w:pPr>
              <w:spacing w:before="20" w:line="480" w:lineRule="auto"/>
            </w:pPr>
            <w:r>
              <w:rPr>
                <w:sz w:val="16"/>
              </w:rPr>
              <w:t>Expression and purification of recombinant PmHS2 reference enzyme in BL21(DE3).</w:t>
            </w:r>
          </w:p>
        </w:tc>
        <w:tc>
          <w:tcPr>
            <w:tcW w:w="1247" w:type="dxa"/>
            <w:tcMar>
              <w:top w:w="80" w:type="dxa"/>
              <w:left w:w="90" w:type="dxa"/>
              <w:bottom w:w="80" w:type="dxa"/>
              <w:right w:w="90" w:type="dxa"/>
            </w:tcMar>
          </w:tcPr>
          <w:p w14:paraId="56A79070" w14:textId="77777777" w:rsidR="00AB1DDB" w:rsidRDefault="00D815AB">
            <w:pPr>
              <w:spacing w:before="20" w:line="480" w:lineRule="auto"/>
            </w:pPr>
            <w:r>
              <w:rPr>
                <w:sz w:val="16"/>
              </w:rPr>
              <w:t>This study</w:t>
            </w:r>
          </w:p>
        </w:tc>
      </w:tr>
      <w:tr w:rsidR="00AB1DDB" w14:paraId="477F9EC5" w14:textId="77777777">
        <w:trPr>
          <w:cantSplit/>
          <w:jc w:val="center"/>
        </w:trPr>
        <w:tc>
          <w:tcPr>
            <w:tcW w:w="2381" w:type="dxa"/>
            <w:tcMar>
              <w:top w:w="80" w:type="dxa"/>
              <w:left w:w="90" w:type="dxa"/>
              <w:bottom w:w="80" w:type="dxa"/>
              <w:right w:w="90" w:type="dxa"/>
            </w:tcMar>
          </w:tcPr>
          <w:p w14:paraId="0C23FBF3" w14:textId="77777777" w:rsidR="00AB1DDB" w:rsidRDefault="00D815AB">
            <w:pPr>
              <w:spacing w:before="20" w:line="480" w:lineRule="auto"/>
            </w:pPr>
            <w:r>
              <w:rPr>
                <w:sz w:val="16"/>
              </w:rPr>
              <w:t>pET-28a(+)_PmHS2-S130G</w:t>
            </w:r>
          </w:p>
        </w:tc>
        <w:tc>
          <w:tcPr>
            <w:tcW w:w="2324" w:type="dxa"/>
            <w:tcMar>
              <w:top w:w="80" w:type="dxa"/>
              <w:left w:w="90" w:type="dxa"/>
              <w:bottom w:w="80" w:type="dxa"/>
              <w:right w:w="90" w:type="dxa"/>
            </w:tcMar>
          </w:tcPr>
          <w:p w14:paraId="5B854350"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22742A15" w14:textId="77777777" w:rsidR="00AB1DDB" w:rsidRDefault="00D815AB">
            <w:pPr>
              <w:spacing w:before="20" w:line="480" w:lineRule="auto"/>
            </w:pPr>
            <w:r>
              <w:rPr>
                <w:sz w:val="16"/>
              </w:rPr>
              <w:t>PmHS2 carrying the S130G substitution.</w:t>
            </w:r>
          </w:p>
        </w:tc>
        <w:tc>
          <w:tcPr>
            <w:tcW w:w="2948" w:type="dxa"/>
            <w:tcMar>
              <w:top w:w="80" w:type="dxa"/>
              <w:left w:w="90" w:type="dxa"/>
              <w:bottom w:w="80" w:type="dxa"/>
              <w:right w:w="90" w:type="dxa"/>
            </w:tcMar>
          </w:tcPr>
          <w:p w14:paraId="5D7F2F2F" w14:textId="77777777" w:rsidR="00AB1DDB" w:rsidRDefault="00D815AB">
            <w:pPr>
              <w:spacing w:before="20" w:line="480" w:lineRule="auto"/>
            </w:pPr>
            <w:r>
              <w:rPr>
                <w:sz w:val="16"/>
              </w:rPr>
              <w:t>Expression and biochemical validation of an enriched PmHS2 mutant in BL21(DE3).</w:t>
            </w:r>
          </w:p>
        </w:tc>
        <w:tc>
          <w:tcPr>
            <w:tcW w:w="1247" w:type="dxa"/>
            <w:tcMar>
              <w:top w:w="80" w:type="dxa"/>
              <w:left w:w="90" w:type="dxa"/>
              <w:bottom w:w="80" w:type="dxa"/>
              <w:right w:w="90" w:type="dxa"/>
            </w:tcMar>
          </w:tcPr>
          <w:p w14:paraId="734209D1" w14:textId="77777777" w:rsidR="00AB1DDB" w:rsidRDefault="00D815AB">
            <w:pPr>
              <w:spacing w:before="20" w:line="480" w:lineRule="auto"/>
            </w:pPr>
            <w:r>
              <w:rPr>
                <w:sz w:val="16"/>
              </w:rPr>
              <w:t>This study</w:t>
            </w:r>
          </w:p>
        </w:tc>
      </w:tr>
      <w:tr w:rsidR="00AB1DDB" w14:paraId="7855E56C" w14:textId="77777777">
        <w:trPr>
          <w:cantSplit/>
          <w:jc w:val="center"/>
        </w:trPr>
        <w:tc>
          <w:tcPr>
            <w:tcW w:w="2381" w:type="dxa"/>
            <w:tcMar>
              <w:top w:w="80" w:type="dxa"/>
              <w:left w:w="90" w:type="dxa"/>
              <w:bottom w:w="80" w:type="dxa"/>
              <w:right w:w="90" w:type="dxa"/>
            </w:tcMar>
          </w:tcPr>
          <w:p w14:paraId="05FAD18C" w14:textId="77777777" w:rsidR="00AB1DDB" w:rsidRDefault="00D815AB">
            <w:pPr>
              <w:spacing w:before="20" w:line="480" w:lineRule="auto"/>
            </w:pPr>
            <w:r>
              <w:rPr>
                <w:sz w:val="16"/>
              </w:rPr>
              <w:t>pET-28a(+)_PmHS2-L351Q</w:t>
            </w:r>
          </w:p>
        </w:tc>
        <w:tc>
          <w:tcPr>
            <w:tcW w:w="2324" w:type="dxa"/>
            <w:tcMar>
              <w:top w:w="80" w:type="dxa"/>
              <w:left w:w="90" w:type="dxa"/>
              <w:bottom w:w="80" w:type="dxa"/>
              <w:right w:w="90" w:type="dxa"/>
            </w:tcMar>
          </w:tcPr>
          <w:p w14:paraId="0245A382"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449E55D1" w14:textId="77777777" w:rsidR="00AB1DDB" w:rsidRDefault="00D815AB">
            <w:pPr>
              <w:spacing w:before="20" w:line="480" w:lineRule="auto"/>
            </w:pPr>
            <w:r>
              <w:rPr>
                <w:sz w:val="16"/>
              </w:rPr>
              <w:t>PmHS2 carrying the L351Q substitution.</w:t>
            </w:r>
          </w:p>
        </w:tc>
        <w:tc>
          <w:tcPr>
            <w:tcW w:w="2948" w:type="dxa"/>
            <w:tcMar>
              <w:top w:w="80" w:type="dxa"/>
              <w:left w:w="90" w:type="dxa"/>
              <w:bottom w:w="80" w:type="dxa"/>
              <w:right w:w="90" w:type="dxa"/>
            </w:tcMar>
          </w:tcPr>
          <w:p w14:paraId="094F177C" w14:textId="77777777" w:rsidR="00AB1DDB" w:rsidRDefault="00D815AB">
            <w:pPr>
              <w:spacing w:before="20" w:line="480" w:lineRule="auto"/>
            </w:pPr>
            <w:r>
              <w:rPr>
                <w:sz w:val="16"/>
              </w:rPr>
              <w:t>Expression and biochemical validation of an enriched PmHS2 mutant in BL21(DE3).</w:t>
            </w:r>
          </w:p>
        </w:tc>
        <w:tc>
          <w:tcPr>
            <w:tcW w:w="1247" w:type="dxa"/>
            <w:tcMar>
              <w:top w:w="80" w:type="dxa"/>
              <w:left w:w="90" w:type="dxa"/>
              <w:bottom w:w="80" w:type="dxa"/>
              <w:right w:w="90" w:type="dxa"/>
            </w:tcMar>
          </w:tcPr>
          <w:p w14:paraId="3A44B163" w14:textId="77777777" w:rsidR="00AB1DDB" w:rsidRDefault="00D815AB">
            <w:pPr>
              <w:spacing w:before="20" w:line="480" w:lineRule="auto"/>
            </w:pPr>
            <w:r>
              <w:rPr>
                <w:sz w:val="16"/>
              </w:rPr>
              <w:t>This study</w:t>
            </w:r>
          </w:p>
        </w:tc>
      </w:tr>
      <w:tr w:rsidR="00AB1DDB" w14:paraId="549D96E9" w14:textId="77777777">
        <w:trPr>
          <w:cantSplit/>
          <w:jc w:val="center"/>
        </w:trPr>
        <w:tc>
          <w:tcPr>
            <w:tcW w:w="2381" w:type="dxa"/>
            <w:tcMar>
              <w:top w:w="80" w:type="dxa"/>
              <w:left w:w="90" w:type="dxa"/>
              <w:bottom w:w="80" w:type="dxa"/>
              <w:right w:w="90" w:type="dxa"/>
            </w:tcMar>
          </w:tcPr>
          <w:p w14:paraId="124F64DC" w14:textId="77777777" w:rsidR="00AB1DDB" w:rsidRDefault="00D815AB">
            <w:pPr>
              <w:spacing w:before="20" w:line="480" w:lineRule="auto"/>
            </w:pPr>
            <w:r>
              <w:rPr>
                <w:sz w:val="16"/>
              </w:rPr>
              <w:t>pET-28a(+)_PmHS2-F364Y</w:t>
            </w:r>
          </w:p>
        </w:tc>
        <w:tc>
          <w:tcPr>
            <w:tcW w:w="2324" w:type="dxa"/>
            <w:tcMar>
              <w:top w:w="80" w:type="dxa"/>
              <w:left w:w="90" w:type="dxa"/>
              <w:bottom w:w="80" w:type="dxa"/>
              <w:right w:w="90" w:type="dxa"/>
            </w:tcMar>
          </w:tcPr>
          <w:p w14:paraId="0ADD12E2"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5E2A1C1A" w14:textId="77777777" w:rsidR="00AB1DDB" w:rsidRDefault="00D815AB">
            <w:pPr>
              <w:spacing w:before="20" w:line="480" w:lineRule="auto"/>
            </w:pPr>
            <w:r>
              <w:rPr>
                <w:sz w:val="16"/>
              </w:rPr>
              <w:t>PmHS2 carrying the F364Y substitution.</w:t>
            </w:r>
          </w:p>
        </w:tc>
        <w:tc>
          <w:tcPr>
            <w:tcW w:w="2948" w:type="dxa"/>
            <w:tcMar>
              <w:top w:w="80" w:type="dxa"/>
              <w:left w:w="90" w:type="dxa"/>
              <w:bottom w:w="80" w:type="dxa"/>
              <w:right w:w="90" w:type="dxa"/>
            </w:tcMar>
          </w:tcPr>
          <w:p w14:paraId="1084ED89" w14:textId="77777777" w:rsidR="00AB1DDB" w:rsidRDefault="00D815AB">
            <w:pPr>
              <w:spacing w:before="20" w:line="480" w:lineRule="auto"/>
            </w:pPr>
            <w:r>
              <w:rPr>
                <w:sz w:val="16"/>
              </w:rPr>
              <w:t>Expression and biochemical validation of an enriched PmHS2 mutant in BL21(DE3).</w:t>
            </w:r>
          </w:p>
        </w:tc>
        <w:tc>
          <w:tcPr>
            <w:tcW w:w="1247" w:type="dxa"/>
            <w:tcMar>
              <w:top w:w="80" w:type="dxa"/>
              <w:left w:w="90" w:type="dxa"/>
              <w:bottom w:w="80" w:type="dxa"/>
              <w:right w:w="90" w:type="dxa"/>
            </w:tcMar>
          </w:tcPr>
          <w:p w14:paraId="56995D4F" w14:textId="77777777" w:rsidR="00AB1DDB" w:rsidRDefault="00D815AB">
            <w:pPr>
              <w:spacing w:before="20" w:line="480" w:lineRule="auto"/>
            </w:pPr>
            <w:r>
              <w:rPr>
                <w:sz w:val="16"/>
              </w:rPr>
              <w:t>This study</w:t>
            </w:r>
          </w:p>
        </w:tc>
      </w:tr>
      <w:tr w:rsidR="00AB1DDB" w14:paraId="766C4344" w14:textId="77777777">
        <w:trPr>
          <w:cantSplit/>
          <w:jc w:val="center"/>
        </w:trPr>
        <w:tc>
          <w:tcPr>
            <w:tcW w:w="2381" w:type="dxa"/>
            <w:tcMar>
              <w:top w:w="80" w:type="dxa"/>
              <w:left w:w="90" w:type="dxa"/>
              <w:bottom w:w="80" w:type="dxa"/>
              <w:right w:w="90" w:type="dxa"/>
            </w:tcMar>
          </w:tcPr>
          <w:p w14:paraId="3CB3421C" w14:textId="77777777" w:rsidR="00AB1DDB" w:rsidRDefault="00D815AB">
            <w:pPr>
              <w:spacing w:before="20" w:line="480" w:lineRule="auto"/>
            </w:pPr>
            <w:r>
              <w:rPr>
                <w:sz w:val="16"/>
              </w:rPr>
              <w:t>pET-28a(+)_PmHS2-Y530N</w:t>
            </w:r>
          </w:p>
        </w:tc>
        <w:tc>
          <w:tcPr>
            <w:tcW w:w="2324" w:type="dxa"/>
            <w:tcMar>
              <w:top w:w="80" w:type="dxa"/>
              <w:left w:w="90" w:type="dxa"/>
              <w:bottom w:w="80" w:type="dxa"/>
              <w:right w:w="90" w:type="dxa"/>
            </w:tcMar>
          </w:tcPr>
          <w:p w14:paraId="43FC015E"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35CD3AC8" w14:textId="77777777" w:rsidR="00AB1DDB" w:rsidRDefault="00D815AB">
            <w:pPr>
              <w:spacing w:before="20" w:line="480" w:lineRule="auto"/>
            </w:pPr>
            <w:r>
              <w:rPr>
                <w:sz w:val="16"/>
              </w:rPr>
              <w:t>PmHS2 carrying the Y530N substitution.</w:t>
            </w:r>
          </w:p>
        </w:tc>
        <w:tc>
          <w:tcPr>
            <w:tcW w:w="2948" w:type="dxa"/>
            <w:tcMar>
              <w:top w:w="80" w:type="dxa"/>
              <w:left w:w="90" w:type="dxa"/>
              <w:bottom w:w="80" w:type="dxa"/>
              <w:right w:w="90" w:type="dxa"/>
            </w:tcMar>
          </w:tcPr>
          <w:p w14:paraId="1D54D703" w14:textId="77777777" w:rsidR="00AB1DDB" w:rsidRDefault="00D815AB">
            <w:pPr>
              <w:spacing w:before="20" w:line="480" w:lineRule="auto"/>
            </w:pPr>
            <w:r>
              <w:rPr>
                <w:sz w:val="16"/>
              </w:rPr>
              <w:t>Expression and biochemical validation of an enriched PmHS2 mutant in BL21(DE3).</w:t>
            </w:r>
          </w:p>
        </w:tc>
        <w:tc>
          <w:tcPr>
            <w:tcW w:w="1247" w:type="dxa"/>
            <w:tcMar>
              <w:top w:w="80" w:type="dxa"/>
              <w:left w:w="90" w:type="dxa"/>
              <w:bottom w:w="80" w:type="dxa"/>
              <w:right w:w="90" w:type="dxa"/>
            </w:tcMar>
          </w:tcPr>
          <w:p w14:paraId="5AC94516" w14:textId="77777777" w:rsidR="00AB1DDB" w:rsidRDefault="00D815AB">
            <w:pPr>
              <w:spacing w:before="20" w:line="480" w:lineRule="auto"/>
            </w:pPr>
            <w:r>
              <w:rPr>
                <w:sz w:val="16"/>
              </w:rPr>
              <w:t>This study</w:t>
            </w:r>
          </w:p>
        </w:tc>
      </w:tr>
      <w:tr w:rsidR="00AB1DDB" w14:paraId="310F23B1" w14:textId="77777777">
        <w:trPr>
          <w:cantSplit/>
          <w:jc w:val="center"/>
        </w:trPr>
        <w:tc>
          <w:tcPr>
            <w:tcW w:w="2381" w:type="dxa"/>
            <w:tcMar>
              <w:top w:w="80" w:type="dxa"/>
              <w:left w:w="90" w:type="dxa"/>
              <w:bottom w:w="80" w:type="dxa"/>
              <w:right w:w="90" w:type="dxa"/>
            </w:tcMar>
          </w:tcPr>
          <w:p w14:paraId="325D8595" w14:textId="77777777" w:rsidR="00AB1DDB" w:rsidRDefault="00D815AB">
            <w:pPr>
              <w:spacing w:before="20" w:line="480" w:lineRule="auto"/>
            </w:pPr>
            <w:r>
              <w:rPr>
                <w:sz w:val="16"/>
              </w:rPr>
              <w:lastRenderedPageBreak/>
              <w:t>pET-28a(+)_PmHS2-Q606E</w:t>
            </w:r>
          </w:p>
        </w:tc>
        <w:tc>
          <w:tcPr>
            <w:tcW w:w="2324" w:type="dxa"/>
            <w:tcMar>
              <w:top w:w="80" w:type="dxa"/>
              <w:left w:w="90" w:type="dxa"/>
              <w:bottom w:w="80" w:type="dxa"/>
              <w:right w:w="90" w:type="dxa"/>
            </w:tcMar>
          </w:tcPr>
          <w:p w14:paraId="48DA84F6" w14:textId="77777777" w:rsidR="00AB1DDB" w:rsidRDefault="00D815AB">
            <w:pPr>
              <w:spacing w:before="20" w:line="480" w:lineRule="auto"/>
            </w:pPr>
            <w:r>
              <w:rPr>
                <w:sz w:val="16"/>
              </w:rPr>
              <w:t>pET-28a(+)</w:t>
            </w:r>
          </w:p>
        </w:tc>
        <w:tc>
          <w:tcPr>
            <w:tcW w:w="2835" w:type="dxa"/>
            <w:tcMar>
              <w:top w:w="80" w:type="dxa"/>
              <w:left w:w="90" w:type="dxa"/>
              <w:bottom w:w="80" w:type="dxa"/>
              <w:right w:w="90" w:type="dxa"/>
            </w:tcMar>
          </w:tcPr>
          <w:p w14:paraId="022BB76C" w14:textId="77777777" w:rsidR="00AB1DDB" w:rsidRDefault="00D815AB">
            <w:pPr>
              <w:spacing w:before="20" w:line="480" w:lineRule="auto"/>
            </w:pPr>
            <w:r>
              <w:rPr>
                <w:sz w:val="16"/>
              </w:rPr>
              <w:t>PmHS2 carrying the Q606E substitution.</w:t>
            </w:r>
          </w:p>
        </w:tc>
        <w:tc>
          <w:tcPr>
            <w:tcW w:w="2948" w:type="dxa"/>
            <w:tcMar>
              <w:top w:w="80" w:type="dxa"/>
              <w:left w:w="90" w:type="dxa"/>
              <w:bottom w:w="80" w:type="dxa"/>
              <w:right w:w="90" w:type="dxa"/>
            </w:tcMar>
          </w:tcPr>
          <w:p w14:paraId="62286CD8" w14:textId="77777777" w:rsidR="00AB1DDB" w:rsidRDefault="00D815AB">
            <w:pPr>
              <w:spacing w:before="20" w:line="480" w:lineRule="auto"/>
            </w:pPr>
            <w:r>
              <w:rPr>
                <w:sz w:val="16"/>
              </w:rPr>
              <w:t>Expression and biochemical validation of an enriched PmHS2 mutant in BL21(DE3).</w:t>
            </w:r>
          </w:p>
        </w:tc>
        <w:tc>
          <w:tcPr>
            <w:tcW w:w="1247" w:type="dxa"/>
            <w:tcMar>
              <w:top w:w="80" w:type="dxa"/>
              <w:left w:w="90" w:type="dxa"/>
              <w:bottom w:w="80" w:type="dxa"/>
              <w:right w:w="90" w:type="dxa"/>
            </w:tcMar>
          </w:tcPr>
          <w:p w14:paraId="43E486AB" w14:textId="77777777" w:rsidR="00AB1DDB" w:rsidRDefault="00D815AB">
            <w:pPr>
              <w:spacing w:before="20" w:line="480" w:lineRule="auto"/>
            </w:pPr>
            <w:r>
              <w:rPr>
                <w:sz w:val="16"/>
              </w:rPr>
              <w:t>This study</w:t>
            </w:r>
          </w:p>
        </w:tc>
      </w:tr>
      <w:tr w:rsidR="00AB1DDB" w14:paraId="29F50677" w14:textId="77777777">
        <w:trPr>
          <w:cantSplit/>
          <w:jc w:val="center"/>
        </w:trPr>
        <w:tc>
          <w:tcPr>
            <w:tcW w:w="2381" w:type="dxa"/>
            <w:tcMar>
              <w:top w:w="80" w:type="dxa"/>
              <w:left w:w="90" w:type="dxa"/>
              <w:bottom w:w="80" w:type="dxa"/>
              <w:right w:w="90" w:type="dxa"/>
            </w:tcMar>
          </w:tcPr>
          <w:p w14:paraId="2CD90169" w14:textId="77777777" w:rsidR="00AB1DDB" w:rsidRDefault="00D815AB">
            <w:pPr>
              <w:spacing w:before="20" w:line="480" w:lineRule="auto"/>
            </w:pPr>
            <w:r>
              <w:rPr>
                <w:sz w:val="16"/>
              </w:rPr>
              <w:t>pACYC_P34_Vn_</w:t>
            </w:r>
            <w:r>
              <w:rPr>
                <w:i/>
                <w:iCs/>
                <w:sz w:val="16"/>
              </w:rPr>
              <w:t>kfiC</w:t>
            </w:r>
            <w:r>
              <w:rPr>
                <w:sz w:val="16"/>
              </w:rPr>
              <w:t>_P34_</w:t>
            </w:r>
            <w:r>
              <w:rPr>
                <w:i/>
                <w:iCs/>
                <w:sz w:val="16"/>
              </w:rPr>
              <w:t>kfiA</w:t>
            </w:r>
            <w:r>
              <w:rPr>
                <w:sz w:val="16"/>
              </w:rPr>
              <w:t>_Vc</w:t>
            </w:r>
          </w:p>
        </w:tc>
        <w:tc>
          <w:tcPr>
            <w:tcW w:w="2324" w:type="dxa"/>
            <w:tcMar>
              <w:top w:w="80" w:type="dxa"/>
              <w:left w:w="90" w:type="dxa"/>
              <w:bottom w:w="80" w:type="dxa"/>
              <w:right w:w="90" w:type="dxa"/>
            </w:tcMar>
          </w:tcPr>
          <w:p w14:paraId="1C17F742" w14:textId="77777777" w:rsidR="00AB1DDB" w:rsidRDefault="00D815AB">
            <w:pPr>
              <w:spacing w:before="20" w:line="480" w:lineRule="auto"/>
            </w:pPr>
            <w:r>
              <w:rPr>
                <w:sz w:val="16"/>
              </w:rPr>
              <w:t>BiFC plasmid</w:t>
            </w:r>
          </w:p>
        </w:tc>
        <w:tc>
          <w:tcPr>
            <w:tcW w:w="2835" w:type="dxa"/>
            <w:tcMar>
              <w:top w:w="80" w:type="dxa"/>
              <w:left w:w="90" w:type="dxa"/>
              <w:bottom w:w="80" w:type="dxa"/>
              <w:right w:w="90" w:type="dxa"/>
            </w:tcMar>
          </w:tcPr>
          <w:p w14:paraId="5E7557D8" w14:textId="77777777" w:rsidR="00AB1DDB" w:rsidRDefault="00D815AB">
            <w:pPr>
              <w:spacing w:before="20" w:line="480" w:lineRule="auto"/>
            </w:pPr>
            <w:r>
              <w:rPr>
                <w:sz w:val="16"/>
              </w:rPr>
              <w:t xml:space="preserve">VN-tagged </w:t>
            </w:r>
            <w:r>
              <w:rPr>
                <w:i/>
                <w:iCs/>
                <w:sz w:val="16"/>
              </w:rPr>
              <w:t>kfiC</w:t>
            </w:r>
            <w:r>
              <w:rPr>
                <w:sz w:val="16"/>
              </w:rPr>
              <w:t xml:space="preserve"> and VC-tagged wild-type </w:t>
            </w:r>
            <w:r>
              <w:rPr>
                <w:i/>
                <w:iCs/>
                <w:sz w:val="16"/>
              </w:rPr>
              <w:t>kfiA</w:t>
            </w:r>
            <w:r>
              <w:rPr>
                <w:sz w:val="16"/>
              </w:rPr>
              <w:t xml:space="preserve"> under P34 promoters.</w:t>
            </w:r>
          </w:p>
        </w:tc>
        <w:tc>
          <w:tcPr>
            <w:tcW w:w="2948" w:type="dxa"/>
            <w:tcMar>
              <w:top w:w="80" w:type="dxa"/>
              <w:left w:w="90" w:type="dxa"/>
              <w:bottom w:w="80" w:type="dxa"/>
              <w:right w:w="90" w:type="dxa"/>
            </w:tcMar>
          </w:tcPr>
          <w:p w14:paraId="56B7F480" w14:textId="77777777" w:rsidR="00AB1DDB" w:rsidRDefault="00D815AB">
            <w:pPr>
              <w:spacing w:before="20" w:line="480" w:lineRule="auto"/>
            </w:pPr>
            <w:r>
              <w:rPr>
                <w:sz w:val="16"/>
              </w:rPr>
              <w:t>Bimolecular fluorescence complementation (BiFC) analysis of wild-type KfiA-KfiC association.</w:t>
            </w:r>
          </w:p>
        </w:tc>
        <w:tc>
          <w:tcPr>
            <w:tcW w:w="1247" w:type="dxa"/>
            <w:tcMar>
              <w:top w:w="80" w:type="dxa"/>
              <w:left w:w="90" w:type="dxa"/>
              <w:bottom w:w="80" w:type="dxa"/>
              <w:right w:w="90" w:type="dxa"/>
            </w:tcMar>
          </w:tcPr>
          <w:p w14:paraId="6A2BB614" w14:textId="77777777" w:rsidR="00AB1DDB" w:rsidRDefault="00D815AB">
            <w:pPr>
              <w:spacing w:before="20" w:line="480" w:lineRule="auto"/>
            </w:pPr>
            <w:r>
              <w:rPr>
                <w:sz w:val="16"/>
              </w:rPr>
              <w:t>This study</w:t>
            </w:r>
          </w:p>
        </w:tc>
      </w:tr>
      <w:tr w:rsidR="00AB1DDB" w14:paraId="4229F98C" w14:textId="77777777">
        <w:trPr>
          <w:cantSplit/>
          <w:jc w:val="center"/>
        </w:trPr>
        <w:tc>
          <w:tcPr>
            <w:tcW w:w="2381" w:type="dxa"/>
            <w:tcMar>
              <w:top w:w="80" w:type="dxa"/>
              <w:left w:w="90" w:type="dxa"/>
              <w:bottom w:w="80" w:type="dxa"/>
              <w:right w:w="90" w:type="dxa"/>
            </w:tcMar>
          </w:tcPr>
          <w:p w14:paraId="3805DDF8" w14:textId="77777777" w:rsidR="00AB1DDB" w:rsidRDefault="00D815AB">
            <w:pPr>
              <w:spacing w:before="20" w:line="480" w:lineRule="auto"/>
            </w:pPr>
            <w:r>
              <w:rPr>
                <w:sz w:val="16"/>
              </w:rPr>
              <w:t>pACYC_P34_Vn_</w:t>
            </w:r>
            <w:r>
              <w:rPr>
                <w:i/>
                <w:iCs/>
                <w:sz w:val="16"/>
              </w:rPr>
              <w:t>kfiC</w:t>
            </w:r>
            <w:r>
              <w:rPr>
                <w:sz w:val="16"/>
              </w:rPr>
              <w:t>_P34_kfiAM1_Vc</w:t>
            </w:r>
          </w:p>
        </w:tc>
        <w:tc>
          <w:tcPr>
            <w:tcW w:w="2324" w:type="dxa"/>
            <w:tcMar>
              <w:top w:w="80" w:type="dxa"/>
              <w:left w:w="90" w:type="dxa"/>
              <w:bottom w:w="80" w:type="dxa"/>
              <w:right w:w="90" w:type="dxa"/>
            </w:tcMar>
          </w:tcPr>
          <w:p w14:paraId="54214BA8" w14:textId="77777777" w:rsidR="00AB1DDB" w:rsidRDefault="00D815AB">
            <w:pPr>
              <w:spacing w:before="20" w:line="480" w:lineRule="auto"/>
            </w:pPr>
            <w:r>
              <w:rPr>
                <w:sz w:val="16"/>
              </w:rPr>
              <w:t>BiFC plasmid</w:t>
            </w:r>
          </w:p>
        </w:tc>
        <w:tc>
          <w:tcPr>
            <w:tcW w:w="2835" w:type="dxa"/>
            <w:tcMar>
              <w:top w:w="80" w:type="dxa"/>
              <w:left w:w="90" w:type="dxa"/>
              <w:bottom w:w="80" w:type="dxa"/>
              <w:right w:w="90" w:type="dxa"/>
            </w:tcMar>
          </w:tcPr>
          <w:p w14:paraId="1C6060B2" w14:textId="77777777" w:rsidR="00AB1DDB" w:rsidRDefault="00D815AB">
            <w:pPr>
              <w:spacing w:before="20" w:line="480" w:lineRule="auto"/>
            </w:pPr>
            <w:r>
              <w:rPr>
                <w:sz w:val="16"/>
              </w:rPr>
              <w:t xml:space="preserve">VN-tagged </w:t>
            </w:r>
            <w:r>
              <w:rPr>
                <w:i/>
                <w:iCs/>
                <w:sz w:val="16"/>
              </w:rPr>
              <w:t>kfiC</w:t>
            </w:r>
            <w:r>
              <w:rPr>
                <w:sz w:val="16"/>
              </w:rPr>
              <w:t xml:space="preserve"> and VC-tagged </w:t>
            </w:r>
            <w:r>
              <w:rPr>
                <w:i/>
                <w:iCs/>
                <w:sz w:val="16"/>
              </w:rPr>
              <w:t>kfiA</w:t>
            </w:r>
            <w:r>
              <w:rPr>
                <w:sz w:val="16"/>
              </w:rPr>
              <w:t xml:space="preserve"> M1 variant under P34 promoters.</w:t>
            </w:r>
          </w:p>
        </w:tc>
        <w:tc>
          <w:tcPr>
            <w:tcW w:w="2948" w:type="dxa"/>
            <w:tcMar>
              <w:top w:w="80" w:type="dxa"/>
              <w:left w:w="90" w:type="dxa"/>
              <w:bottom w:w="80" w:type="dxa"/>
              <w:right w:w="90" w:type="dxa"/>
            </w:tcMar>
          </w:tcPr>
          <w:p w14:paraId="386A5F63" w14:textId="77777777" w:rsidR="00AB1DDB" w:rsidRDefault="00D815AB">
            <w:pPr>
              <w:spacing w:before="20" w:line="480" w:lineRule="auto"/>
            </w:pPr>
            <w:r>
              <w:rPr>
                <w:sz w:val="16"/>
              </w:rPr>
              <w:t>BiFC analysis of mutant M1 KfiA-KfiC association.</w:t>
            </w:r>
          </w:p>
        </w:tc>
        <w:tc>
          <w:tcPr>
            <w:tcW w:w="1247" w:type="dxa"/>
            <w:tcMar>
              <w:top w:w="80" w:type="dxa"/>
              <w:left w:w="90" w:type="dxa"/>
              <w:bottom w:w="80" w:type="dxa"/>
              <w:right w:w="90" w:type="dxa"/>
            </w:tcMar>
          </w:tcPr>
          <w:p w14:paraId="63DA20D2" w14:textId="77777777" w:rsidR="00AB1DDB" w:rsidRDefault="00D815AB">
            <w:pPr>
              <w:spacing w:before="20" w:line="480" w:lineRule="auto"/>
            </w:pPr>
            <w:r>
              <w:rPr>
                <w:sz w:val="16"/>
              </w:rPr>
              <w:t>This study</w:t>
            </w:r>
          </w:p>
        </w:tc>
      </w:tr>
      <w:tr w:rsidR="00AB1DDB" w14:paraId="66D1CCC3" w14:textId="77777777">
        <w:trPr>
          <w:cantSplit/>
          <w:jc w:val="center"/>
        </w:trPr>
        <w:tc>
          <w:tcPr>
            <w:tcW w:w="2381" w:type="dxa"/>
            <w:tcMar>
              <w:top w:w="80" w:type="dxa"/>
              <w:left w:w="90" w:type="dxa"/>
              <w:bottom w:w="80" w:type="dxa"/>
              <w:right w:w="90" w:type="dxa"/>
            </w:tcMar>
          </w:tcPr>
          <w:p w14:paraId="5F5740DB" w14:textId="77777777" w:rsidR="00AB1DDB" w:rsidRDefault="00D815AB">
            <w:pPr>
              <w:spacing w:before="20" w:line="480" w:lineRule="auto"/>
            </w:pPr>
            <w:r>
              <w:rPr>
                <w:sz w:val="16"/>
              </w:rPr>
              <w:t>pACYC_P34_Vn_</w:t>
            </w:r>
            <w:r>
              <w:rPr>
                <w:i/>
                <w:iCs/>
                <w:sz w:val="16"/>
              </w:rPr>
              <w:t>kfiC</w:t>
            </w:r>
            <w:r>
              <w:rPr>
                <w:sz w:val="16"/>
              </w:rPr>
              <w:t>_P34_kfiAM2_Vc</w:t>
            </w:r>
          </w:p>
        </w:tc>
        <w:tc>
          <w:tcPr>
            <w:tcW w:w="2324" w:type="dxa"/>
            <w:tcMar>
              <w:top w:w="80" w:type="dxa"/>
              <w:left w:w="90" w:type="dxa"/>
              <w:bottom w:w="80" w:type="dxa"/>
              <w:right w:w="90" w:type="dxa"/>
            </w:tcMar>
          </w:tcPr>
          <w:p w14:paraId="315FF8F6" w14:textId="77777777" w:rsidR="00AB1DDB" w:rsidRDefault="00D815AB">
            <w:pPr>
              <w:spacing w:before="20" w:line="480" w:lineRule="auto"/>
            </w:pPr>
            <w:r>
              <w:rPr>
                <w:sz w:val="16"/>
              </w:rPr>
              <w:t>BiFC plasmid</w:t>
            </w:r>
          </w:p>
        </w:tc>
        <w:tc>
          <w:tcPr>
            <w:tcW w:w="2835" w:type="dxa"/>
            <w:tcMar>
              <w:top w:w="80" w:type="dxa"/>
              <w:left w:w="90" w:type="dxa"/>
              <w:bottom w:w="80" w:type="dxa"/>
              <w:right w:w="90" w:type="dxa"/>
            </w:tcMar>
          </w:tcPr>
          <w:p w14:paraId="49DEC251" w14:textId="77777777" w:rsidR="00AB1DDB" w:rsidRDefault="00D815AB">
            <w:pPr>
              <w:spacing w:before="20" w:line="480" w:lineRule="auto"/>
            </w:pPr>
            <w:r>
              <w:rPr>
                <w:sz w:val="16"/>
              </w:rPr>
              <w:t xml:space="preserve">VN-tagged </w:t>
            </w:r>
            <w:r>
              <w:rPr>
                <w:i/>
                <w:iCs/>
                <w:sz w:val="16"/>
              </w:rPr>
              <w:t>kfiC</w:t>
            </w:r>
            <w:r>
              <w:rPr>
                <w:sz w:val="16"/>
              </w:rPr>
              <w:t xml:space="preserve"> and VC-tagged </w:t>
            </w:r>
            <w:r>
              <w:rPr>
                <w:i/>
                <w:iCs/>
                <w:sz w:val="16"/>
              </w:rPr>
              <w:t>kfiA</w:t>
            </w:r>
            <w:r>
              <w:rPr>
                <w:sz w:val="16"/>
              </w:rPr>
              <w:t xml:space="preserve"> M2 variant under P34 promoters.</w:t>
            </w:r>
          </w:p>
        </w:tc>
        <w:tc>
          <w:tcPr>
            <w:tcW w:w="2948" w:type="dxa"/>
            <w:tcMar>
              <w:top w:w="80" w:type="dxa"/>
              <w:left w:w="90" w:type="dxa"/>
              <w:bottom w:w="80" w:type="dxa"/>
              <w:right w:w="90" w:type="dxa"/>
            </w:tcMar>
          </w:tcPr>
          <w:p w14:paraId="01D18C2D" w14:textId="77777777" w:rsidR="00AB1DDB" w:rsidRDefault="00D815AB">
            <w:pPr>
              <w:spacing w:before="20" w:line="480" w:lineRule="auto"/>
            </w:pPr>
            <w:r>
              <w:rPr>
                <w:sz w:val="16"/>
              </w:rPr>
              <w:t>BiFC analysis of mutant M2 KfiA-KfiC association.</w:t>
            </w:r>
          </w:p>
        </w:tc>
        <w:tc>
          <w:tcPr>
            <w:tcW w:w="1247" w:type="dxa"/>
            <w:tcMar>
              <w:top w:w="80" w:type="dxa"/>
              <w:left w:w="90" w:type="dxa"/>
              <w:bottom w:w="80" w:type="dxa"/>
              <w:right w:w="90" w:type="dxa"/>
            </w:tcMar>
          </w:tcPr>
          <w:p w14:paraId="5EFB394B" w14:textId="77777777" w:rsidR="00AB1DDB" w:rsidRDefault="00D815AB">
            <w:pPr>
              <w:spacing w:before="20" w:line="480" w:lineRule="auto"/>
            </w:pPr>
            <w:r>
              <w:rPr>
                <w:sz w:val="16"/>
              </w:rPr>
              <w:t>This study</w:t>
            </w:r>
          </w:p>
        </w:tc>
      </w:tr>
      <w:tr w:rsidR="00AB1DDB" w14:paraId="61ECD40F" w14:textId="77777777">
        <w:trPr>
          <w:cantSplit/>
          <w:jc w:val="center"/>
        </w:trPr>
        <w:tc>
          <w:tcPr>
            <w:tcW w:w="2381" w:type="dxa"/>
            <w:tcMar>
              <w:top w:w="80" w:type="dxa"/>
              <w:left w:w="90" w:type="dxa"/>
              <w:bottom w:w="80" w:type="dxa"/>
              <w:right w:w="90" w:type="dxa"/>
            </w:tcMar>
          </w:tcPr>
          <w:p w14:paraId="19A92F81" w14:textId="77777777" w:rsidR="00AB1DDB" w:rsidRDefault="00D815AB">
            <w:pPr>
              <w:spacing w:before="20" w:line="480" w:lineRule="auto"/>
            </w:pPr>
            <w:r>
              <w:rPr>
                <w:sz w:val="16"/>
              </w:rPr>
              <w:t>pACYC_P34_Vn_</w:t>
            </w:r>
            <w:r>
              <w:rPr>
                <w:i/>
                <w:iCs/>
                <w:sz w:val="16"/>
              </w:rPr>
              <w:t>kfiC</w:t>
            </w:r>
            <w:r>
              <w:rPr>
                <w:sz w:val="16"/>
              </w:rPr>
              <w:t>_P34_kfiAM3_Vc</w:t>
            </w:r>
          </w:p>
        </w:tc>
        <w:tc>
          <w:tcPr>
            <w:tcW w:w="2324" w:type="dxa"/>
            <w:tcMar>
              <w:top w:w="80" w:type="dxa"/>
              <w:left w:w="90" w:type="dxa"/>
              <w:bottom w:w="80" w:type="dxa"/>
              <w:right w:w="90" w:type="dxa"/>
            </w:tcMar>
          </w:tcPr>
          <w:p w14:paraId="0A903977" w14:textId="77777777" w:rsidR="00AB1DDB" w:rsidRDefault="00D815AB">
            <w:pPr>
              <w:spacing w:before="20" w:line="480" w:lineRule="auto"/>
            </w:pPr>
            <w:r>
              <w:rPr>
                <w:sz w:val="16"/>
              </w:rPr>
              <w:t>BiFC plasmid</w:t>
            </w:r>
          </w:p>
        </w:tc>
        <w:tc>
          <w:tcPr>
            <w:tcW w:w="2835" w:type="dxa"/>
            <w:tcMar>
              <w:top w:w="80" w:type="dxa"/>
              <w:left w:w="90" w:type="dxa"/>
              <w:bottom w:w="80" w:type="dxa"/>
              <w:right w:w="90" w:type="dxa"/>
            </w:tcMar>
          </w:tcPr>
          <w:p w14:paraId="59F93649" w14:textId="77777777" w:rsidR="00AB1DDB" w:rsidRDefault="00D815AB">
            <w:pPr>
              <w:spacing w:before="20" w:line="480" w:lineRule="auto"/>
            </w:pPr>
            <w:r>
              <w:rPr>
                <w:sz w:val="16"/>
              </w:rPr>
              <w:t xml:space="preserve">VN-tagged </w:t>
            </w:r>
            <w:r>
              <w:rPr>
                <w:i/>
                <w:iCs/>
                <w:sz w:val="16"/>
              </w:rPr>
              <w:t>kfiC</w:t>
            </w:r>
            <w:r>
              <w:rPr>
                <w:sz w:val="16"/>
              </w:rPr>
              <w:t xml:space="preserve"> and VC-tagged </w:t>
            </w:r>
            <w:r>
              <w:rPr>
                <w:i/>
                <w:iCs/>
                <w:sz w:val="16"/>
              </w:rPr>
              <w:t>kfiA</w:t>
            </w:r>
            <w:r>
              <w:rPr>
                <w:sz w:val="16"/>
              </w:rPr>
              <w:t xml:space="preserve"> M3 variant under P34 promoters.</w:t>
            </w:r>
          </w:p>
        </w:tc>
        <w:tc>
          <w:tcPr>
            <w:tcW w:w="2948" w:type="dxa"/>
            <w:tcMar>
              <w:top w:w="80" w:type="dxa"/>
              <w:left w:w="90" w:type="dxa"/>
              <w:bottom w:w="80" w:type="dxa"/>
              <w:right w:w="90" w:type="dxa"/>
            </w:tcMar>
          </w:tcPr>
          <w:p w14:paraId="48A4873B" w14:textId="77777777" w:rsidR="00AB1DDB" w:rsidRDefault="00D815AB">
            <w:pPr>
              <w:spacing w:before="20" w:line="480" w:lineRule="auto"/>
            </w:pPr>
            <w:r>
              <w:rPr>
                <w:sz w:val="16"/>
              </w:rPr>
              <w:t>BiFC analysis of mutant M3 KfiA-KfiC association.</w:t>
            </w:r>
          </w:p>
        </w:tc>
        <w:tc>
          <w:tcPr>
            <w:tcW w:w="1247" w:type="dxa"/>
            <w:tcMar>
              <w:top w:w="80" w:type="dxa"/>
              <w:left w:w="90" w:type="dxa"/>
              <w:bottom w:w="80" w:type="dxa"/>
              <w:right w:w="90" w:type="dxa"/>
            </w:tcMar>
          </w:tcPr>
          <w:p w14:paraId="6AE4ADCF" w14:textId="77777777" w:rsidR="00AB1DDB" w:rsidRDefault="00D815AB">
            <w:pPr>
              <w:spacing w:before="20" w:line="480" w:lineRule="auto"/>
            </w:pPr>
            <w:r>
              <w:rPr>
                <w:sz w:val="16"/>
              </w:rPr>
              <w:t>This study</w:t>
            </w:r>
          </w:p>
        </w:tc>
      </w:tr>
      <w:tr w:rsidR="00FA0455" w14:paraId="3F621DF9" w14:textId="77777777">
        <w:trPr>
          <w:cantSplit/>
          <w:jc w:val="center"/>
        </w:trPr>
        <w:tc>
          <w:tcPr>
            <w:tcW w:w="2381" w:type="dxa"/>
          </w:tcPr>
          <w:p w14:paraId="55903903" w14:textId="77777777" w:rsidR="00FA0455" w:rsidRDefault="00FF2E54">
            <w:pPr>
              <w:spacing w:line="480" w:lineRule="auto"/>
            </w:pPr>
            <w:r>
              <w:rPr>
                <w:sz w:val="16"/>
              </w:rPr>
              <w:lastRenderedPageBreak/>
              <w:t>pACYC-NaKfiA/</w:t>
            </w:r>
            <w:r>
              <w:rPr>
                <w:i/>
                <w:iCs/>
                <w:sz w:val="16"/>
              </w:rPr>
              <w:t>kfiC</w:t>
            </w:r>
          </w:p>
        </w:tc>
        <w:tc>
          <w:tcPr>
            <w:tcW w:w="2324" w:type="dxa"/>
          </w:tcPr>
          <w:p w14:paraId="18E801B5" w14:textId="77777777" w:rsidR="00FA0455" w:rsidRDefault="00FF2E54">
            <w:pPr>
              <w:spacing w:line="480" w:lineRule="auto"/>
            </w:pPr>
            <w:r>
              <w:rPr>
                <w:sz w:val="16"/>
              </w:rPr>
              <w:t>pACYC_P34_NaKfiA(mut)_P34_</w:t>
            </w:r>
            <w:r>
              <w:rPr>
                <w:i/>
                <w:iCs/>
                <w:sz w:val="16"/>
              </w:rPr>
              <w:t>kfiC</w:t>
            </w:r>
          </w:p>
        </w:tc>
        <w:tc>
          <w:tcPr>
            <w:tcW w:w="2835" w:type="dxa"/>
          </w:tcPr>
          <w:p w14:paraId="17963986" w14:textId="77777777" w:rsidR="00FA0455" w:rsidRDefault="00FF2E54">
            <w:pPr>
              <w:spacing w:line="480" w:lineRule="auto"/>
            </w:pPr>
            <w:r>
              <w:rPr>
                <w:sz w:val="16"/>
              </w:rPr>
              <w:t xml:space="preserve">P34-driven NaKfiA variant cassette paired with P34-driven </w:t>
            </w:r>
            <w:r>
              <w:rPr>
                <w:i/>
                <w:iCs/>
                <w:sz w:val="16"/>
              </w:rPr>
              <w:t>kfiC</w:t>
            </w:r>
            <w:r>
              <w:rPr>
                <w:sz w:val="16"/>
              </w:rPr>
              <w:t xml:space="preserve"> on a pACYC backbone.</w:t>
            </w:r>
          </w:p>
        </w:tc>
        <w:tc>
          <w:tcPr>
            <w:tcW w:w="2948" w:type="dxa"/>
          </w:tcPr>
          <w:p w14:paraId="79298911" w14:textId="77777777" w:rsidR="00FA0455" w:rsidRDefault="00FF2E54">
            <w:pPr>
              <w:spacing w:line="480" w:lineRule="auto"/>
            </w:pPr>
            <w:r>
              <w:rPr>
                <w:sz w:val="16"/>
              </w:rPr>
              <w:t>NaKfiA benchmark plasmid used in Figure 3; variants include WT, E74Y, I76V, T108Y and S165K.</w:t>
            </w:r>
          </w:p>
        </w:tc>
        <w:tc>
          <w:tcPr>
            <w:tcW w:w="1247" w:type="dxa"/>
          </w:tcPr>
          <w:p w14:paraId="497C44A4" w14:textId="77777777" w:rsidR="00FA0455" w:rsidRDefault="00FF2E54">
            <w:pPr>
              <w:spacing w:line="480" w:lineRule="auto"/>
            </w:pPr>
            <w:r>
              <w:rPr>
                <w:sz w:val="16"/>
              </w:rPr>
              <w:t>This study</w:t>
            </w:r>
          </w:p>
        </w:tc>
      </w:tr>
    </w:tbl>
    <w:p w14:paraId="32249D7E" w14:textId="77777777" w:rsidR="006C1C0C" w:rsidRDefault="006C1C0C"/>
    <w:sectPr w:rsidR="006C1C0C" w:rsidSect="00034616">
      <w:headerReference w:type="even" r:id="rId33"/>
      <w:headerReference w:type="default" r:id="rId34"/>
      <w:footerReference w:type="even" r:id="rId35"/>
      <w:footerReference w:type="default" r:id="rId36"/>
      <w:headerReference w:type="first" r:id="rId37"/>
      <w:footerReference w:type="first" r:id="rId38"/>
      <w:pgSz w:w="12240" w:h="15840"/>
      <w:pgMar w:top="1008" w:right="1152" w:bottom="1008" w:left="1152"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DFAD8" w14:textId="77777777" w:rsidR="006C1C0C" w:rsidRDefault="006C1C0C">
      <w:pPr>
        <w:spacing w:after="0" w:line="240" w:lineRule="auto"/>
      </w:pPr>
      <w:r>
        <w:separator/>
      </w:r>
    </w:p>
  </w:endnote>
  <w:endnote w:type="continuationSeparator" w:id="0">
    <w:p w14:paraId="2A6F845E" w14:textId="77777777" w:rsidR="006C1C0C" w:rsidRDefault="006C1C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B5B19" w14:textId="77777777" w:rsidR="00F92B3C" w:rsidRDefault="00F92B3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ED416" w14:textId="77777777" w:rsidR="00AB1DDB" w:rsidRDefault="00D815AB">
    <w:pPr>
      <w:pStyle w:val="a7"/>
      <w:jc w:val="center"/>
    </w:pPr>
    <w:r>
      <w:fldChar w:fldCharType="begin"/>
    </w:r>
    <w:r>
      <w:instrText xml:space="preserve"> PAGE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22A37" w14:textId="77777777" w:rsidR="00F92B3C" w:rsidRDefault="00F92B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6DF33" w14:textId="77777777" w:rsidR="006C1C0C" w:rsidRDefault="006C1C0C">
      <w:pPr>
        <w:spacing w:after="0" w:line="240" w:lineRule="auto"/>
      </w:pPr>
      <w:r>
        <w:separator/>
      </w:r>
    </w:p>
  </w:footnote>
  <w:footnote w:type="continuationSeparator" w:id="0">
    <w:p w14:paraId="7CF83E09" w14:textId="77777777" w:rsidR="006C1C0C" w:rsidRDefault="006C1C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374A2" w14:textId="77777777" w:rsidR="00F92B3C" w:rsidRDefault="00F92B3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4378A" w14:textId="77777777" w:rsidR="00AB1DDB" w:rsidRDefault="00D815AB">
    <w:pPr>
      <w:pStyle w:val="a5"/>
      <w:jc w:val="right"/>
    </w:pPr>
    <w:r>
      <w:rPr>
        <w:rFonts w:ascii="Cambria" w:hAnsi="Cambria"/>
        <w:color w:val="5C5C5C"/>
        <w:sz w:val="18"/>
      </w:rPr>
      <w:t>Supplementary Information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B28C7" w14:textId="77777777" w:rsidR="00F92B3C" w:rsidRDefault="00F92B3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386FF4"/>
    <w:rsid w:val="006C1C0C"/>
    <w:rsid w:val="00AA1D8D"/>
    <w:rsid w:val="00AB1DDB"/>
    <w:rsid w:val="00B47730"/>
    <w:rsid w:val="00CB0664"/>
    <w:rsid w:val="00D339FE"/>
    <w:rsid w:val="00D815AB"/>
    <w:rsid w:val="00ED0366"/>
    <w:rsid w:val="00F92B3C"/>
    <w:rsid w:val="00FA0455"/>
    <w:rsid w:val="00FC693F"/>
    <w:rsid w:val="00FF2E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2436E0"/>
  <w14:defaultImageDpi w14:val="300"/>
  <w15:docId w15:val="{4D27D9FF-59CB-42D9-8099-01FA3D2D7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C693F"/>
    <w:rPr>
      <w:rFonts w:ascii="Arial" w:eastAsia="Arial" w:hAnsi="Arial"/>
      <w:sz w:val="20"/>
    </w:rPr>
  </w:style>
  <w:style w:type="paragraph" w:styleId="1">
    <w:name w:val="heading 1"/>
    <w:basedOn w:val="a1"/>
    <w:next w:val="a1"/>
    <w:link w:val="10"/>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E618BF"/>
    <w:pPr>
      <w:tabs>
        <w:tab w:val="center" w:pos="4680"/>
        <w:tab w:val="right" w:pos="9360"/>
      </w:tabs>
      <w:spacing w:after="0" w:line="240" w:lineRule="auto"/>
    </w:pPr>
  </w:style>
  <w:style w:type="character" w:customStyle="1" w:styleId="a6">
    <w:name w:val="页眉 字符"/>
    <w:basedOn w:val="a2"/>
    <w:link w:val="a5"/>
    <w:uiPriority w:val="99"/>
    <w:rsid w:val="00E618BF"/>
  </w:style>
  <w:style w:type="paragraph" w:styleId="a7">
    <w:name w:val="footer"/>
    <w:basedOn w:val="a1"/>
    <w:link w:val="a8"/>
    <w:uiPriority w:val="99"/>
    <w:unhideWhenUsed/>
    <w:rsid w:val="00E618BF"/>
    <w:pPr>
      <w:tabs>
        <w:tab w:val="center" w:pos="4680"/>
        <w:tab w:val="right" w:pos="9360"/>
      </w:tabs>
      <w:spacing w:after="0" w:line="240" w:lineRule="auto"/>
    </w:pPr>
  </w:style>
  <w:style w:type="character" w:customStyle="1" w:styleId="a8">
    <w:name w:val="页脚 字符"/>
    <w:basedOn w:val="a2"/>
    <w:link w:val="a7"/>
    <w:uiPriority w:val="99"/>
    <w:rsid w:val="00E618BF"/>
  </w:style>
  <w:style w:type="paragraph" w:styleId="a9">
    <w:name w:val="No Spacing"/>
    <w:uiPriority w:val="1"/>
    <w:qFormat/>
    <w:rsid w:val="00FC693F"/>
    <w:pPr>
      <w:spacing w:after="0" w:line="240" w:lineRule="auto"/>
    </w:pPr>
  </w:style>
  <w:style w:type="character" w:customStyle="1" w:styleId="10">
    <w:name w:val="标题 1 字符"/>
    <w:basedOn w:val="a2"/>
    <w:link w:val="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22">
    <w:name w:val="标题 2 字符"/>
    <w:basedOn w:val="a2"/>
    <w:link w:val="21"/>
    <w:uiPriority w:val="9"/>
    <w:rsid w:val="00FC693F"/>
    <w:rPr>
      <w:rFonts w:asciiTheme="majorHAnsi" w:eastAsiaTheme="majorEastAsia" w:hAnsiTheme="majorHAnsi" w:cstheme="majorBidi"/>
      <w:b/>
      <w:bCs/>
      <w:color w:val="4F81BD" w:themeColor="accent1"/>
      <w:sz w:val="26"/>
      <w:szCs w:val="26"/>
    </w:rPr>
  </w:style>
  <w:style w:type="character" w:customStyle="1" w:styleId="32">
    <w:name w:val="标题 3 字符"/>
    <w:basedOn w:val="a2"/>
    <w:link w:val="31"/>
    <w:uiPriority w:val="9"/>
    <w:rsid w:val="00FC693F"/>
    <w:rPr>
      <w:rFonts w:asciiTheme="majorHAnsi" w:eastAsiaTheme="majorEastAsia" w:hAnsiTheme="majorHAnsi" w:cstheme="majorBidi"/>
      <w:b/>
      <w:bCs/>
      <w:color w:val="4F81BD" w:themeColor="accent1"/>
    </w:rPr>
  </w:style>
  <w:style w:type="paragraph" w:styleId="aa">
    <w:name w:val="Title"/>
    <w:basedOn w:val="a1"/>
    <w:next w:val="a1"/>
    <w:link w:val="ab"/>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标题 字符"/>
    <w:basedOn w:val="a2"/>
    <w:link w:val="aa"/>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1"/>
    <w:next w:val="a1"/>
    <w:link w:val="ad"/>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副标题 字符"/>
    <w:basedOn w:val="a2"/>
    <w:link w:val="ac"/>
    <w:uiPriority w:val="11"/>
    <w:rsid w:val="00FC693F"/>
    <w:rPr>
      <w:rFonts w:asciiTheme="majorHAnsi" w:eastAsiaTheme="majorEastAsia" w:hAnsiTheme="majorHAnsi" w:cstheme="majorBidi"/>
      <w:i/>
      <w:iCs/>
      <w:color w:val="4F81BD" w:themeColor="accent1"/>
      <w:spacing w:val="15"/>
      <w:sz w:val="24"/>
      <w:szCs w:val="24"/>
    </w:rPr>
  </w:style>
  <w:style w:type="paragraph" w:styleId="ae">
    <w:name w:val="List Paragraph"/>
    <w:basedOn w:val="a1"/>
    <w:uiPriority w:val="34"/>
    <w:qFormat/>
    <w:rsid w:val="00FC693F"/>
    <w:pPr>
      <w:ind w:left="720"/>
      <w:contextualSpacing/>
    </w:pPr>
  </w:style>
  <w:style w:type="paragraph" w:styleId="af">
    <w:name w:val="Body Text"/>
    <w:basedOn w:val="a1"/>
    <w:link w:val="af0"/>
    <w:uiPriority w:val="99"/>
    <w:unhideWhenUsed/>
    <w:rsid w:val="00AA1D8D"/>
    <w:pPr>
      <w:spacing w:after="120"/>
    </w:pPr>
  </w:style>
  <w:style w:type="character" w:customStyle="1" w:styleId="af0">
    <w:name w:val="正文文本 字符"/>
    <w:basedOn w:val="a2"/>
    <w:link w:val="af"/>
    <w:uiPriority w:val="99"/>
    <w:rsid w:val="00AA1D8D"/>
  </w:style>
  <w:style w:type="paragraph" w:styleId="23">
    <w:name w:val="Body Text 2"/>
    <w:basedOn w:val="a1"/>
    <w:link w:val="24"/>
    <w:uiPriority w:val="99"/>
    <w:unhideWhenUsed/>
    <w:rsid w:val="00AA1D8D"/>
    <w:pPr>
      <w:spacing w:after="120" w:line="480" w:lineRule="auto"/>
    </w:pPr>
  </w:style>
  <w:style w:type="character" w:customStyle="1" w:styleId="24">
    <w:name w:val="正文文本 2 字符"/>
    <w:basedOn w:val="a2"/>
    <w:link w:val="23"/>
    <w:uiPriority w:val="99"/>
    <w:rsid w:val="00AA1D8D"/>
  </w:style>
  <w:style w:type="paragraph" w:styleId="33">
    <w:name w:val="Body Text 3"/>
    <w:basedOn w:val="a1"/>
    <w:link w:val="34"/>
    <w:uiPriority w:val="99"/>
    <w:unhideWhenUsed/>
    <w:rsid w:val="00AA1D8D"/>
    <w:pPr>
      <w:spacing w:after="120"/>
    </w:pPr>
    <w:rPr>
      <w:sz w:val="16"/>
      <w:szCs w:val="16"/>
    </w:rPr>
  </w:style>
  <w:style w:type="character" w:customStyle="1" w:styleId="34">
    <w:name w:val="正文文本 3 字符"/>
    <w:basedOn w:val="a2"/>
    <w:link w:val="33"/>
    <w:uiPriority w:val="99"/>
    <w:rsid w:val="00AA1D8D"/>
    <w:rPr>
      <w:sz w:val="16"/>
      <w:szCs w:val="16"/>
    </w:rPr>
  </w:style>
  <w:style w:type="paragraph" w:styleId="af1">
    <w:name w:val="List"/>
    <w:basedOn w:val="a1"/>
    <w:uiPriority w:val="99"/>
    <w:unhideWhenUsed/>
    <w:rsid w:val="00AA1D8D"/>
    <w:pPr>
      <w:ind w:left="360" w:hanging="360"/>
      <w:contextualSpacing/>
    </w:pPr>
  </w:style>
  <w:style w:type="paragraph" w:styleId="25">
    <w:name w:val="List 2"/>
    <w:basedOn w:val="a1"/>
    <w:uiPriority w:val="99"/>
    <w:unhideWhenUsed/>
    <w:rsid w:val="00326F90"/>
    <w:pPr>
      <w:ind w:left="720" w:hanging="360"/>
      <w:contextualSpacing/>
    </w:pPr>
  </w:style>
  <w:style w:type="paragraph" w:styleId="35">
    <w:name w:val="List 3"/>
    <w:basedOn w:val="a1"/>
    <w:uiPriority w:val="99"/>
    <w:unhideWhenUsed/>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0">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
    <w:name w:val="List Number 2"/>
    <w:basedOn w:val="a1"/>
    <w:uiPriority w:val="99"/>
    <w:unhideWhenUsed/>
    <w:rsid w:val="0029639D"/>
    <w:pPr>
      <w:numPr>
        <w:numId w:val="6"/>
      </w:numPr>
      <w:contextualSpacing/>
    </w:pPr>
  </w:style>
  <w:style w:type="paragraph" w:styleId="3">
    <w:name w:val="List Number 3"/>
    <w:basedOn w:val="a1"/>
    <w:uiPriority w:val="99"/>
    <w:unhideWhenUsed/>
    <w:rsid w:val="0029639D"/>
    <w:pPr>
      <w:numPr>
        <w:numId w:val="7"/>
      </w:numPr>
      <w:contextualSpacing/>
    </w:pPr>
  </w:style>
  <w:style w:type="paragraph" w:styleId="af2">
    <w:name w:val="List Continue"/>
    <w:basedOn w:val="a1"/>
    <w:uiPriority w:val="99"/>
    <w:unhideWhenUsed/>
    <w:rsid w:val="0029639D"/>
    <w:pPr>
      <w:spacing w:after="120"/>
      <w:ind w:left="360"/>
      <w:contextualSpacing/>
    </w:pPr>
  </w:style>
  <w:style w:type="paragraph" w:styleId="26">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3">
    <w:name w:val="macro"/>
    <w:link w:val="af4"/>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af4">
    <w:name w:val="宏文本 字符"/>
    <w:basedOn w:val="a2"/>
    <w:link w:val="af3"/>
    <w:uiPriority w:val="99"/>
    <w:rsid w:val="0029639D"/>
    <w:rPr>
      <w:rFonts w:ascii="Courier" w:hAnsi="Courier"/>
      <w:sz w:val="20"/>
      <w:szCs w:val="20"/>
    </w:rPr>
  </w:style>
  <w:style w:type="paragraph" w:styleId="af5">
    <w:name w:val="Quote"/>
    <w:basedOn w:val="a1"/>
    <w:next w:val="a1"/>
    <w:link w:val="af6"/>
    <w:uiPriority w:val="29"/>
    <w:qFormat/>
    <w:rsid w:val="00FC693F"/>
    <w:rPr>
      <w:i/>
      <w:iCs/>
      <w:color w:val="000000" w:themeColor="text1"/>
    </w:rPr>
  </w:style>
  <w:style w:type="character" w:customStyle="1" w:styleId="af6">
    <w:name w:val="引用 字符"/>
    <w:basedOn w:val="a2"/>
    <w:link w:val="af5"/>
    <w:uiPriority w:val="29"/>
    <w:rsid w:val="00FC693F"/>
    <w:rPr>
      <w:i/>
      <w:iCs/>
      <w:color w:val="000000" w:themeColor="text1"/>
    </w:rPr>
  </w:style>
  <w:style w:type="character" w:customStyle="1" w:styleId="40">
    <w:name w:val="标题 4 字符"/>
    <w:basedOn w:val="a2"/>
    <w:link w:val="4"/>
    <w:uiPriority w:val="9"/>
    <w:semiHidden/>
    <w:rsid w:val="00FC693F"/>
    <w:rPr>
      <w:rFonts w:asciiTheme="majorHAnsi" w:eastAsiaTheme="majorEastAsia" w:hAnsiTheme="majorHAnsi" w:cstheme="majorBidi"/>
      <w:b/>
      <w:bCs/>
      <w:i/>
      <w:iCs/>
      <w:color w:val="4F81BD" w:themeColor="accent1"/>
    </w:rPr>
  </w:style>
  <w:style w:type="character" w:customStyle="1" w:styleId="50">
    <w:name w:val="标题 5 字符"/>
    <w:basedOn w:val="a2"/>
    <w:link w:val="5"/>
    <w:uiPriority w:val="9"/>
    <w:semiHidden/>
    <w:rsid w:val="00FC693F"/>
    <w:rPr>
      <w:rFonts w:asciiTheme="majorHAnsi" w:eastAsiaTheme="majorEastAsia" w:hAnsiTheme="majorHAnsi" w:cstheme="majorBidi"/>
      <w:color w:val="243F60" w:themeColor="accent1" w:themeShade="7F"/>
    </w:rPr>
  </w:style>
  <w:style w:type="character" w:customStyle="1" w:styleId="60">
    <w:name w:val="标题 6 字符"/>
    <w:basedOn w:val="a2"/>
    <w:link w:val="6"/>
    <w:uiPriority w:val="9"/>
    <w:semiHidden/>
    <w:rsid w:val="00FC693F"/>
    <w:rPr>
      <w:rFonts w:asciiTheme="majorHAnsi" w:eastAsiaTheme="majorEastAsia" w:hAnsiTheme="majorHAnsi" w:cstheme="majorBidi"/>
      <w:i/>
      <w:iCs/>
      <w:color w:val="243F60" w:themeColor="accent1" w:themeShade="7F"/>
    </w:rPr>
  </w:style>
  <w:style w:type="character" w:customStyle="1" w:styleId="70">
    <w:name w:val="标题 7 字符"/>
    <w:basedOn w:val="a2"/>
    <w:link w:val="7"/>
    <w:uiPriority w:val="9"/>
    <w:semiHidden/>
    <w:rsid w:val="00FC693F"/>
    <w:rPr>
      <w:rFonts w:asciiTheme="majorHAnsi" w:eastAsiaTheme="majorEastAsia" w:hAnsiTheme="majorHAnsi" w:cstheme="majorBidi"/>
      <w:i/>
      <w:iCs/>
      <w:color w:val="404040" w:themeColor="text1" w:themeTint="BF"/>
    </w:rPr>
  </w:style>
  <w:style w:type="character" w:customStyle="1" w:styleId="80">
    <w:name w:val="标题 8 字符"/>
    <w:basedOn w:val="a2"/>
    <w:link w:val="8"/>
    <w:uiPriority w:val="9"/>
    <w:semiHidden/>
    <w:rsid w:val="00FC693F"/>
    <w:rPr>
      <w:rFonts w:asciiTheme="majorHAnsi" w:eastAsiaTheme="majorEastAsia" w:hAnsiTheme="majorHAnsi" w:cstheme="majorBidi"/>
      <w:color w:val="4F81BD" w:themeColor="accent1"/>
      <w:sz w:val="20"/>
      <w:szCs w:val="20"/>
    </w:rPr>
  </w:style>
  <w:style w:type="character" w:customStyle="1" w:styleId="90">
    <w:name w:val="标题 9 字符"/>
    <w:basedOn w:val="a2"/>
    <w:link w:val="9"/>
    <w:uiPriority w:val="9"/>
    <w:semiHidden/>
    <w:rsid w:val="00FC693F"/>
    <w:rPr>
      <w:rFonts w:asciiTheme="majorHAnsi" w:eastAsiaTheme="majorEastAsia" w:hAnsiTheme="majorHAnsi" w:cstheme="majorBidi"/>
      <w:i/>
      <w:iCs/>
      <w:color w:val="404040" w:themeColor="text1" w:themeTint="BF"/>
      <w:sz w:val="20"/>
      <w:szCs w:val="20"/>
    </w:rPr>
  </w:style>
  <w:style w:type="paragraph" w:styleId="af7">
    <w:name w:val="caption"/>
    <w:basedOn w:val="a1"/>
    <w:next w:val="a1"/>
    <w:uiPriority w:val="35"/>
    <w:semiHidden/>
    <w:unhideWhenUsed/>
    <w:qFormat/>
    <w:rsid w:val="00FC693F"/>
    <w:pPr>
      <w:spacing w:line="240" w:lineRule="auto"/>
    </w:pPr>
    <w:rPr>
      <w:b/>
      <w:bCs/>
      <w:color w:val="4F81BD" w:themeColor="accent1"/>
      <w:sz w:val="18"/>
      <w:szCs w:val="18"/>
    </w:rPr>
  </w:style>
  <w:style w:type="character" w:styleId="af8">
    <w:name w:val="Strong"/>
    <w:basedOn w:val="a2"/>
    <w:uiPriority w:val="22"/>
    <w:qFormat/>
    <w:rsid w:val="00FC693F"/>
    <w:rPr>
      <w:b/>
      <w:bCs/>
    </w:rPr>
  </w:style>
  <w:style w:type="character" w:styleId="af9">
    <w:name w:val="Emphasis"/>
    <w:basedOn w:val="a2"/>
    <w:uiPriority w:val="20"/>
    <w:qFormat/>
    <w:rsid w:val="00FC693F"/>
    <w:rPr>
      <w:i/>
      <w:iCs/>
    </w:rPr>
  </w:style>
  <w:style w:type="paragraph" w:styleId="afa">
    <w:name w:val="Intense Quote"/>
    <w:basedOn w:val="a1"/>
    <w:next w:val="a1"/>
    <w:link w:val="afb"/>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afb">
    <w:name w:val="明显引用 字符"/>
    <w:basedOn w:val="a2"/>
    <w:link w:val="afa"/>
    <w:uiPriority w:val="30"/>
    <w:rsid w:val="00FC693F"/>
    <w:rPr>
      <w:b/>
      <w:bCs/>
      <w:i/>
      <w:iCs/>
      <w:color w:val="4F81BD" w:themeColor="accent1"/>
    </w:rPr>
  </w:style>
  <w:style w:type="character" w:styleId="afc">
    <w:name w:val="Subtle Emphasis"/>
    <w:basedOn w:val="a2"/>
    <w:uiPriority w:val="19"/>
    <w:qFormat/>
    <w:rsid w:val="00FC693F"/>
    <w:rPr>
      <w:i/>
      <w:iCs/>
      <w:color w:val="808080" w:themeColor="text1" w:themeTint="7F"/>
    </w:rPr>
  </w:style>
  <w:style w:type="character" w:styleId="afd">
    <w:name w:val="Intense Emphasis"/>
    <w:basedOn w:val="a2"/>
    <w:uiPriority w:val="21"/>
    <w:qFormat/>
    <w:rsid w:val="00FC693F"/>
    <w:rPr>
      <w:b/>
      <w:bCs/>
      <w:i/>
      <w:iCs/>
      <w:color w:val="4F81BD" w:themeColor="accent1"/>
    </w:rPr>
  </w:style>
  <w:style w:type="character" w:styleId="afe">
    <w:name w:val="Subtle Reference"/>
    <w:basedOn w:val="a2"/>
    <w:uiPriority w:val="31"/>
    <w:qFormat/>
    <w:rsid w:val="00FC693F"/>
    <w:rPr>
      <w:smallCaps/>
      <w:color w:val="C0504D" w:themeColor="accent2"/>
      <w:u w:val="single"/>
    </w:rPr>
  </w:style>
  <w:style w:type="character" w:styleId="aff">
    <w:name w:val="Intense Reference"/>
    <w:basedOn w:val="a2"/>
    <w:uiPriority w:val="32"/>
    <w:qFormat/>
    <w:rsid w:val="00FC693F"/>
    <w:rPr>
      <w:b/>
      <w:bCs/>
      <w:smallCaps/>
      <w:color w:val="C0504D" w:themeColor="accent2"/>
      <w:spacing w:val="5"/>
      <w:u w:val="single"/>
    </w:rPr>
  </w:style>
  <w:style w:type="character" w:styleId="aff0">
    <w:name w:val="Book Title"/>
    <w:basedOn w:val="a2"/>
    <w:uiPriority w:val="33"/>
    <w:qFormat/>
    <w:rsid w:val="00FC693F"/>
    <w:rPr>
      <w:b/>
      <w:bCs/>
      <w:smallCaps/>
      <w:spacing w:val="5"/>
    </w:rPr>
  </w:style>
  <w:style w:type="paragraph" w:styleId="TOC">
    <w:name w:val="TOC Heading"/>
    <w:basedOn w:val="1"/>
    <w:next w:val="a1"/>
    <w:uiPriority w:val="39"/>
    <w:semiHidden/>
    <w:unhideWhenUsed/>
    <w:qFormat/>
    <w:rsid w:val="00FC693F"/>
    <w:pPr>
      <w:outlineLvl w:val="9"/>
    </w:pPr>
  </w:style>
  <w:style w:type="table" w:styleId="aff1">
    <w:name w:val="Table Grid"/>
    <w:basedOn w:val="a3"/>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2">
    <w:name w:val="Light Shading"/>
    <w:basedOn w:val="a3"/>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3">
    <w:name w:val="Light List"/>
    <w:basedOn w:val="a3"/>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4">
    <w:name w:val="Light Grid"/>
    <w:basedOn w:val="a3"/>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1">
    <w:name w:val="Light Grid Accent 2"/>
    <w:basedOn w:val="a3"/>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1">
    <w:name w:val="Light Grid Accent 3"/>
    <w:basedOn w:val="a3"/>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1">
    <w:name w:val="Light Grid Accent 4"/>
    <w:basedOn w:val="a3"/>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1">
    <w:name w:val="Light Grid Accent 5"/>
    <w:basedOn w:val="a3"/>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1">
    <w:name w:val="Light Grid Accent 6"/>
    <w:basedOn w:val="a3"/>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1">
    <w:name w:val="Medium Shading 1"/>
    <w:basedOn w:val="a3"/>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7">
    <w:name w:val="Medium Shading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Medium List 1"/>
    <w:basedOn w:val="a3"/>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8">
    <w:name w:val="Medium Lis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3">
    <w:name w:val="Medium Grid 1"/>
    <w:basedOn w:val="a3"/>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3"/>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3"/>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3"/>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9">
    <w:name w:val="Medium Grid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7">
    <w:name w:val="Medium Grid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5">
    <w:name w:val="Dark List"/>
    <w:basedOn w:val="a3"/>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2">
    <w:name w:val="Dark List Accent 2"/>
    <w:basedOn w:val="a3"/>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2">
    <w:name w:val="Dark List Accent 3"/>
    <w:basedOn w:val="a3"/>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2">
    <w:name w:val="Dark List Accent 4"/>
    <w:basedOn w:val="a3"/>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2">
    <w:name w:val="Dark List Accent 5"/>
    <w:basedOn w:val="a3"/>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2">
    <w:name w:val="Dark List Accent 6"/>
    <w:basedOn w:val="a3"/>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6">
    <w:name w:val="Colorful Shading"/>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3">
    <w:name w:val="Colorful Shading Accent 4"/>
    <w:basedOn w:val="a3"/>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7">
    <w:name w:val="Colorful List"/>
    <w:basedOn w:val="a3"/>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4">
    <w:name w:val="Colorful List Accent 2"/>
    <w:basedOn w:val="a3"/>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4">
    <w:name w:val="Colorful List Accent 3"/>
    <w:basedOn w:val="a3"/>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4">
    <w:name w:val="Colorful List Accent 4"/>
    <w:basedOn w:val="a3"/>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4">
    <w:name w:val="Colorful List Accent 5"/>
    <w:basedOn w:val="a3"/>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4">
    <w:name w:val="Colorful List Accent 6"/>
    <w:basedOn w:val="a3"/>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8">
    <w:name w:val="Colorful Grid"/>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5">
    <w:name w:val="Colorful Grid Accent 2"/>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5">
    <w:name w:val="Colorful Grid Accent 3"/>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5">
    <w:name w:val="Colorful Grid Accent 4"/>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SuppTitle">
    <w:name w:val="Supp Title"/>
    <w:pPr>
      <w:spacing w:after="160" w:line="240" w:lineRule="auto"/>
    </w:pPr>
    <w:rPr>
      <w:rFonts w:ascii="Cambria" w:hAnsi="Cambria"/>
      <w:b/>
      <w:color w:val="1F3B64"/>
      <w:sz w:val="48"/>
    </w:rPr>
  </w:style>
  <w:style w:type="paragraph" w:customStyle="1" w:styleId="SuppSubtitle">
    <w:name w:val="Supp Subtitle"/>
    <w:rPr>
      <w:rFonts w:ascii="Cambria" w:hAnsi="Cambria"/>
      <w:i/>
      <w:color w:val="5C5C5C"/>
      <w:sz w:val="24"/>
    </w:rPr>
  </w:style>
  <w:style w:type="paragraph" w:customStyle="1" w:styleId="SuppNote">
    <w:name w:val="Supp Note"/>
    <w:pPr>
      <w:spacing w:after="280" w:line="288" w:lineRule="auto"/>
    </w:pPr>
    <w:rPr>
      <w:rFonts w:ascii="Times New Roman" w:hAnsi="Times New Roman"/>
      <w:color w:val="5C5C5C"/>
      <w:sz w:val="21"/>
    </w:rPr>
  </w:style>
  <w:style w:type="paragraph" w:customStyle="1" w:styleId="SuppSection">
    <w:name w:val="Supp Section"/>
    <w:pPr>
      <w:spacing w:before="320" w:after="160" w:line="240" w:lineRule="auto"/>
    </w:pPr>
    <w:rPr>
      <w:rFonts w:ascii="Cambria" w:hAnsi="Cambria"/>
      <w:b/>
      <w:color w:val="1F3B64"/>
      <w:sz w:val="30"/>
    </w:rPr>
  </w:style>
  <w:style w:type="paragraph" w:customStyle="1" w:styleId="SuppFigure">
    <w:name w:val="Supp Figure"/>
    <w:pPr>
      <w:spacing w:before="160" w:after="80" w:line="252" w:lineRule="auto"/>
    </w:pPr>
    <w:rPr>
      <w:rFonts w:ascii="Cambria" w:hAnsi="Cambria"/>
      <w:b/>
      <w:color w:val="1F3B64"/>
      <w:sz w:val="27"/>
    </w:rPr>
  </w:style>
  <w:style w:type="paragraph" w:customStyle="1" w:styleId="SuppCaption">
    <w:name w:val="Supp Caption"/>
    <w:pPr>
      <w:spacing w:before="40" w:line="288" w:lineRule="auto"/>
    </w:pPr>
    <w:rPr>
      <w:rFonts w:ascii="Times New Roman" w:hAnsi="Times New Roman"/>
    </w:rPr>
  </w:style>
  <w:style w:type="paragraph" w:customStyle="1" w:styleId="SuppTableTitle">
    <w:name w:val="Supp Table Title"/>
    <w:pPr>
      <w:spacing w:before="320" w:after="120" w:line="240" w:lineRule="auto"/>
    </w:pPr>
    <w:rPr>
      <w:rFonts w:ascii="Cambria" w:hAnsi="Cambria"/>
      <w:b/>
      <w:color w:val="1F3B64"/>
      <w:sz w:val="26"/>
    </w:rPr>
  </w:style>
  <w:style w:type="character" w:styleId="aff9">
    <w:name w:val="line number"/>
    <w:basedOn w:val="a2"/>
    <w:uiPriority w:val="99"/>
    <w:semiHidden/>
    <w:unhideWhenUsed/>
    <w:rsid w:val="00ED03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41</Pages>
  <Words>3707</Words>
  <Characters>21135</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24793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Organized supplementary information</dc:title>
  <dc:subject>Supplementary Information</dc:subject>
  <dc:creator>Administrator</dc:creator>
  <cp:keywords>supplementary information, figures, heparosan</cp:keywords>
  <dc:description>generated by python-docx</dc:description>
  <cp:lastModifiedBy>Zixu Liu</cp:lastModifiedBy>
  <cp:revision>2</cp:revision>
  <dcterms:created xsi:type="dcterms:W3CDTF">2013-12-23T23:15:00Z</dcterms:created>
  <dcterms:modified xsi:type="dcterms:W3CDTF">2026-05-06T05:49:00Z</dcterms:modified>
  <cp:category/>
</cp:coreProperties>
</file>