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135C" w14:textId="77777777" w:rsidR="007B5BB8" w:rsidRDefault="00000000">
      <w:pPr>
        <w:pStyle w:val="SupplementaryMaterial"/>
        <w:rPr>
          <w:i w:val="0"/>
          <w:iCs/>
        </w:rPr>
      </w:pPr>
      <w:r>
        <w:rPr>
          <w:i w:val="0"/>
          <w:iCs/>
        </w:rPr>
        <w:t>Supplementary Material</w:t>
      </w:r>
    </w:p>
    <w:p w14:paraId="43B1840B" w14:textId="77777777" w:rsidR="007B5BB8" w:rsidRDefault="007B5BB8">
      <w:pPr>
        <w:spacing w:line="360" w:lineRule="auto"/>
        <w:rPr>
          <w:rFonts w:cs="Times New Roman"/>
          <w:lang w:eastAsia="zh-CN"/>
        </w:rPr>
      </w:pPr>
    </w:p>
    <w:p w14:paraId="0C2368C0" w14:textId="77777777" w:rsidR="007B5BB8" w:rsidRDefault="00000000">
      <w:pPr>
        <w:pStyle w:val="a4"/>
        <w:rPr>
          <w:rFonts w:ascii="Arial" w:hAnsi="Arial" w:cs="Arial"/>
          <w:sz w:val="21"/>
          <w:szCs w:val="21"/>
        </w:rPr>
      </w:pPr>
      <w:r>
        <w:rPr>
          <w:rFonts w:ascii="Arial" w:hAnsi="Arial" w:cs="Arial"/>
          <w:sz w:val="21"/>
          <w:szCs w:val="21"/>
        </w:rPr>
        <w:t>Table. S</w:t>
      </w:r>
      <w:r>
        <w:rPr>
          <w:rFonts w:ascii="Arial" w:hAnsi="Arial" w:cs="Arial"/>
          <w:sz w:val="21"/>
          <w:szCs w:val="21"/>
        </w:rPr>
        <w:fldChar w:fldCharType="begin"/>
      </w:r>
      <w:r>
        <w:rPr>
          <w:rFonts w:ascii="Arial" w:hAnsi="Arial" w:cs="Arial"/>
          <w:sz w:val="21"/>
          <w:szCs w:val="21"/>
        </w:rPr>
        <w:instrText xml:space="preserve"> SEQ Table._S \* ARABIC </w:instrText>
      </w:r>
      <w:r>
        <w:rPr>
          <w:rFonts w:ascii="Arial" w:hAnsi="Arial" w:cs="Arial"/>
          <w:sz w:val="21"/>
          <w:szCs w:val="21"/>
        </w:rPr>
        <w:fldChar w:fldCharType="separate"/>
      </w:r>
      <w:r>
        <w:rPr>
          <w:rFonts w:ascii="Arial" w:hAnsi="Arial" w:cs="Arial"/>
          <w:sz w:val="21"/>
          <w:szCs w:val="21"/>
        </w:rPr>
        <w:t>1</w:t>
      </w:r>
      <w:r>
        <w:rPr>
          <w:rFonts w:ascii="Arial" w:hAnsi="Arial" w:cs="Arial"/>
          <w:sz w:val="21"/>
          <w:szCs w:val="21"/>
        </w:rPr>
        <w:fldChar w:fldCharType="end"/>
      </w:r>
      <w:r>
        <w:rPr>
          <w:rFonts w:ascii="Arial" w:hAnsi="Arial" w:cs="Arial" w:hint="eastAsia"/>
          <w:sz w:val="21"/>
          <w:szCs w:val="21"/>
        </w:rPr>
        <w:t xml:space="preserve"> T</w:t>
      </w:r>
      <w:r>
        <w:rPr>
          <w:rFonts w:ascii="Arial" w:hAnsi="Arial" w:cs="Arial"/>
          <w:sz w:val="21"/>
          <w:szCs w:val="21"/>
        </w:rPr>
        <w:t>he database sources and software utilized</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50"/>
      </w:tblGrid>
      <w:tr w:rsidR="007B5BB8" w14:paraId="5EA150C5" w14:textId="77777777">
        <w:tc>
          <w:tcPr>
            <w:tcW w:w="2127" w:type="dxa"/>
          </w:tcPr>
          <w:p w14:paraId="45763D8E" w14:textId="77777777" w:rsidR="007B5BB8" w:rsidRDefault="00000000">
            <w:pPr>
              <w:rPr>
                <w:rFonts w:eastAsia="宋体" w:cs="Times New Roman"/>
                <w:color w:val="000000"/>
                <w:kern w:val="2"/>
                <w:sz w:val="21"/>
                <w:szCs w:val="21"/>
                <w:lang w:eastAsia="zh-CN" w:bidi="ar"/>
              </w:rPr>
            </w:pPr>
            <w:proofErr w:type="spellStart"/>
            <w:r>
              <w:rPr>
                <w:rFonts w:eastAsia="宋体" w:cs="Times New Roman"/>
                <w:color w:val="000000"/>
                <w:kern w:val="2"/>
                <w:sz w:val="21"/>
                <w:szCs w:val="21"/>
                <w:lang w:eastAsia="zh-CN" w:bidi="ar"/>
              </w:rPr>
              <w:t>gutMGene</w:t>
            </w:r>
            <w:proofErr w:type="spellEnd"/>
            <w:r>
              <w:rPr>
                <w:rFonts w:eastAsia="宋体" w:cs="Times New Roman"/>
                <w:color w:val="000000"/>
                <w:kern w:val="2"/>
                <w:sz w:val="21"/>
                <w:szCs w:val="21"/>
                <w:lang w:eastAsia="zh-CN" w:bidi="ar"/>
              </w:rPr>
              <w:t xml:space="preserve"> v2.0</w:t>
            </w:r>
          </w:p>
        </w:tc>
        <w:tc>
          <w:tcPr>
            <w:tcW w:w="7650" w:type="dxa"/>
          </w:tcPr>
          <w:p w14:paraId="64244614"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http://biocomputing.hrbmu.edu.cn/gutmgene/#/Resource</w:t>
            </w:r>
          </w:p>
        </w:tc>
      </w:tr>
      <w:tr w:rsidR="007B5BB8" w14:paraId="3796216F" w14:textId="77777777">
        <w:tc>
          <w:tcPr>
            <w:tcW w:w="2127" w:type="dxa"/>
          </w:tcPr>
          <w:p w14:paraId="6DA477CC" w14:textId="77777777" w:rsidR="007B5BB8" w:rsidRDefault="00000000">
            <w:pPr>
              <w:rPr>
                <w:rFonts w:eastAsia="宋体" w:cs="Times New Roman"/>
                <w:color w:val="000000"/>
                <w:kern w:val="2"/>
                <w:sz w:val="21"/>
                <w:szCs w:val="21"/>
                <w:lang w:eastAsia="zh-CN" w:bidi="ar"/>
              </w:rPr>
            </w:pPr>
            <w:proofErr w:type="spellStart"/>
            <w:r>
              <w:rPr>
                <w:rFonts w:eastAsia="宋体" w:cs="Times New Roman"/>
                <w:color w:val="000000"/>
                <w:kern w:val="2"/>
                <w:sz w:val="21"/>
                <w:szCs w:val="21"/>
                <w:lang w:eastAsia="zh-CN" w:bidi="ar"/>
              </w:rPr>
              <w:t>GeneCards</w:t>
            </w:r>
            <w:proofErr w:type="spellEnd"/>
          </w:p>
        </w:tc>
        <w:tc>
          <w:tcPr>
            <w:tcW w:w="7650" w:type="dxa"/>
          </w:tcPr>
          <w:p w14:paraId="5994ABF8"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https://www.genecards.org/</w:t>
            </w:r>
          </w:p>
        </w:tc>
      </w:tr>
      <w:tr w:rsidR="007B5BB8" w14:paraId="746D5E36" w14:textId="77777777">
        <w:tc>
          <w:tcPr>
            <w:tcW w:w="2127" w:type="dxa"/>
          </w:tcPr>
          <w:p w14:paraId="158D7F16" w14:textId="77777777" w:rsidR="007B5BB8" w:rsidRDefault="00000000">
            <w:pPr>
              <w:rPr>
                <w:rFonts w:eastAsia="宋体" w:cs="Times New Roman"/>
                <w:color w:val="000000"/>
                <w:kern w:val="2"/>
                <w:sz w:val="21"/>
                <w:szCs w:val="21"/>
                <w:lang w:eastAsia="zh-CN" w:bidi="ar"/>
              </w:rPr>
            </w:pPr>
            <w:proofErr w:type="spellStart"/>
            <w:r>
              <w:rPr>
                <w:rFonts w:eastAsia="宋体" w:cs="Times New Roman"/>
                <w:color w:val="000000"/>
                <w:kern w:val="2"/>
                <w:sz w:val="21"/>
                <w:szCs w:val="21"/>
                <w:lang w:eastAsia="zh-CN" w:bidi="ar"/>
              </w:rPr>
              <w:t>DisGeNET</w:t>
            </w:r>
            <w:proofErr w:type="spellEnd"/>
          </w:p>
        </w:tc>
        <w:tc>
          <w:tcPr>
            <w:tcW w:w="7650" w:type="dxa"/>
          </w:tcPr>
          <w:p w14:paraId="705127B6"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https://disgenet.com/</w:t>
            </w:r>
          </w:p>
        </w:tc>
      </w:tr>
      <w:tr w:rsidR="007B5BB8" w14:paraId="126D7E5F" w14:textId="77777777">
        <w:tc>
          <w:tcPr>
            <w:tcW w:w="2127" w:type="dxa"/>
          </w:tcPr>
          <w:p w14:paraId="22C42971"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OMIM</w:t>
            </w:r>
          </w:p>
        </w:tc>
        <w:tc>
          <w:tcPr>
            <w:tcW w:w="7650" w:type="dxa"/>
          </w:tcPr>
          <w:p w14:paraId="5A769636"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https://www.omim.org/</w:t>
            </w:r>
          </w:p>
        </w:tc>
      </w:tr>
      <w:tr w:rsidR="007B5BB8" w14:paraId="1B25293D" w14:textId="77777777">
        <w:tc>
          <w:tcPr>
            <w:tcW w:w="2127" w:type="dxa"/>
          </w:tcPr>
          <w:p w14:paraId="0D95B371"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TCMSP</w:t>
            </w:r>
          </w:p>
        </w:tc>
        <w:tc>
          <w:tcPr>
            <w:tcW w:w="7650" w:type="dxa"/>
          </w:tcPr>
          <w:p w14:paraId="4311C0FB"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https://www.tcmsp-e.com/</w:t>
            </w:r>
          </w:p>
        </w:tc>
      </w:tr>
      <w:tr w:rsidR="007B5BB8" w14:paraId="33FC597C" w14:textId="77777777">
        <w:tc>
          <w:tcPr>
            <w:tcW w:w="2127" w:type="dxa"/>
          </w:tcPr>
          <w:p w14:paraId="7BABCAA5" w14:textId="77777777" w:rsidR="007B5BB8" w:rsidRDefault="00000000">
            <w:pPr>
              <w:rPr>
                <w:rFonts w:eastAsia="宋体" w:cs="Times New Roman"/>
                <w:color w:val="000000"/>
                <w:kern w:val="2"/>
                <w:sz w:val="21"/>
                <w:szCs w:val="21"/>
                <w:lang w:eastAsia="zh-CN" w:bidi="ar"/>
              </w:rPr>
            </w:pPr>
            <w:r>
              <w:rPr>
                <w:rFonts w:eastAsia="宋体" w:cs="Times New Roman" w:hint="eastAsia"/>
                <w:color w:val="000000"/>
                <w:kern w:val="2"/>
                <w:sz w:val="21"/>
                <w:szCs w:val="21"/>
                <w:lang w:eastAsia="zh-CN" w:bidi="ar"/>
              </w:rPr>
              <w:t>STP</w:t>
            </w:r>
          </w:p>
        </w:tc>
        <w:tc>
          <w:tcPr>
            <w:tcW w:w="7650" w:type="dxa"/>
          </w:tcPr>
          <w:p w14:paraId="088A12B5"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https://swisstargetprediction.ch/predict.php</w:t>
            </w:r>
          </w:p>
        </w:tc>
      </w:tr>
      <w:tr w:rsidR="007B5BB8" w14:paraId="79AA7BB0" w14:textId="77777777">
        <w:tc>
          <w:tcPr>
            <w:tcW w:w="2127" w:type="dxa"/>
          </w:tcPr>
          <w:p w14:paraId="7301B892" w14:textId="77777777" w:rsidR="007B5BB8" w:rsidRDefault="00000000">
            <w:pPr>
              <w:rPr>
                <w:rFonts w:eastAsia="宋体" w:cs="Times New Roman"/>
                <w:color w:val="000000"/>
                <w:kern w:val="2"/>
                <w:sz w:val="21"/>
                <w:szCs w:val="21"/>
                <w:lang w:eastAsia="zh-CN" w:bidi="ar"/>
              </w:rPr>
            </w:pPr>
            <w:r>
              <w:rPr>
                <w:rFonts w:eastAsia="宋体" w:cs="Times New Roman" w:hint="eastAsia"/>
                <w:color w:val="000000"/>
                <w:kern w:val="2"/>
                <w:sz w:val="21"/>
                <w:szCs w:val="21"/>
                <w:lang w:eastAsia="zh-CN" w:bidi="ar"/>
              </w:rPr>
              <w:t>SEA</w:t>
            </w:r>
          </w:p>
        </w:tc>
        <w:tc>
          <w:tcPr>
            <w:tcW w:w="7650" w:type="dxa"/>
          </w:tcPr>
          <w:p w14:paraId="2412A0AB"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https://sea.bkslab.org/</w:t>
            </w:r>
          </w:p>
        </w:tc>
      </w:tr>
      <w:tr w:rsidR="007B5BB8" w14:paraId="38239B3B" w14:textId="77777777">
        <w:tc>
          <w:tcPr>
            <w:tcW w:w="2127" w:type="dxa"/>
          </w:tcPr>
          <w:p w14:paraId="1C57F84A"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STRING</w:t>
            </w:r>
          </w:p>
        </w:tc>
        <w:tc>
          <w:tcPr>
            <w:tcW w:w="7650" w:type="dxa"/>
          </w:tcPr>
          <w:p w14:paraId="75DCF157"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https://string-db.org</w:t>
            </w:r>
          </w:p>
        </w:tc>
      </w:tr>
      <w:tr w:rsidR="007B5BB8" w14:paraId="5C713563" w14:textId="77777777">
        <w:tc>
          <w:tcPr>
            <w:tcW w:w="2127" w:type="dxa"/>
          </w:tcPr>
          <w:p w14:paraId="4906ED64" w14:textId="77777777" w:rsidR="007B5BB8" w:rsidRDefault="00000000">
            <w:pPr>
              <w:rPr>
                <w:rFonts w:eastAsia="宋体" w:cs="Times New Roman"/>
                <w:color w:val="000000"/>
                <w:kern w:val="2"/>
                <w:sz w:val="21"/>
                <w:szCs w:val="21"/>
                <w:lang w:eastAsia="zh-CN" w:bidi="ar"/>
              </w:rPr>
            </w:pPr>
            <w:proofErr w:type="spellStart"/>
            <w:r>
              <w:rPr>
                <w:rFonts w:eastAsia="宋体" w:cs="Times New Roman"/>
                <w:color w:val="000000"/>
                <w:kern w:val="2"/>
                <w:sz w:val="21"/>
                <w:szCs w:val="21"/>
                <w:lang w:eastAsia="zh-CN" w:bidi="ar"/>
              </w:rPr>
              <w:t>WebGestalt</w:t>
            </w:r>
            <w:proofErr w:type="spellEnd"/>
          </w:p>
        </w:tc>
        <w:tc>
          <w:tcPr>
            <w:tcW w:w="7650" w:type="dxa"/>
          </w:tcPr>
          <w:p w14:paraId="29CDEFB1"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https://www.webgestalt.org/</w:t>
            </w:r>
          </w:p>
        </w:tc>
      </w:tr>
      <w:tr w:rsidR="007B5BB8" w14:paraId="4DF4C176" w14:textId="77777777">
        <w:tc>
          <w:tcPr>
            <w:tcW w:w="2127" w:type="dxa"/>
          </w:tcPr>
          <w:p w14:paraId="7E19F9DE" w14:textId="77777777" w:rsidR="007B5BB8" w:rsidRDefault="00000000">
            <w:pPr>
              <w:rPr>
                <w:rFonts w:eastAsia="宋体" w:cs="Times New Roman"/>
                <w:color w:val="000000"/>
                <w:kern w:val="2"/>
                <w:sz w:val="21"/>
                <w:szCs w:val="21"/>
                <w:lang w:eastAsia="zh-CN" w:bidi="ar"/>
              </w:rPr>
            </w:pPr>
            <w:proofErr w:type="spellStart"/>
            <w:r>
              <w:rPr>
                <w:rFonts w:eastAsia="宋体" w:cs="Times New Roman"/>
                <w:color w:val="000000"/>
                <w:kern w:val="2"/>
                <w:sz w:val="21"/>
                <w:szCs w:val="21"/>
                <w:lang w:eastAsia="zh-CN" w:bidi="ar"/>
              </w:rPr>
              <w:t>SwissADME</w:t>
            </w:r>
            <w:proofErr w:type="spellEnd"/>
          </w:p>
        </w:tc>
        <w:tc>
          <w:tcPr>
            <w:tcW w:w="7650" w:type="dxa"/>
          </w:tcPr>
          <w:p w14:paraId="4593B0DC"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http://www.swissadme.ch/index.php</w:t>
            </w:r>
          </w:p>
        </w:tc>
      </w:tr>
      <w:tr w:rsidR="007B5BB8" w14:paraId="5DDD1B99" w14:textId="77777777">
        <w:tc>
          <w:tcPr>
            <w:tcW w:w="2127" w:type="dxa"/>
          </w:tcPr>
          <w:p w14:paraId="41AEA807" w14:textId="77777777" w:rsidR="007B5BB8" w:rsidRDefault="00000000">
            <w:pPr>
              <w:rPr>
                <w:rFonts w:eastAsia="宋体" w:cs="Times New Roman"/>
                <w:color w:val="000000"/>
                <w:kern w:val="2"/>
                <w:sz w:val="21"/>
                <w:szCs w:val="21"/>
                <w:lang w:eastAsia="zh-CN" w:bidi="ar"/>
              </w:rPr>
            </w:pPr>
            <w:proofErr w:type="spellStart"/>
            <w:r>
              <w:rPr>
                <w:rFonts w:eastAsia="宋体" w:cs="Times New Roman"/>
                <w:color w:val="000000"/>
                <w:kern w:val="2"/>
                <w:sz w:val="21"/>
                <w:szCs w:val="21"/>
                <w:lang w:eastAsia="zh-CN" w:bidi="ar"/>
              </w:rPr>
              <w:t>ADMETlab</w:t>
            </w:r>
            <w:proofErr w:type="spellEnd"/>
          </w:p>
        </w:tc>
        <w:tc>
          <w:tcPr>
            <w:tcW w:w="7650" w:type="dxa"/>
          </w:tcPr>
          <w:p w14:paraId="6470FE6A"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https://admetmesh.scbdd.com/</w:t>
            </w:r>
          </w:p>
        </w:tc>
      </w:tr>
      <w:tr w:rsidR="007B5BB8" w14:paraId="482463AC" w14:textId="77777777">
        <w:tc>
          <w:tcPr>
            <w:tcW w:w="2127" w:type="dxa"/>
          </w:tcPr>
          <w:p w14:paraId="0678966D"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PubChem</w:t>
            </w:r>
          </w:p>
        </w:tc>
        <w:tc>
          <w:tcPr>
            <w:tcW w:w="7650" w:type="dxa"/>
          </w:tcPr>
          <w:p w14:paraId="5B2F7EE8" w14:textId="77777777" w:rsidR="007B5BB8" w:rsidRDefault="00000000">
            <w:pPr>
              <w:rPr>
                <w:rFonts w:eastAsia="宋体" w:cs="Times New Roman"/>
                <w:color w:val="000000"/>
                <w:kern w:val="2"/>
                <w:sz w:val="21"/>
                <w:szCs w:val="21"/>
                <w:lang w:eastAsia="zh-CN" w:bidi="ar"/>
              </w:rPr>
            </w:pPr>
            <w:r>
              <w:rPr>
                <w:rFonts w:eastAsia="宋体" w:cs="Times New Roman"/>
                <w:color w:val="000000"/>
                <w:kern w:val="2"/>
                <w:sz w:val="21"/>
                <w:szCs w:val="21"/>
                <w:lang w:eastAsia="zh-CN" w:bidi="ar"/>
              </w:rPr>
              <w:t>https://pubchem.ncbi.nlm.nih.gov/</w:t>
            </w:r>
          </w:p>
        </w:tc>
      </w:tr>
      <w:tr w:rsidR="007B5BB8" w14:paraId="12DE86FE" w14:textId="77777777">
        <w:tc>
          <w:tcPr>
            <w:tcW w:w="2127" w:type="dxa"/>
          </w:tcPr>
          <w:p w14:paraId="37108BB6" w14:textId="77777777" w:rsidR="007B5BB8" w:rsidRDefault="00000000">
            <w:pPr>
              <w:rPr>
                <w:rFonts w:eastAsia="宋体" w:cs="Times New Roman"/>
                <w:color w:val="000000"/>
                <w:kern w:val="2"/>
                <w:sz w:val="21"/>
                <w:szCs w:val="21"/>
                <w:lang w:eastAsia="zh-CN" w:bidi="ar"/>
              </w:rPr>
            </w:pPr>
            <w:r>
              <w:rPr>
                <w:rFonts w:ascii="Times New Roman" w:eastAsia="宋体" w:hAnsi="Times New Roman" w:cs="Times New Roman"/>
                <w:color w:val="000000"/>
                <w:kern w:val="2"/>
                <w:sz w:val="21"/>
                <w:szCs w:val="21"/>
                <w:lang w:eastAsia="zh-CN" w:bidi="ar"/>
              </w:rPr>
              <w:t>bioinformatics</w:t>
            </w:r>
          </w:p>
        </w:tc>
        <w:tc>
          <w:tcPr>
            <w:tcW w:w="7650" w:type="dxa"/>
          </w:tcPr>
          <w:p w14:paraId="10CC90DF" w14:textId="77777777" w:rsidR="007B5BB8" w:rsidRDefault="00000000">
            <w:pPr>
              <w:rPr>
                <w:rFonts w:eastAsia="宋体" w:cs="Times New Roman"/>
                <w:color w:val="000000"/>
                <w:kern w:val="2"/>
                <w:sz w:val="21"/>
                <w:szCs w:val="21"/>
                <w:lang w:eastAsia="zh-CN" w:bidi="ar"/>
              </w:rPr>
            </w:pPr>
            <w:r>
              <w:rPr>
                <w:rFonts w:eastAsia="宋体" w:cs="Times New Roman" w:hint="eastAsia"/>
                <w:color w:val="000000"/>
                <w:kern w:val="2"/>
                <w:sz w:val="21"/>
                <w:szCs w:val="21"/>
                <w:lang w:eastAsia="zh-CN" w:bidi="ar"/>
              </w:rPr>
              <w:t>https://www.bioinformatics.com.cn/</w:t>
            </w:r>
          </w:p>
        </w:tc>
      </w:tr>
      <w:tr w:rsidR="007B5BB8" w14:paraId="1E587E59" w14:textId="77777777">
        <w:tc>
          <w:tcPr>
            <w:tcW w:w="2127" w:type="dxa"/>
          </w:tcPr>
          <w:p w14:paraId="7DED78CA" w14:textId="77777777" w:rsidR="007B5BB8" w:rsidRDefault="00000000">
            <w:pPr>
              <w:rPr>
                <w:rFonts w:eastAsia="宋体" w:cs="Times New Roman"/>
                <w:color w:val="000000"/>
                <w:kern w:val="2"/>
                <w:sz w:val="21"/>
                <w:szCs w:val="21"/>
                <w:lang w:eastAsia="zh-CN" w:bidi="ar"/>
              </w:rPr>
            </w:pPr>
            <w:r>
              <w:rPr>
                <w:rFonts w:ascii="Times New Roman" w:eastAsia="宋体" w:hAnsi="Times New Roman" w:cs="Times New Roman"/>
                <w:color w:val="000000"/>
                <w:kern w:val="2"/>
                <w:sz w:val="21"/>
                <w:szCs w:val="21"/>
                <w:lang w:eastAsia="zh-CN" w:bidi="ar"/>
              </w:rPr>
              <w:t xml:space="preserve"> Protein Data Bank</w:t>
            </w:r>
          </w:p>
        </w:tc>
        <w:tc>
          <w:tcPr>
            <w:tcW w:w="7650" w:type="dxa"/>
          </w:tcPr>
          <w:p w14:paraId="1A3FD845" w14:textId="77777777" w:rsidR="007B5BB8" w:rsidRDefault="00000000">
            <w:pPr>
              <w:rPr>
                <w:rFonts w:eastAsia="宋体" w:cs="Times New Roman"/>
                <w:color w:val="000000"/>
                <w:kern w:val="2"/>
                <w:sz w:val="21"/>
                <w:szCs w:val="21"/>
                <w:lang w:eastAsia="zh-CN" w:bidi="ar"/>
              </w:rPr>
            </w:pPr>
            <w:r>
              <w:rPr>
                <w:rFonts w:eastAsia="宋体" w:cs="Times New Roman" w:hint="eastAsia"/>
                <w:color w:val="000000"/>
                <w:kern w:val="2"/>
                <w:sz w:val="21"/>
                <w:szCs w:val="21"/>
                <w:lang w:eastAsia="zh-CN" w:bidi="ar"/>
              </w:rPr>
              <w:t>https://www.rcsb.org/</w:t>
            </w:r>
          </w:p>
        </w:tc>
      </w:tr>
    </w:tbl>
    <w:p w14:paraId="43F3E769" w14:textId="77777777" w:rsidR="007B5BB8" w:rsidRDefault="007B5BB8">
      <w:pPr>
        <w:spacing w:line="360" w:lineRule="auto"/>
        <w:rPr>
          <w:rFonts w:eastAsia="宋体" w:cs="Times New Roman"/>
          <w:color w:val="000000"/>
          <w:kern w:val="2"/>
          <w:sz w:val="21"/>
          <w:szCs w:val="21"/>
          <w:lang w:eastAsia="zh-CN" w:bidi="ar"/>
        </w:rPr>
      </w:pPr>
    </w:p>
    <w:p w14:paraId="7F018121" w14:textId="77777777" w:rsidR="007B5BB8" w:rsidRDefault="00000000">
      <w:pPr>
        <w:spacing w:line="360" w:lineRule="auto"/>
        <w:rPr>
          <w:rFonts w:ascii="宋体" w:eastAsia="宋体" w:hAnsi="宋体" w:cs="宋体" w:hint="eastAsia"/>
          <w:b/>
          <w:bCs/>
          <w:lang w:eastAsia="zh-CN"/>
        </w:rPr>
      </w:pPr>
      <w:r>
        <w:rPr>
          <w:rFonts w:ascii="Arial" w:hAnsi="Arial" w:cs="Arial"/>
          <w:b/>
          <w:bCs/>
          <w:sz w:val="21"/>
          <w:szCs w:val="21"/>
        </w:rPr>
        <w:fldChar w:fldCharType="begin"/>
      </w:r>
      <w:r>
        <w:rPr>
          <w:rFonts w:ascii="Arial" w:hAnsi="Arial" w:cs="Arial"/>
          <w:b/>
          <w:bCs/>
          <w:sz w:val="21"/>
          <w:szCs w:val="21"/>
        </w:rPr>
        <w:instrText xml:space="preserve"> </w:instrText>
      </w:r>
      <w:r>
        <w:rPr>
          <w:rFonts w:ascii="Arial" w:hAnsi="Arial" w:cs="Arial" w:hint="eastAsia"/>
          <w:b/>
          <w:bCs/>
          <w:sz w:val="21"/>
          <w:szCs w:val="21"/>
        </w:rPr>
        <w:instrText>REF _Ref228267272 \h</w:instrText>
      </w:r>
      <w:r>
        <w:rPr>
          <w:rFonts w:ascii="Arial" w:hAnsi="Arial" w:cs="Arial"/>
          <w:b/>
          <w:bCs/>
          <w:sz w:val="21"/>
          <w:szCs w:val="21"/>
        </w:rPr>
        <w:instrText xml:space="preserve">  \* MERGEFORMAT </w:instrText>
      </w:r>
      <w:r>
        <w:rPr>
          <w:rFonts w:ascii="Arial" w:hAnsi="Arial" w:cs="Arial"/>
          <w:b/>
          <w:bCs/>
          <w:sz w:val="21"/>
          <w:szCs w:val="21"/>
        </w:rPr>
      </w:r>
      <w:r>
        <w:rPr>
          <w:rFonts w:ascii="Arial" w:hAnsi="Arial" w:cs="Arial"/>
          <w:b/>
          <w:bCs/>
          <w:sz w:val="21"/>
          <w:szCs w:val="21"/>
        </w:rPr>
        <w:fldChar w:fldCharType="separate"/>
      </w:r>
      <w:r>
        <w:rPr>
          <w:rFonts w:ascii="Arial" w:hAnsi="Arial" w:cs="Arial"/>
          <w:b/>
          <w:bCs/>
          <w:sz w:val="21"/>
          <w:szCs w:val="21"/>
        </w:rPr>
        <w:t>Fig. s1</w:t>
      </w:r>
      <w:r>
        <w:rPr>
          <w:rFonts w:ascii="Arial" w:hAnsi="Arial" w:cs="Arial"/>
          <w:b/>
          <w:bCs/>
          <w:sz w:val="21"/>
          <w:szCs w:val="21"/>
        </w:rPr>
        <w:fldChar w:fldCharType="end"/>
      </w:r>
      <w:r>
        <w:rPr>
          <w:rFonts w:ascii="Arial" w:hAnsi="Arial" w:cs="Arial"/>
          <w:b/>
          <w:bCs/>
          <w:sz w:val="21"/>
          <w:szCs w:val="21"/>
        </w:rPr>
        <w:t xml:space="preserve"> Carotid ultrasound shows a trend of improvement in vascular structural parameters after HSYA treatment.</w:t>
      </w:r>
    </w:p>
    <w:p w14:paraId="77C3D4F5" w14:textId="4F950D6F" w:rsidR="007B5BB8" w:rsidRDefault="00000000">
      <w:pPr>
        <w:spacing w:line="480" w:lineRule="auto"/>
        <w:ind w:firstLineChars="200" w:firstLine="420"/>
        <w:jc w:val="both"/>
        <w:rPr>
          <w:rFonts w:eastAsia="宋体" w:cs="Times New Roman"/>
          <w:sz w:val="21"/>
          <w:szCs w:val="21"/>
          <w:lang w:eastAsia="zh-CN"/>
        </w:rPr>
      </w:pPr>
      <w:r>
        <w:rPr>
          <w:rFonts w:eastAsia="宋体" w:cs="Times New Roman"/>
          <w:sz w:val="21"/>
          <w:szCs w:val="21"/>
          <w:lang w:eastAsia="zh-CN"/>
        </w:rPr>
        <w:t xml:space="preserve">Long-term </w:t>
      </w:r>
      <w:r>
        <w:rPr>
          <w:rFonts w:eastAsia="宋体" w:cs="Times New Roman" w:hint="eastAsia"/>
          <w:sz w:val="21"/>
          <w:szCs w:val="21"/>
          <w:lang w:eastAsia="zh-CN"/>
        </w:rPr>
        <w:t>HFD</w:t>
      </w:r>
      <w:r>
        <w:rPr>
          <w:rFonts w:eastAsia="宋体" w:cs="Times New Roman"/>
          <w:sz w:val="21"/>
          <w:szCs w:val="21"/>
          <w:lang w:eastAsia="zh-CN"/>
        </w:rPr>
        <w:t xml:space="preserve"> can induce atherosclerotic changes, leading to hemodynamic abnormalities in the carotid artery. As shown in </w:t>
      </w:r>
      <w:r w:rsidR="005F7472" w:rsidRPr="005F7472">
        <w:rPr>
          <w:rFonts w:eastAsia="宋体" w:cs="Times New Roman"/>
          <w:sz w:val="21"/>
          <w:szCs w:val="21"/>
          <w:lang w:eastAsia="zh-CN"/>
        </w:rPr>
        <w:fldChar w:fldCharType="begin"/>
      </w:r>
      <w:r w:rsidR="005F7472" w:rsidRPr="005F7472">
        <w:rPr>
          <w:rFonts w:eastAsia="宋体" w:cs="Times New Roman"/>
          <w:sz w:val="21"/>
          <w:szCs w:val="21"/>
          <w:lang w:eastAsia="zh-CN"/>
        </w:rPr>
        <w:instrText xml:space="preserve"> </w:instrText>
      </w:r>
      <w:r w:rsidR="005F7472" w:rsidRPr="005F7472">
        <w:rPr>
          <w:rFonts w:eastAsia="宋体" w:cs="Times New Roman" w:hint="eastAsia"/>
          <w:sz w:val="21"/>
          <w:szCs w:val="21"/>
          <w:lang w:eastAsia="zh-CN"/>
        </w:rPr>
        <w:instrText>REF _Ref228267272 \h</w:instrText>
      </w:r>
      <w:r w:rsidR="005F7472" w:rsidRPr="005F7472">
        <w:rPr>
          <w:rFonts w:eastAsia="宋体" w:cs="Times New Roman"/>
          <w:sz w:val="21"/>
          <w:szCs w:val="21"/>
          <w:lang w:eastAsia="zh-CN"/>
        </w:rPr>
        <w:instrText xml:space="preserve">  \* MERGEFORMAT </w:instrText>
      </w:r>
      <w:r w:rsidR="005F7472" w:rsidRPr="005F7472">
        <w:rPr>
          <w:rFonts w:eastAsia="宋体" w:cs="Times New Roman"/>
          <w:sz w:val="21"/>
          <w:szCs w:val="21"/>
          <w:lang w:eastAsia="zh-CN"/>
        </w:rPr>
      </w:r>
      <w:r w:rsidR="005F7472" w:rsidRPr="005F7472">
        <w:rPr>
          <w:rFonts w:eastAsia="宋体" w:cs="Times New Roman"/>
          <w:sz w:val="21"/>
          <w:szCs w:val="21"/>
          <w:lang w:eastAsia="zh-CN"/>
        </w:rPr>
        <w:fldChar w:fldCharType="separate"/>
      </w:r>
      <w:r w:rsidR="005F7472" w:rsidRPr="005F7472">
        <w:rPr>
          <w:rFonts w:eastAsia="宋体" w:cs="Times New Roman"/>
          <w:sz w:val="21"/>
          <w:szCs w:val="21"/>
          <w:lang w:eastAsia="zh-CN"/>
        </w:rPr>
        <w:t>Fig</w:t>
      </w:r>
      <w:r w:rsidR="005F7472" w:rsidRPr="005F7472">
        <w:rPr>
          <w:rFonts w:eastAsia="宋体" w:cs="Times New Roman"/>
          <w:sz w:val="21"/>
          <w:szCs w:val="21"/>
          <w:lang w:eastAsia="zh-CN"/>
        </w:rPr>
        <w:t>.</w:t>
      </w:r>
      <w:r w:rsidR="005F7472" w:rsidRPr="005F7472">
        <w:rPr>
          <w:rFonts w:eastAsia="宋体" w:cs="Times New Roman"/>
          <w:sz w:val="21"/>
          <w:szCs w:val="21"/>
          <w:lang w:eastAsia="zh-CN"/>
        </w:rPr>
        <w:t xml:space="preserve"> s1</w:t>
      </w:r>
      <w:r w:rsidR="005F7472" w:rsidRPr="005F7472">
        <w:rPr>
          <w:rFonts w:eastAsia="宋体" w:cs="Times New Roman"/>
          <w:sz w:val="21"/>
          <w:szCs w:val="21"/>
          <w:lang w:eastAsia="zh-CN"/>
        </w:rPr>
        <w:fldChar w:fldCharType="end"/>
      </w:r>
      <w:r>
        <w:rPr>
          <w:rFonts w:eastAsia="宋体" w:cs="Times New Roman"/>
          <w:sz w:val="21"/>
          <w:szCs w:val="21"/>
          <w:lang w:eastAsia="zh-CN"/>
        </w:rPr>
        <w:t xml:space="preserve">, compared with the normal control group, animals on a long-term high-fat diet exhibited a significantly reduced carotid artery blood flow velocity. Color Doppler ultrasound of the carotid artery in the model </w:t>
      </w:r>
      <w:r>
        <w:rPr>
          <w:rFonts w:eastAsia="宋体" w:cs="Times New Roman"/>
          <w:sz w:val="21"/>
          <w:szCs w:val="21"/>
          <w:lang w:eastAsia="zh-CN"/>
        </w:rPr>
        <w:lastRenderedPageBreak/>
        <w:t>control (MC) group revealed markedly decreased blood flow velocity and a filling defect in the color flow signal, indicating insufficient local perfusion. However, there was no obvious thickening of the intima-media layer within the vessel lumen, nor were any distinct abnormal echoes (such as plaque or thrombus formation) detected. Following HSYA treatment, the above hemodynamic parameters improved significantly, as manifested by an increased carotid artery blood flow velocity, reduced filling defect of the color flow signal, and a more uniform distribution of blood flow. These results suggest that HSYA may, to some extent, alleviate the reduction in carotid artery flow velocity induced by a high-fat diet, possibly by improving vasomotor function or rheological properties of blood flow, thereby exerting a potential protective effect on vascular hemodynamics.</w:t>
      </w:r>
    </w:p>
    <w:tbl>
      <w:tblPr>
        <w:tblStyle w:val="af9"/>
        <w:tblW w:w="5000" w:type="pct"/>
        <w:tblLook w:val="04A0" w:firstRow="1" w:lastRow="0" w:firstColumn="1" w:lastColumn="0" w:noHBand="0" w:noVBand="1"/>
      </w:tblPr>
      <w:tblGrid>
        <w:gridCol w:w="9767"/>
      </w:tblGrid>
      <w:tr w:rsidR="007B5BB8" w14:paraId="36388F0B" w14:textId="77777777">
        <w:tc>
          <w:tcPr>
            <w:tcW w:w="5000" w:type="pct"/>
          </w:tcPr>
          <w:p w14:paraId="2ECDB284" w14:textId="77777777" w:rsidR="007B5BB8" w:rsidRDefault="00000000">
            <w:pPr>
              <w:keepNext/>
              <w:spacing w:line="360" w:lineRule="auto"/>
              <w:jc w:val="center"/>
            </w:pPr>
            <w:r>
              <w:rPr>
                <w:rFonts w:cs="Times New Roman"/>
                <w:b/>
                <w:bCs/>
                <w:noProof/>
                <w:lang w:eastAsia="zh-CN"/>
              </w:rPr>
              <w:drawing>
                <wp:inline distT="0" distB="0" distL="0" distR="0" wp14:anchorId="3EA72050" wp14:editId="2C8F6E70">
                  <wp:extent cx="5784850" cy="2023745"/>
                  <wp:effectExtent l="0" t="0" r="6350" b="0"/>
                  <wp:docPr id="12127230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23057"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85104" cy="2023872"/>
                          </a:xfrm>
                          <a:prstGeom prst="rect">
                            <a:avLst/>
                          </a:prstGeom>
                        </pic:spPr>
                      </pic:pic>
                    </a:graphicData>
                  </a:graphic>
                </wp:inline>
              </w:drawing>
            </w:r>
          </w:p>
          <w:p w14:paraId="24464101" w14:textId="77777777" w:rsidR="007B5BB8" w:rsidRDefault="00000000">
            <w:pPr>
              <w:pStyle w:val="a4"/>
              <w:jc w:val="both"/>
              <w:rPr>
                <w:rFonts w:ascii="Arial" w:hAnsi="Arial" w:cs="Arial"/>
                <w:b w:val="0"/>
                <w:bCs w:val="0"/>
                <w:sz w:val="21"/>
                <w:szCs w:val="21"/>
                <w:lang w:eastAsia="zh-CN"/>
              </w:rPr>
            </w:pPr>
            <w:bookmarkStart w:id="0" w:name="_Ref228267272"/>
            <w:r>
              <w:rPr>
                <w:rFonts w:ascii="Arial" w:hAnsi="Arial" w:cs="Arial"/>
                <w:sz w:val="21"/>
                <w:szCs w:val="21"/>
              </w:rPr>
              <w:t>Fig. s</w:t>
            </w:r>
            <w:r>
              <w:rPr>
                <w:rFonts w:ascii="Arial" w:hAnsi="Arial" w:cs="Arial"/>
                <w:sz w:val="21"/>
                <w:szCs w:val="21"/>
              </w:rPr>
              <w:fldChar w:fldCharType="begin"/>
            </w:r>
            <w:r>
              <w:rPr>
                <w:rFonts w:ascii="Arial" w:hAnsi="Arial" w:cs="Arial"/>
                <w:sz w:val="21"/>
                <w:szCs w:val="21"/>
              </w:rPr>
              <w:instrText xml:space="preserve"> SEQ Fig._s \* ARABIC </w:instrText>
            </w:r>
            <w:r>
              <w:rPr>
                <w:rFonts w:ascii="Arial" w:hAnsi="Arial" w:cs="Arial"/>
                <w:sz w:val="21"/>
                <w:szCs w:val="21"/>
              </w:rPr>
              <w:fldChar w:fldCharType="separate"/>
            </w:r>
            <w:r>
              <w:rPr>
                <w:rFonts w:ascii="Arial" w:hAnsi="Arial" w:cs="Arial"/>
                <w:sz w:val="21"/>
                <w:szCs w:val="21"/>
              </w:rPr>
              <w:t>1</w:t>
            </w:r>
            <w:r>
              <w:rPr>
                <w:rFonts w:ascii="Arial" w:hAnsi="Arial" w:cs="Arial"/>
                <w:sz w:val="21"/>
                <w:szCs w:val="21"/>
              </w:rPr>
              <w:fldChar w:fldCharType="end"/>
            </w:r>
            <w:bookmarkEnd w:id="0"/>
            <w:r>
              <w:t xml:space="preserve"> </w:t>
            </w:r>
            <w:r>
              <w:rPr>
                <w:rFonts w:ascii="Arial" w:hAnsi="Arial" w:cs="Arial"/>
                <w:b w:val="0"/>
                <w:bCs w:val="0"/>
                <w:sz w:val="21"/>
                <w:szCs w:val="21"/>
              </w:rPr>
              <w:t>Carotid ultrasound shows a trend of improvement in vascular structural parameters after HSYA treatment.</w:t>
            </w:r>
          </w:p>
        </w:tc>
      </w:tr>
    </w:tbl>
    <w:p w14:paraId="4148F1E2" w14:textId="77777777" w:rsidR="00D70A49" w:rsidRPr="00D70A49" w:rsidRDefault="00D70A49">
      <w:pPr>
        <w:spacing w:line="360" w:lineRule="auto"/>
        <w:rPr>
          <w:rFonts w:eastAsiaTheme="minorEastAsia" w:cs="Times New Roman"/>
          <w:b/>
          <w:bCs/>
          <w:lang w:eastAsia="zh-CN"/>
        </w:rPr>
      </w:pPr>
    </w:p>
    <w:p w14:paraId="1827315F" w14:textId="77777777" w:rsidR="007B5BB8" w:rsidRDefault="00000000">
      <w:pPr>
        <w:pStyle w:val="a4"/>
        <w:rPr>
          <w:rFonts w:ascii="Arial" w:hAnsi="Arial" w:cs="Arial"/>
          <w:sz w:val="21"/>
          <w:szCs w:val="21"/>
        </w:rPr>
      </w:pPr>
      <w:r>
        <w:rPr>
          <w:rFonts w:ascii="Arial" w:hAnsi="Arial" w:cs="Arial"/>
          <w:sz w:val="21"/>
          <w:szCs w:val="21"/>
        </w:rPr>
        <w:t>Table. S</w:t>
      </w:r>
      <w:r>
        <w:rPr>
          <w:rFonts w:ascii="Arial" w:hAnsi="Arial" w:cs="Arial"/>
          <w:sz w:val="21"/>
          <w:szCs w:val="21"/>
        </w:rPr>
        <w:fldChar w:fldCharType="begin"/>
      </w:r>
      <w:r>
        <w:rPr>
          <w:rFonts w:ascii="Arial" w:hAnsi="Arial" w:cs="Arial"/>
          <w:sz w:val="21"/>
          <w:szCs w:val="21"/>
        </w:rPr>
        <w:instrText xml:space="preserve"> SEQ Table._S \* ARABIC </w:instrText>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r>
        <w:rPr>
          <w:rFonts w:ascii="Arial" w:hAnsi="Arial" w:cs="Arial"/>
          <w:sz w:val="21"/>
          <w:szCs w:val="21"/>
        </w:rPr>
        <w:t xml:space="preserve"> Explanation of parameter range for drug toxicity evaluation.</w:t>
      </w:r>
    </w:p>
    <w:tbl>
      <w:tblPr>
        <w:tblStyle w:val="af9"/>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60"/>
        <w:gridCol w:w="3258"/>
      </w:tblGrid>
      <w:tr w:rsidR="007B5BB8" w14:paraId="34C6C522" w14:textId="77777777" w:rsidTr="00D70A49">
        <w:trPr>
          <w:jc w:val="center"/>
        </w:trPr>
        <w:tc>
          <w:tcPr>
            <w:tcW w:w="1667" w:type="pct"/>
            <w:tcBorders>
              <w:top w:val="single" w:sz="12" w:space="0" w:color="auto"/>
              <w:bottom w:val="single" w:sz="4" w:space="0" w:color="auto"/>
            </w:tcBorders>
            <w:vAlign w:val="center"/>
          </w:tcPr>
          <w:p w14:paraId="329DB74B"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Parameter</w:t>
            </w:r>
          </w:p>
        </w:tc>
        <w:tc>
          <w:tcPr>
            <w:tcW w:w="1667" w:type="pct"/>
            <w:tcBorders>
              <w:top w:val="single" w:sz="12" w:space="0" w:color="auto"/>
              <w:bottom w:val="single" w:sz="4" w:space="0" w:color="auto"/>
            </w:tcBorders>
            <w:vAlign w:val="center"/>
          </w:tcPr>
          <w:p w14:paraId="678D9169"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Definition</w:t>
            </w:r>
          </w:p>
        </w:tc>
        <w:tc>
          <w:tcPr>
            <w:tcW w:w="1666" w:type="pct"/>
            <w:tcBorders>
              <w:top w:val="single" w:sz="12" w:space="0" w:color="auto"/>
              <w:bottom w:val="single" w:sz="4" w:space="0" w:color="auto"/>
            </w:tcBorders>
            <w:vAlign w:val="center"/>
          </w:tcPr>
          <w:p w14:paraId="3D1048D4"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Range and interpretation</w:t>
            </w:r>
          </w:p>
        </w:tc>
      </w:tr>
      <w:tr w:rsidR="007B5BB8" w14:paraId="690B6B00" w14:textId="77777777" w:rsidTr="00D70A49">
        <w:trPr>
          <w:jc w:val="center"/>
        </w:trPr>
        <w:tc>
          <w:tcPr>
            <w:tcW w:w="1667" w:type="pct"/>
            <w:vMerge w:val="restart"/>
            <w:tcBorders>
              <w:top w:val="single" w:sz="4" w:space="0" w:color="auto"/>
            </w:tcBorders>
            <w:vAlign w:val="center"/>
          </w:tcPr>
          <w:p w14:paraId="48857434"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Carcinogenicity</w:t>
            </w:r>
          </w:p>
        </w:tc>
        <w:tc>
          <w:tcPr>
            <w:tcW w:w="1667" w:type="pct"/>
            <w:vMerge w:val="restart"/>
            <w:tcBorders>
              <w:top w:val="single" w:sz="4" w:space="0" w:color="auto"/>
            </w:tcBorders>
            <w:vAlign w:val="center"/>
          </w:tcPr>
          <w:p w14:paraId="42C7DA57"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Potential risk of cancer induction caused by the compound</w:t>
            </w:r>
          </w:p>
        </w:tc>
        <w:tc>
          <w:tcPr>
            <w:tcW w:w="1666" w:type="pct"/>
            <w:tcBorders>
              <w:top w:val="single" w:sz="4" w:space="0" w:color="auto"/>
            </w:tcBorders>
            <w:vAlign w:val="center"/>
          </w:tcPr>
          <w:p w14:paraId="08100138"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&lt;0.3: Low risk</w:t>
            </w:r>
          </w:p>
        </w:tc>
      </w:tr>
      <w:tr w:rsidR="007B5BB8" w14:paraId="4DA6B68C" w14:textId="77777777" w:rsidTr="00D70A49">
        <w:trPr>
          <w:jc w:val="center"/>
        </w:trPr>
        <w:tc>
          <w:tcPr>
            <w:tcW w:w="1667" w:type="pct"/>
            <w:vMerge/>
            <w:vAlign w:val="center"/>
          </w:tcPr>
          <w:p w14:paraId="7614DEE6" w14:textId="77777777" w:rsidR="007B5BB8" w:rsidRDefault="007B5BB8">
            <w:pPr>
              <w:jc w:val="center"/>
              <w:rPr>
                <w:rFonts w:eastAsia="宋体" w:cs="Times New Roman"/>
                <w:sz w:val="21"/>
                <w:szCs w:val="21"/>
                <w:lang w:eastAsia="zh-CN"/>
              </w:rPr>
            </w:pPr>
          </w:p>
        </w:tc>
        <w:tc>
          <w:tcPr>
            <w:tcW w:w="1667" w:type="pct"/>
            <w:vMerge/>
            <w:vAlign w:val="center"/>
          </w:tcPr>
          <w:p w14:paraId="19B82015" w14:textId="77777777" w:rsidR="007B5BB8" w:rsidRDefault="007B5BB8">
            <w:pPr>
              <w:jc w:val="center"/>
              <w:rPr>
                <w:rFonts w:eastAsia="宋体" w:cs="Times New Roman"/>
                <w:sz w:val="21"/>
                <w:szCs w:val="21"/>
                <w:lang w:eastAsia="zh-CN"/>
              </w:rPr>
            </w:pPr>
          </w:p>
        </w:tc>
        <w:tc>
          <w:tcPr>
            <w:tcW w:w="1666" w:type="pct"/>
            <w:vAlign w:val="center"/>
          </w:tcPr>
          <w:p w14:paraId="47B3894A"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0.3–0.7: Moderate risk</w:t>
            </w:r>
          </w:p>
        </w:tc>
      </w:tr>
      <w:tr w:rsidR="007B5BB8" w14:paraId="4D155ACB" w14:textId="77777777" w:rsidTr="00D70A49">
        <w:trPr>
          <w:jc w:val="center"/>
        </w:trPr>
        <w:tc>
          <w:tcPr>
            <w:tcW w:w="1667" w:type="pct"/>
            <w:vMerge/>
            <w:vAlign w:val="center"/>
          </w:tcPr>
          <w:p w14:paraId="0FB5EA76" w14:textId="77777777" w:rsidR="007B5BB8" w:rsidRDefault="007B5BB8">
            <w:pPr>
              <w:jc w:val="center"/>
              <w:rPr>
                <w:rFonts w:eastAsia="宋体" w:cs="Times New Roman"/>
                <w:sz w:val="21"/>
                <w:szCs w:val="21"/>
                <w:lang w:eastAsia="zh-CN"/>
              </w:rPr>
            </w:pPr>
          </w:p>
        </w:tc>
        <w:tc>
          <w:tcPr>
            <w:tcW w:w="1667" w:type="pct"/>
            <w:vMerge/>
            <w:vAlign w:val="center"/>
          </w:tcPr>
          <w:p w14:paraId="50F05CED" w14:textId="77777777" w:rsidR="007B5BB8" w:rsidRDefault="007B5BB8">
            <w:pPr>
              <w:jc w:val="center"/>
              <w:rPr>
                <w:rFonts w:eastAsia="宋体" w:cs="Times New Roman"/>
                <w:sz w:val="21"/>
                <w:szCs w:val="21"/>
                <w:lang w:eastAsia="zh-CN"/>
              </w:rPr>
            </w:pPr>
          </w:p>
        </w:tc>
        <w:tc>
          <w:tcPr>
            <w:tcW w:w="1666" w:type="pct"/>
            <w:vAlign w:val="center"/>
          </w:tcPr>
          <w:p w14:paraId="3029C272"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&gt;0.7: High risk</w:t>
            </w:r>
          </w:p>
        </w:tc>
      </w:tr>
    </w:tbl>
    <w:p w14:paraId="321C33AC" w14:textId="77777777" w:rsidR="00D70A49" w:rsidRDefault="00D70A49" w:rsidP="00D70A49">
      <w:pPr>
        <w:pStyle w:val="a4"/>
        <w:rPr>
          <w:rFonts w:ascii="Arial" w:hAnsi="Arial" w:cs="Arial"/>
          <w:sz w:val="21"/>
          <w:szCs w:val="21"/>
        </w:rPr>
      </w:pPr>
      <w:r>
        <w:br w:type="column"/>
      </w:r>
      <w:r w:rsidRPr="00D70A49">
        <w:rPr>
          <w:rFonts w:ascii="Arial" w:hAnsi="Arial" w:cs="Arial"/>
          <w:sz w:val="21"/>
          <w:szCs w:val="21"/>
        </w:rPr>
        <w:lastRenderedPageBreak/>
        <w:t>Continued</w:t>
      </w:r>
      <w:r w:rsidRPr="00D70A49">
        <w:t xml:space="preserve"> </w:t>
      </w:r>
      <w:r>
        <w:rPr>
          <w:rFonts w:ascii="Arial" w:hAnsi="Arial" w:cs="Arial"/>
          <w:sz w:val="21"/>
          <w:szCs w:val="21"/>
        </w:rPr>
        <w:t>Table. S</w:t>
      </w:r>
      <w:r>
        <w:rPr>
          <w:rFonts w:ascii="Arial" w:hAnsi="Arial" w:cs="Arial"/>
          <w:sz w:val="21"/>
          <w:szCs w:val="21"/>
        </w:rPr>
        <w:fldChar w:fldCharType="begin"/>
      </w:r>
      <w:r>
        <w:rPr>
          <w:rFonts w:ascii="Arial" w:hAnsi="Arial" w:cs="Arial"/>
          <w:sz w:val="21"/>
          <w:szCs w:val="21"/>
        </w:rPr>
        <w:instrText xml:space="preserve"> SEQ Table._S \* ARABIC </w:instrText>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r>
        <w:rPr>
          <w:rFonts w:ascii="Arial" w:hAnsi="Arial" w:cs="Arial"/>
          <w:sz w:val="21"/>
          <w:szCs w:val="21"/>
        </w:rPr>
        <w:t xml:space="preserve"> Explanation of parameter range for drug toxicity evaluation.</w:t>
      </w:r>
    </w:p>
    <w:tbl>
      <w:tblPr>
        <w:tblStyle w:val="af9"/>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60"/>
        <w:gridCol w:w="3258"/>
      </w:tblGrid>
      <w:tr w:rsidR="00D70A49" w14:paraId="69BB97F9" w14:textId="77777777" w:rsidTr="00D70A49">
        <w:tc>
          <w:tcPr>
            <w:tcW w:w="1667" w:type="pct"/>
            <w:tcBorders>
              <w:top w:val="single" w:sz="12" w:space="0" w:color="auto"/>
              <w:bottom w:val="single" w:sz="6" w:space="0" w:color="auto"/>
            </w:tcBorders>
          </w:tcPr>
          <w:p w14:paraId="63C93F7A" w14:textId="77777777" w:rsidR="00D70A49" w:rsidRDefault="00D70A49" w:rsidP="002544F8">
            <w:pPr>
              <w:jc w:val="center"/>
              <w:rPr>
                <w:rFonts w:eastAsia="宋体" w:cs="Times New Roman"/>
                <w:sz w:val="21"/>
                <w:szCs w:val="21"/>
                <w:lang w:eastAsia="zh-CN"/>
              </w:rPr>
            </w:pPr>
            <w:r>
              <w:rPr>
                <w:rFonts w:eastAsia="宋体" w:cs="Times New Roman"/>
                <w:sz w:val="21"/>
                <w:szCs w:val="21"/>
                <w:lang w:eastAsia="zh-CN"/>
              </w:rPr>
              <w:t>Parameter</w:t>
            </w:r>
          </w:p>
        </w:tc>
        <w:tc>
          <w:tcPr>
            <w:tcW w:w="1667" w:type="pct"/>
            <w:tcBorders>
              <w:top w:val="single" w:sz="12" w:space="0" w:color="auto"/>
              <w:bottom w:val="single" w:sz="6" w:space="0" w:color="auto"/>
            </w:tcBorders>
          </w:tcPr>
          <w:p w14:paraId="3A9526CE" w14:textId="77777777" w:rsidR="00D70A49" w:rsidRDefault="00D70A49" w:rsidP="002544F8">
            <w:pPr>
              <w:jc w:val="center"/>
              <w:rPr>
                <w:rFonts w:eastAsia="宋体" w:cs="Times New Roman"/>
                <w:sz w:val="21"/>
                <w:szCs w:val="21"/>
                <w:lang w:eastAsia="zh-CN"/>
              </w:rPr>
            </w:pPr>
            <w:r>
              <w:rPr>
                <w:rFonts w:eastAsia="宋体" w:cs="Times New Roman"/>
                <w:sz w:val="21"/>
                <w:szCs w:val="21"/>
                <w:lang w:eastAsia="zh-CN"/>
              </w:rPr>
              <w:t>Definition</w:t>
            </w:r>
          </w:p>
        </w:tc>
        <w:tc>
          <w:tcPr>
            <w:tcW w:w="1666" w:type="pct"/>
            <w:tcBorders>
              <w:top w:val="single" w:sz="12" w:space="0" w:color="auto"/>
              <w:bottom w:val="single" w:sz="6" w:space="0" w:color="auto"/>
            </w:tcBorders>
          </w:tcPr>
          <w:p w14:paraId="06FE6D81" w14:textId="77777777" w:rsidR="00D70A49" w:rsidRDefault="00D70A49" w:rsidP="002544F8">
            <w:pPr>
              <w:jc w:val="center"/>
              <w:rPr>
                <w:rFonts w:eastAsia="宋体" w:cs="Times New Roman"/>
                <w:sz w:val="21"/>
                <w:szCs w:val="21"/>
                <w:lang w:eastAsia="zh-CN"/>
              </w:rPr>
            </w:pPr>
            <w:r>
              <w:rPr>
                <w:rFonts w:eastAsia="宋体" w:cs="Times New Roman"/>
                <w:sz w:val="21"/>
                <w:szCs w:val="21"/>
                <w:lang w:eastAsia="zh-CN"/>
              </w:rPr>
              <w:t>Range and interpretation</w:t>
            </w:r>
          </w:p>
        </w:tc>
      </w:tr>
      <w:tr w:rsidR="007B5BB8" w14:paraId="698FB13C" w14:textId="77777777" w:rsidTr="00D70A49">
        <w:tblPrEx>
          <w:jc w:val="center"/>
        </w:tblPrEx>
        <w:trPr>
          <w:jc w:val="center"/>
        </w:trPr>
        <w:tc>
          <w:tcPr>
            <w:tcW w:w="1667" w:type="pct"/>
            <w:vMerge w:val="restart"/>
            <w:tcBorders>
              <w:top w:val="single" w:sz="6" w:space="0" w:color="auto"/>
            </w:tcBorders>
            <w:vAlign w:val="center"/>
          </w:tcPr>
          <w:p w14:paraId="4748ED3F" w14:textId="77777777" w:rsidR="007B5BB8" w:rsidRDefault="00000000">
            <w:pPr>
              <w:jc w:val="center"/>
              <w:rPr>
                <w:rFonts w:eastAsia="宋体" w:cs="Times New Roman"/>
                <w:sz w:val="21"/>
                <w:szCs w:val="21"/>
                <w:lang w:eastAsia="zh-CN"/>
              </w:rPr>
            </w:pPr>
            <w:proofErr w:type="spellStart"/>
            <w:r>
              <w:rPr>
                <w:rFonts w:eastAsia="宋体" w:cs="Times New Roman"/>
                <w:sz w:val="21"/>
                <w:szCs w:val="21"/>
                <w:lang w:eastAsia="zh-CN"/>
              </w:rPr>
              <w:t>hERG</w:t>
            </w:r>
            <w:proofErr w:type="spellEnd"/>
            <w:r>
              <w:rPr>
                <w:rFonts w:eastAsia="宋体" w:cs="Times New Roman"/>
                <w:sz w:val="21"/>
                <w:szCs w:val="21"/>
                <w:lang w:eastAsia="zh-CN"/>
              </w:rPr>
              <w:t xml:space="preserve"> Inhibition</w:t>
            </w:r>
          </w:p>
        </w:tc>
        <w:tc>
          <w:tcPr>
            <w:tcW w:w="1667" w:type="pct"/>
            <w:vMerge w:val="restart"/>
            <w:tcBorders>
              <w:top w:val="single" w:sz="6" w:space="0" w:color="auto"/>
            </w:tcBorders>
            <w:vAlign w:val="center"/>
          </w:tcPr>
          <w:p w14:paraId="61DD9ABC" w14:textId="766D49B4" w:rsidR="007B5BB8" w:rsidRDefault="00000000" w:rsidP="00D70A49">
            <w:pPr>
              <w:jc w:val="center"/>
              <w:rPr>
                <w:rFonts w:eastAsia="宋体" w:cs="Times New Roman"/>
                <w:sz w:val="21"/>
                <w:szCs w:val="21"/>
                <w:lang w:eastAsia="zh-CN"/>
              </w:rPr>
            </w:pPr>
            <w:r>
              <w:rPr>
                <w:rFonts w:eastAsia="宋体" w:cs="Times New Roman"/>
                <w:sz w:val="21"/>
                <w:szCs w:val="21"/>
                <w:lang w:eastAsia="zh-CN"/>
              </w:rPr>
              <w:t xml:space="preserve">Cardiotoxicity risk due to inhibition of the </w:t>
            </w:r>
            <w:proofErr w:type="spellStart"/>
            <w:r>
              <w:rPr>
                <w:rFonts w:eastAsia="宋体" w:cs="Times New Roman"/>
                <w:sz w:val="21"/>
                <w:szCs w:val="21"/>
                <w:lang w:eastAsia="zh-CN"/>
              </w:rPr>
              <w:t>hERG</w:t>
            </w:r>
            <w:proofErr w:type="spellEnd"/>
            <w:r>
              <w:rPr>
                <w:rFonts w:eastAsia="宋体" w:cs="Times New Roman"/>
                <w:sz w:val="21"/>
                <w:szCs w:val="21"/>
                <w:lang w:eastAsia="zh-CN"/>
              </w:rPr>
              <w:t xml:space="preserve"> potassium</w:t>
            </w:r>
            <w:r w:rsidR="00D70A49">
              <w:rPr>
                <w:rFonts w:eastAsia="宋体" w:cs="Times New Roman" w:hint="eastAsia"/>
                <w:sz w:val="21"/>
                <w:szCs w:val="21"/>
                <w:lang w:eastAsia="zh-CN"/>
              </w:rPr>
              <w:t xml:space="preserve"> </w:t>
            </w:r>
            <w:r>
              <w:rPr>
                <w:rFonts w:eastAsia="宋体" w:cs="Times New Roman"/>
                <w:sz w:val="21"/>
                <w:szCs w:val="21"/>
                <w:lang w:eastAsia="zh-CN"/>
              </w:rPr>
              <w:t>channel, which may cause QT prolongation and arrhythmias</w:t>
            </w:r>
          </w:p>
        </w:tc>
        <w:tc>
          <w:tcPr>
            <w:tcW w:w="1666" w:type="pct"/>
            <w:tcBorders>
              <w:top w:val="single" w:sz="6" w:space="0" w:color="auto"/>
            </w:tcBorders>
            <w:vAlign w:val="center"/>
          </w:tcPr>
          <w:p w14:paraId="0D86058D"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&lt;0.1: Low risk</w:t>
            </w:r>
          </w:p>
        </w:tc>
      </w:tr>
      <w:tr w:rsidR="007B5BB8" w14:paraId="6EE729A8" w14:textId="77777777" w:rsidTr="00D70A49">
        <w:tblPrEx>
          <w:jc w:val="center"/>
        </w:tblPrEx>
        <w:trPr>
          <w:jc w:val="center"/>
        </w:trPr>
        <w:tc>
          <w:tcPr>
            <w:tcW w:w="1667" w:type="pct"/>
            <w:vMerge/>
            <w:vAlign w:val="center"/>
          </w:tcPr>
          <w:p w14:paraId="488F41C8" w14:textId="77777777" w:rsidR="007B5BB8" w:rsidRDefault="007B5BB8">
            <w:pPr>
              <w:jc w:val="center"/>
              <w:rPr>
                <w:rFonts w:eastAsia="宋体" w:cs="Times New Roman"/>
                <w:sz w:val="21"/>
                <w:szCs w:val="21"/>
                <w:lang w:eastAsia="zh-CN"/>
              </w:rPr>
            </w:pPr>
          </w:p>
        </w:tc>
        <w:tc>
          <w:tcPr>
            <w:tcW w:w="1667" w:type="pct"/>
            <w:vMerge/>
            <w:vAlign w:val="center"/>
          </w:tcPr>
          <w:p w14:paraId="3ADB8094" w14:textId="77777777" w:rsidR="007B5BB8" w:rsidRDefault="007B5BB8">
            <w:pPr>
              <w:jc w:val="center"/>
              <w:rPr>
                <w:rFonts w:eastAsia="宋体" w:cs="Times New Roman"/>
                <w:sz w:val="21"/>
                <w:szCs w:val="21"/>
                <w:lang w:eastAsia="zh-CN"/>
              </w:rPr>
            </w:pPr>
          </w:p>
        </w:tc>
        <w:tc>
          <w:tcPr>
            <w:tcW w:w="1666" w:type="pct"/>
            <w:vAlign w:val="center"/>
          </w:tcPr>
          <w:p w14:paraId="11E08F53"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0.1–0.3: Moderate risk</w:t>
            </w:r>
          </w:p>
        </w:tc>
      </w:tr>
      <w:tr w:rsidR="007B5BB8" w14:paraId="754E3F03" w14:textId="77777777" w:rsidTr="00D70A49">
        <w:tblPrEx>
          <w:jc w:val="center"/>
        </w:tblPrEx>
        <w:trPr>
          <w:jc w:val="center"/>
        </w:trPr>
        <w:tc>
          <w:tcPr>
            <w:tcW w:w="1667" w:type="pct"/>
            <w:vMerge/>
            <w:vAlign w:val="center"/>
          </w:tcPr>
          <w:p w14:paraId="35360F50" w14:textId="77777777" w:rsidR="007B5BB8" w:rsidRDefault="007B5BB8">
            <w:pPr>
              <w:jc w:val="center"/>
              <w:rPr>
                <w:rFonts w:eastAsia="宋体" w:cs="Times New Roman"/>
                <w:sz w:val="21"/>
                <w:szCs w:val="21"/>
                <w:lang w:eastAsia="zh-CN"/>
              </w:rPr>
            </w:pPr>
          </w:p>
        </w:tc>
        <w:tc>
          <w:tcPr>
            <w:tcW w:w="1667" w:type="pct"/>
            <w:vMerge/>
            <w:vAlign w:val="center"/>
          </w:tcPr>
          <w:p w14:paraId="75F63E82" w14:textId="77777777" w:rsidR="007B5BB8" w:rsidRDefault="007B5BB8">
            <w:pPr>
              <w:jc w:val="center"/>
              <w:rPr>
                <w:rFonts w:eastAsia="宋体" w:cs="Times New Roman"/>
                <w:sz w:val="21"/>
                <w:szCs w:val="21"/>
                <w:lang w:eastAsia="zh-CN"/>
              </w:rPr>
            </w:pPr>
          </w:p>
        </w:tc>
        <w:tc>
          <w:tcPr>
            <w:tcW w:w="1666" w:type="pct"/>
            <w:vAlign w:val="center"/>
          </w:tcPr>
          <w:p w14:paraId="02C90840"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&gt;0.3: High risk</w:t>
            </w:r>
          </w:p>
        </w:tc>
      </w:tr>
      <w:tr w:rsidR="007B5BB8" w14:paraId="71C0DE4E" w14:textId="77777777" w:rsidTr="00D70A49">
        <w:tblPrEx>
          <w:jc w:val="center"/>
        </w:tblPrEx>
        <w:trPr>
          <w:jc w:val="center"/>
        </w:trPr>
        <w:tc>
          <w:tcPr>
            <w:tcW w:w="1667" w:type="pct"/>
            <w:vMerge w:val="restart"/>
            <w:vAlign w:val="center"/>
          </w:tcPr>
          <w:p w14:paraId="55D44609"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H-HT</w:t>
            </w:r>
          </w:p>
        </w:tc>
        <w:tc>
          <w:tcPr>
            <w:tcW w:w="1667" w:type="pct"/>
            <w:vMerge w:val="restart"/>
            <w:vAlign w:val="center"/>
          </w:tcPr>
          <w:p w14:paraId="4B8FA00F"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Human hepatotoxicity: likelihood of liver cell damage induced by</w:t>
            </w:r>
          </w:p>
          <w:p w14:paraId="5FFC42A7"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the compound</w:t>
            </w:r>
          </w:p>
        </w:tc>
        <w:tc>
          <w:tcPr>
            <w:tcW w:w="1666" w:type="pct"/>
            <w:vAlign w:val="center"/>
          </w:tcPr>
          <w:p w14:paraId="6B95ED63"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&lt;0.2: Low risk</w:t>
            </w:r>
          </w:p>
        </w:tc>
      </w:tr>
      <w:tr w:rsidR="007B5BB8" w14:paraId="43739E3A" w14:textId="77777777" w:rsidTr="00D70A49">
        <w:tblPrEx>
          <w:jc w:val="center"/>
        </w:tblPrEx>
        <w:trPr>
          <w:jc w:val="center"/>
        </w:trPr>
        <w:tc>
          <w:tcPr>
            <w:tcW w:w="1667" w:type="pct"/>
            <w:vMerge/>
            <w:vAlign w:val="center"/>
          </w:tcPr>
          <w:p w14:paraId="0F1D538B" w14:textId="77777777" w:rsidR="007B5BB8" w:rsidRDefault="007B5BB8">
            <w:pPr>
              <w:jc w:val="center"/>
              <w:rPr>
                <w:rFonts w:eastAsia="宋体" w:cs="Times New Roman"/>
                <w:sz w:val="21"/>
                <w:szCs w:val="21"/>
                <w:lang w:eastAsia="zh-CN"/>
              </w:rPr>
            </w:pPr>
          </w:p>
        </w:tc>
        <w:tc>
          <w:tcPr>
            <w:tcW w:w="1667" w:type="pct"/>
            <w:vMerge/>
            <w:vAlign w:val="center"/>
          </w:tcPr>
          <w:p w14:paraId="731AC30D" w14:textId="77777777" w:rsidR="007B5BB8" w:rsidRDefault="007B5BB8">
            <w:pPr>
              <w:jc w:val="center"/>
              <w:rPr>
                <w:rFonts w:eastAsia="宋体" w:cs="Times New Roman"/>
                <w:sz w:val="21"/>
                <w:szCs w:val="21"/>
                <w:lang w:eastAsia="zh-CN"/>
              </w:rPr>
            </w:pPr>
          </w:p>
        </w:tc>
        <w:tc>
          <w:tcPr>
            <w:tcW w:w="1666" w:type="pct"/>
            <w:vAlign w:val="center"/>
          </w:tcPr>
          <w:p w14:paraId="64B9B578"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0.2–0.5: Moderate risk</w:t>
            </w:r>
          </w:p>
        </w:tc>
      </w:tr>
      <w:tr w:rsidR="007B5BB8" w14:paraId="51F046B2" w14:textId="77777777" w:rsidTr="00D70A49">
        <w:tblPrEx>
          <w:jc w:val="center"/>
        </w:tblPrEx>
        <w:trPr>
          <w:jc w:val="center"/>
        </w:trPr>
        <w:tc>
          <w:tcPr>
            <w:tcW w:w="1667" w:type="pct"/>
            <w:vMerge/>
            <w:vAlign w:val="center"/>
          </w:tcPr>
          <w:p w14:paraId="4589E48C" w14:textId="77777777" w:rsidR="007B5BB8" w:rsidRDefault="007B5BB8">
            <w:pPr>
              <w:jc w:val="center"/>
              <w:rPr>
                <w:rFonts w:eastAsia="宋体" w:cs="Times New Roman"/>
                <w:sz w:val="21"/>
                <w:szCs w:val="21"/>
                <w:lang w:eastAsia="zh-CN"/>
              </w:rPr>
            </w:pPr>
          </w:p>
        </w:tc>
        <w:tc>
          <w:tcPr>
            <w:tcW w:w="1667" w:type="pct"/>
            <w:vMerge/>
            <w:vAlign w:val="center"/>
          </w:tcPr>
          <w:p w14:paraId="5611A1A7" w14:textId="77777777" w:rsidR="007B5BB8" w:rsidRDefault="007B5BB8">
            <w:pPr>
              <w:jc w:val="center"/>
              <w:rPr>
                <w:rFonts w:eastAsia="宋体" w:cs="Times New Roman"/>
                <w:sz w:val="21"/>
                <w:szCs w:val="21"/>
                <w:lang w:eastAsia="zh-CN"/>
              </w:rPr>
            </w:pPr>
          </w:p>
        </w:tc>
        <w:tc>
          <w:tcPr>
            <w:tcW w:w="1666" w:type="pct"/>
            <w:vAlign w:val="center"/>
          </w:tcPr>
          <w:p w14:paraId="7D7378DA"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&gt;0.5: High risk</w:t>
            </w:r>
          </w:p>
        </w:tc>
      </w:tr>
      <w:tr w:rsidR="007B5BB8" w14:paraId="57D199B0" w14:textId="77777777" w:rsidTr="00D70A49">
        <w:tblPrEx>
          <w:jc w:val="center"/>
        </w:tblPrEx>
        <w:trPr>
          <w:jc w:val="center"/>
        </w:trPr>
        <w:tc>
          <w:tcPr>
            <w:tcW w:w="1667" w:type="pct"/>
            <w:vMerge w:val="restart"/>
            <w:vAlign w:val="center"/>
          </w:tcPr>
          <w:p w14:paraId="09D4EC1D"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DILI</w:t>
            </w:r>
          </w:p>
        </w:tc>
        <w:tc>
          <w:tcPr>
            <w:tcW w:w="1667" w:type="pct"/>
            <w:vMerge w:val="restart"/>
            <w:vAlign w:val="center"/>
          </w:tcPr>
          <w:p w14:paraId="4872D905"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Drug-induced liver injury: prediction of clinically relevant</w:t>
            </w:r>
          </w:p>
          <w:p w14:paraId="78FC6F67"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hepatotoxicity</w:t>
            </w:r>
          </w:p>
        </w:tc>
        <w:tc>
          <w:tcPr>
            <w:tcW w:w="1666" w:type="pct"/>
            <w:vAlign w:val="center"/>
          </w:tcPr>
          <w:p w14:paraId="074AB36A"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&lt;0.1: Low risk</w:t>
            </w:r>
          </w:p>
        </w:tc>
      </w:tr>
      <w:tr w:rsidR="007B5BB8" w14:paraId="4279D832" w14:textId="77777777" w:rsidTr="00D70A49">
        <w:tblPrEx>
          <w:jc w:val="center"/>
        </w:tblPrEx>
        <w:trPr>
          <w:jc w:val="center"/>
        </w:trPr>
        <w:tc>
          <w:tcPr>
            <w:tcW w:w="1667" w:type="pct"/>
            <w:vMerge/>
            <w:vAlign w:val="center"/>
          </w:tcPr>
          <w:p w14:paraId="1F01C6E9" w14:textId="77777777" w:rsidR="007B5BB8" w:rsidRDefault="007B5BB8">
            <w:pPr>
              <w:jc w:val="center"/>
              <w:rPr>
                <w:rFonts w:eastAsia="宋体" w:cs="Times New Roman"/>
                <w:sz w:val="21"/>
                <w:szCs w:val="21"/>
                <w:lang w:eastAsia="zh-CN"/>
              </w:rPr>
            </w:pPr>
          </w:p>
        </w:tc>
        <w:tc>
          <w:tcPr>
            <w:tcW w:w="1667" w:type="pct"/>
            <w:vMerge/>
            <w:vAlign w:val="center"/>
          </w:tcPr>
          <w:p w14:paraId="2238A78C" w14:textId="77777777" w:rsidR="007B5BB8" w:rsidRDefault="007B5BB8">
            <w:pPr>
              <w:jc w:val="center"/>
              <w:rPr>
                <w:rFonts w:eastAsia="宋体" w:cs="Times New Roman"/>
                <w:sz w:val="21"/>
                <w:szCs w:val="21"/>
                <w:lang w:eastAsia="zh-CN"/>
              </w:rPr>
            </w:pPr>
          </w:p>
        </w:tc>
        <w:tc>
          <w:tcPr>
            <w:tcW w:w="1666" w:type="pct"/>
            <w:vAlign w:val="center"/>
          </w:tcPr>
          <w:p w14:paraId="72806399"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0.1–0.3: Moderate risk</w:t>
            </w:r>
          </w:p>
        </w:tc>
      </w:tr>
      <w:tr w:rsidR="007B5BB8" w14:paraId="7043F001" w14:textId="77777777" w:rsidTr="00D70A49">
        <w:tblPrEx>
          <w:jc w:val="center"/>
        </w:tblPrEx>
        <w:trPr>
          <w:jc w:val="center"/>
        </w:trPr>
        <w:tc>
          <w:tcPr>
            <w:tcW w:w="1667" w:type="pct"/>
            <w:vMerge/>
            <w:vAlign w:val="center"/>
          </w:tcPr>
          <w:p w14:paraId="5767DA7E" w14:textId="77777777" w:rsidR="007B5BB8" w:rsidRDefault="007B5BB8">
            <w:pPr>
              <w:jc w:val="center"/>
              <w:rPr>
                <w:rFonts w:eastAsia="宋体" w:cs="Times New Roman"/>
                <w:sz w:val="21"/>
                <w:szCs w:val="21"/>
                <w:lang w:eastAsia="zh-CN"/>
              </w:rPr>
            </w:pPr>
          </w:p>
        </w:tc>
        <w:tc>
          <w:tcPr>
            <w:tcW w:w="1667" w:type="pct"/>
            <w:vMerge/>
            <w:vAlign w:val="center"/>
          </w:tcPr>
          <w:p w14:paraId="4635F5EE" w14:textId="77777777" w:rsidR="007B5BB8" w:rsidRDefault="007B5BB8">
            <w:pPr>
              <w:jc w:val="center"/>
              <w:rPr>
                <w:rFonts w:eastAsia="宋体" w:cs="Times New Roman"/>
                <w:sz w:val="21"/>
                <w:szCs w:val="21"/>
                <w:lang w:eastAsia="zh-CN"/>
              </w:rPr>
            </w:pPr>
          </w:p>
        </w:tc>
        <w:tc>
          <w:tcPr>
            <w:tcW w:w="1666" w:type="pct"/>
            <w:vAlign w:val="center"/>
          </w:tcPr>
          <w:p w14:paraId="1F28835B"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&gt;0.3: High risk</w:t>
            </w:r>
          </w:p>
        </w:tc>
      </w:tr>
      <w:tr w:rsidR="007B5BB8" w14:paraId="318ED2D8" w14:textId="77777777" w:rsidTr="00D70A49">
        <w:tblPrEx>
          <w:jc w:val="center"/>
        </w:tblPrEx>
        <w:trPr>
          <w:jc w:val="center"/>
        </w:trPr>
        <w:tc>
          <w:tcPr>
            <w:tcW w:w="1667" w:type="pct"/>
            <w:vMerge w:val="restart"/>
            <w:vAlign w:val="center"/>
          </w:tcPr>
          <w:p w14:paraId="795B4E2C"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LD50_oral</w:t>
            </w:r>
          </w:p>
        </w:tc>
        <w:tc>
          <w:tcPr>
            <w:tcW w:w="1667" w:type="pct"/>
            <w:vMerge w:val="restart"/>
            <w:vAlign w:val="center"/>
          </w:tcPr>
          <w:p w14:paraId="3ED2D8E8"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Oral median lethal dose: estimated dose causing death in 50% of</w:t>
            </w:r>
          </w:p>
          <w:p w14:paraId="39D81DEA"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rodents (unit: mg/kg)</w:t>
            </w:r>
          </w:p>
        </w:tc>
        <w:tc>
          <w:tcPr>
            <w:tcW w:w="1666" w:type="pct"/>
            <w:vAlign w:val="center"/>
          </w:tcPr>
          <w:p w14:paraId="3300677C"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&gt;5,000: Practically non-toxic (category 5)</w:t>
            </w:r>
          </w:p>
        </w:tc>
      </w:tr>
      <w:tr w:rsidR="007B5BB8" w14:paraId="166F7157" w14:textId="77777777" w:rsidTr="00D70A49">
        <w:tblPrEx>
          <w:jc w:val="center"/>
        </w:tblPrEx>
        <w:trPr>
          <w:jc w:val="center"/>
        </w:trPr>
        <w:tc>
          <w:tcPr>
            <w:tcW w:w="1667" w:type="pct"/>
            <w:vMerge/>
            <w:vAlign w:val="center"/>
          </w:tcPr>
          <w:p w14:paraId="4F3B774B" w14:textId="77777777" w:rsidR="007B5BB8" w:rsidRDefault="007B5BB8">
            <w:pPr>
              <w:jc w:val="center"/>
              <w:rPr>
                <w:rFonts w:eastAsia="宋体" w:cs="Times New Roman"/>
                <w:sz w:val="21"/>
                <w:szCs w:val="21"/>
                <w:lang w:eastAsia="zh-CN"/>
              </w:rPr>
            </w:pPr>
          </w:p>
        </w:tc>
        <w:tc>
          <w:tcPr>
            <w:tcW w:w="1667" w:type="pct"/>
            <w:vMerge/>
            <w:vAlign w:val="center"/>
          </w:tcPr>
          <w:p w14:paraId="375C5562" w14:textId="77777777" w:rsidR="007B5BB8" w:rsidRDefault="007B5BB8">
            <w:pPr>
              <w:jc w:val="center"/>
              <w:rPr>
                <w:rFonts w:eastAsia="宋体" w:cs="Times New Roman"/>
                <w:sz w:val="21"/>
                <w:szCs w:val="21"/>
                <w:lang w:eastAsia="zh-CN"/>
              </w:rPr>
            </w:pPr>
          </w:p>
        </w:tc>
        <w:tc>
          <w:tcPr>
            <w:tcW w:w="1666" w:type="pct"/>
            <w:vAlign w:val="center"/>
          </w:tcPr>
          <w:p w14:paraId="6C4461F9"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300–2,000: Moderately toxic (category 3–4)</w:t>
            </w:r>
          </w:p>
        </w:tc>
      </w:tr>
      <w:tr w:rsidR="007B5BB8" w14:paraId="6ED44377" w14:textId="77777777" w:rsidTr="00D70A49">
        <w:tblPrEx>
          <w:jc w:val="center"/>
        </w:tblPrEx>
        <w:trPr>
          <w:jc w:val="center"/>
        </w:trPr>
        <w:tc>
          <w:tcPr>
            <w:tcW w:w="1667" w:type="pct"/>
            <w:vMerge/>
            <w:vAlign w:val="center"/>
          </w:tcPr>
          <w:p w14:paraId="4C5BCF07" w14:textId="77777777" w:rsidR="007B5BB8" w:rsidRDefault="007B5BB8">
            <w:pPr>
              <w:jc w:val="center"/>
              <w:rPr>
                <w:rFonts w:eastAsia="宋体" w:cs="Times New Roman"/>
                <w:sz w:val="21"/>
                <w:szCs w:val="21"/>
                <w:lang w:eastAsia="zh-CN"/>
              </w:rPr>
            </w:pPr>
          </w:p>
        </w:tc>
        <w:tc>
          <w:tcPr>
            <w:tcW w:w="1667" w:type="pct"/>
            <w:vMerge/>
            <w:vAlign w:val="center"/>
          </w:tcPr>
          <w:p w14:paraId="792210C3" w14:textId="77777777" w:rsidR="007B5BB8" w:rsidRDefault="007B5BB8">
            <w:pPr>
              <w:jc w:val="center"/>
              <w:rPr>
                <w:rFonts w:eastAsia="宋体" w:cs="Times New Roman"/>
                <w:sz w:val="21"/>
                <w:szCs w:val="21"/>
                <w:lang w:eastAsia="zh-CN"/>
              </w:rPr>
            </w:pPr>
          </w:p>
        </w:tc>
        <w:tc>
          <w:tcPr>
            <w:tcW w:w="1666" w:type="pct"/>
            <w:vAlign w:val="center"/>
          </w:tcPr>
          <w:p w14:paraId="2AEA0526" w14:textId="77777777" w:rsidR="007B5BB8" w:rsidRDefault="00000000">
            <w:pPr>
              <w:jc w:val="center"/>
              <w:rPr>
                <w:rFonts w:eastAsia="宋体" w:cs="Times New Roman"/>
                <w:sz w:val="21"/>
                <w:szCs w:val="21"/>
                <w:lang w:eastAsia="zh-CN"/>
              </w:rPr>
            </w:pPr>
            <w:r>
              <w:rPr>
                <w:rFonts w:eastAsia="宋体" w:cs="Times New Roman"/>
                <w:sz w:val="21"/>
                <w:szCs w:val="21"/>
                <w:lang w:eastAsia="zh-CN"/>
              </w:rPr>
              <w:t>&lt;50: Highly toxic (category 1)</w:t>
            </w:r>
          </w:p>
        </w:tc>
      </w:tr>
    </w:tbl>
    <w:p w14:paraId="602D2311" w14:textId="77777777" w:rsidR="007B5BB8" w:rsidRDefault="007B5BB8">
      <w:pPr>
        <w:spacing w:line="360" w:lineRule="auto"/>
      </w:pPr>
    </w:p>
    <w:sectPr w:rsidR="007B5BB8">
      <w:headerReference w:type="even" r:id="rId13"/>
      <w:headerReference w:type="first" r:id="rId14"/>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664C" w14:textId="77777777" w:rsidR="00EC539A" w:rsidRDefault="00EC539A">
      <w:pPr>
        <w:spacing w:before="0" w:after="0"/>
      </w:pPr>
      <w:r>
        <w:separator/>
      </w:r>
    </w:p>
  </w:endnote>
  <w:endnote w:type="continuationSeparator" w:id="0">
    <w:p w14:paraId="4A455E18" w14:textId="77777777" w:rsidR="00EC539A" w:rsidRDefault="00EC53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B495" w14:textId="77777777" w:rsidR="00EC539A" w:rsidRDefault="00EC539A">
      <w:pPr>
        <w:spacing w:before="0" w:after="0"/>
      </w:pPr>
      <w:r>
        <w:separator/>
      </w:r>
    </w:p>
  </w:footnote>
  <w:footnote w:type="continuationSeparator" w:id="0">
    <w:p w14:paraId="7F4C6F08" w14:textId="77777777" w:rsidR="00EC539A" w:rsidRDefault="00EC539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0AE4" w14:textId="77777777" w:rsidR="007B5BB8" w:rsidRDefault="00000000">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F8EF" w14:textId="77777777" w:rsidR="007B5BB8" w:rsidRDefault="00000000">
    <w:r>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1EC0601A"/>
    <w:lvl w:ilvl="0">
      <w:start w:val="1"/>
      <w:numFmt w:val="decimal"/>
      <w:pStyle w:val="1"/>
      <w:lvlText w:val="%1"/>
      <w:lvlJc w:val="left"/>
      <w:pPr>
        <w:tabs>
          <w:tab w:val="left" w:pos="567"/>
        </w:tabs>
        <w:ind w:left="567" w:hanging="567"/>
      </w:pPr>
      <w:rPr>
        <w:rFonts w:hint="default"/>
      </w:rPr>
    </w:lvl>
    <w:lvl w:ilvl="1">
      <w:start w:val="1"/>
      <w:numFmt w:val="decimal"/>
      <w:pStyle w:val="2"/>
      <w:lvlText w:val="%1.%2"/>
      <w:lvlJc w:val="left"/>
      <w:pPr>
        <w:tabs>
          <w:tab w:val="left" w:pos="567"/>
        </w:tabs>
        <w:ind w:left="567" w:hanging="567"/>
      </w:pPr>
      <w:rPr>
        <w:rFonts w:hint="default"/>
      </w:rPr>
    </w:lvl>
    <w:lvl w:ilvl="2">
      <w:start w:val="1"/>
      <w:numFmt w:val="decimal"/>
      <w:pStyle w:val="3"/>
      <w:lvlText w:val="%1.%2.%3"/>
      <w:lvlJc w:val="left"/>
      <w:pPr>
        <w:tabs>
          <w:tab w:val="left" w:pos="567"/>
        </w:tabs>
        <w:ind w:left="567" w:hanging="567"/>
      </w:pPr>
      <w:rPr>
        <w:rFonts w:hint="default"/>
      </w:rPr>
    </w:lvl>
    <w:lvl w:ilvl="3">
      <w:start w:val="1"/>
      <w:numFmt w:val="decimal"/>
      <w:pStyle w:val="4"/>
      <w:lvlText w:val="%1.%2.%3.%4"/>
      <w:lvlJc w:val="left"/>
      <w:pPr>
        <w:tabs>
          <w:tab w:val="left" w:pos="567"/>
        </w:tabs>
        <w:ind w:left="567" w:hanging="567"/>
      </w:pPr>
      <w:rPr>
        <w:rFonts w:hint="default"/>
      </w:rPr>
    </w:lvl>
    <w:lvl w:ilvl="4">
      <w:start w:val="1"/>
      <w:numFmt w:val="decimal"/>
      <w:pStyle w:val="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abstractNum w:abstractNumId="1" w15:restartNumberingAfterBreak="0">
    <w:nsid w:val="225305B5"/>
    <w:multiLevelType w:val="multilevel"/>
    <w:tmpl w:val="225305B5"/>
    <w:lvl w:ilvl="0">
      <w:start w:val="1"/>
      <w:numFmt w:val="bullet"/>
      <w:pStyle w:val="a"/>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066147745">
    <w:abstractNumId w:val="0"/>
  </w:num>
  <w:num w:numId="2" w16cid:durableId="74211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efaultTabStop w:val="720"/>
  <w:evenAndOddHeaders/>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ZiYTBhOTgyZjhjZGRkYjcwZDU1NmJiOTdhMWM5ZWIifQ=="/>
    <w:docVar w:name="KY_MEDREF_DOCUID" w:val="{17B80CAD-0F02-4AAE-8273-3915AE238A57}"/>
    <w:docVar w:name="KY_MEDREF_VERSION" w:val="3"/>
  </w:docVars>
  <w:rsids>
    <w:rsidRoot w:val="00803D24"/>
    <w:rsid w:val="0001436A"/>
    <w:rsid w:val="00034304"/>
    <w:rsid w:val="00035434"/>
    <w:rsid w:val="00052A14"/>
    <w:rsid w:val="00077D53"/>
    <w:rsid w:val="00105FD9"/>
    <w:rsid w:val="00117666"/>
    <w:rsid w:val="001549D3"/>
    <w:rsid w:val="00160065"/>
    <w:rsid w:val="00177D84"/>
    <w:rsid w:val="00267D18"/>
    <w:rsid w:val="00275B0E"/>
    <w:rsid w:val="002868E2"/>
    <w:rsid w:val="002869C3"/>
    <w:rsid w:val="002936E4"/>
    <w:rsid w:val="002B4A57"/>
    <w:rsid w:val="002C74CA"/>
    <w:rsid w:val="003544FB"/>
    <w:rsid w:val="003D2D47"/>
    <w:rsid w:val="003D2F2D"/>
    <w:rsid w:val="00401590"/>
    <w:rsid w:val="00447801"/>
    <w:rsid w:val="00452E9C"/>
    <w:rsid w:val="00464DC6"/>
    <w:rsid w:val="004735C8"/>
    <w:rsid w:val="0049554C"/>
    <w:rsid w:val="004961FF"/>
    <w:rsid w:val="00517A89"/>
    <w:rsid w:val="005250F2"/>
    <w:rsid w:val="00567420"/>
    <w:rsid w:val="00593EEA"/>
    <w:rsid w:val="005A5EEE"/>
    <w:rsid w:val="005F7472"/>
    <w:rsid w:val="006375C7"/>
    <w:rsid w:val="00654E8F"/>
    <w:rsid w:val="00660D05"/>
    <w:rsid w:val="006820B1"/>
    <w:rsid w:val="006B7D14"/>
    <w:rsid w:val="006C2DF5"/>
    <w:rsid w:val="00701727"/>
    <w:rsid w:val="0070566C"/>
    <w:rsid w:val="00714C50"/>
    <w:rsid w:val="00720FC1"/>
    <w:rsid w:val="00722CB0"/>
    <w:rsid w:val="00725A7D"/>
    <w:rsid w:val="007501BE"/>
    <w:rsid w:val="00790BB3"/>
    <w:rsid w:val="007B5BB8"/>
    <w:rsid w:val="007C206C"/>
    <w:rsid w:val="00803D24"/>
    <w:rsid w:val="0081076D"/>
    <w:rsid w:val="00817DD6"/>
    <w:rsid w:val="008631FD"/>
    <w:rsid w:val="00876704"/>
    <w:rsid w:val="00885156"/>
    <w:rsid w:val="00890B4A"/>
    <w:rsid w:val="009151AA"/>
    <w:rsid w:val="0093429D"/>
    <w:rsid w:val="00943573"/>
    <w:rsid w:val="009660D3"/>
    <w:rsid w:val="00970F7D"/>
    <w:rsid w:val="00994A3D"/>
    <w:rsid w:val="009C2B12"/>
    <w:rsid w:val="009C70F3"/>
    <w:rsid w:val="009F0E1C"/>
    <w:rsid w:val="00A174D9"/>
    <w:rsid w:val="00A22F53"/>
    <w:rsid w:val="00A569CD"/>
    <w:rsid w:val="00AB5EE2"/>
    <w:rsid w:val="00AB6715"/>
    <w:rsid w:val="00B1671E"/>
    <w:rsid w:val="00B25EB8"/>
    <w:rsid w:val="00B354E1"/>
    <w:rsid w:val="00B37F4D"/>
    <w:rsid w:val="00B93D65"/>
    <w:rsid w:val="00C315C2"/>
    <w:rsid w:val="00C52A7B"/>
    <w:rsid w:val="00C53240"/>
    <w:rsid w:val="00C56BAF"/>
    <w:rsid w:val="00C679AA"/>
    <w:rsid w:val="00C75972"/>
    <w:rsid w:val="00CC0A3A"/>
    <w:rsid w:val="00CD066B"/>
    <w:rsid w:val="00CE4FEE"/>
    <w:rsid w:val="00D64DA6"/>
    <w:rsid w:val="00D70A49"/>
    <w:rsid w:val="00D87ADD"/>
    <w:rsid w:val="00DB59C3"/>
    <w:rsid w:val="00DC259A"/>
    <w:rsid w:val="00DC2F33"/>
    <w:rsid w:val="00DD5A03"/>
    <w:rsid w:val="00DE23E8"/>
    <w:rsid w:val="00E52377"/>
    <w:rsid w:val="00E64E17"/>
    <w:rsid w:val="00E866C9"/>
    <w:rsid w:val="00EA3D3C"/>
    <w:rsid w:val="00EC4FF4"/>
    <w:rsid w:val="00EC539A"/>
    <w:rsid w:val="00EE2A66"/>
    <w:rsid w:val="00EF6FEB"/>
    <w:rsid w:val="00F3521C"/>
    <w:rsid w:val="00F46900"/>
    <w:rsid w:val="00F61D89"/>
    <w:rsid w:val="00F86ED5"/>
    <w:rsid w:val="00FB0C1E"/>
    <w:rsid w:val="19555A1C"/>
    <w:rsid w:val="252A51C8"/>
    <w:rsid w:val="36B9395E"/>
    <w:rsid w:val="3FB059CA"/>
    <w:rsid w:val="4A8567DF"/>
    <w:rsid w:val="600B3F51"/>
    <w:rsid w:val="6C745A52"/>
    <w:rsid w:val="7B6C6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F1C4C"/>
  <w15:docId w15:val="{546B8128-B2AE-4814-9C74-01EA7BAD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70A49"/>
    <w:pPr>
      <w:spacing w:before="120" w:after="240"/>
    </w:pPr>
    <w:rPr>
      <w:rFonts w:eastAsiaTheme="minorHAnsi" w:cstheme="minorBidi"/>
      <w:sz w:val="24"/>
      <w:szCs w:val="22"/>
      <w:lang w:eastAsia="en-US"/>
    </w:rPr>
  </w:style>
  <w:style w:type="paragraph" w:styleId="1">
    <w:name w:val="heading 1"/>
    <w:basedOn w:val="a"/>
    <w:next w:val="a0"/>
    <w:link w:val="10"/>
    <w:uiPriority w:val="2"/>
    <w:qFormat/>
    <w:pPr>
      <w:numPr>
        <w:numId w:val="1"/>
      </w:numPr>
      <w:spacing w:before="240"/>
      <w:contextualSpacing w:val="0"/>
      <w:outlineLvl w:val="0"/>
    </w:pPr>
    <w:rPr>
      <w:b/>
    </w:rPr>
  </w:style>
  <w:style w:type="paragraph" w:styleId="2">
    <w:name w:val="heading 2"/>
    <w:basedOn w:val="1"/>
    <w:next w:val="a0"/>
    <w:link w:val="20"/>
    <w:uiPriority w:val="2"/>
    <w:qFormat/>
    <w:pPr>
      <w:numPr>
        <w:ilvl w:val="1"/>
      </w:numPr>
      <w:spacing w:after="200"/>
      <w:outlineLvl w:val="1"/>
    </w:pPr>
  </w:style>
  <w:style w:type="paragraph" w:styleId="3">
    <w:name w:val="heading 3"/>
    <w:basedOn w:val="a0"/>
    <w:next w:val="a0"/>
    <w:link w:val="30"/>
    <w:uiPriority w:val="2"/>
    <w:qFormat/>
    <w:pPr>
      <w:keepNext/>
      <w:keepLines/>
      <w:numPr>
        <w:ilvl w:val="2"/>
        <w:numId w:val="1"/>
      </w:numPr>
      <w:spacing w:before="40" w:after="120"/>
      <w:outlineLvl w:val="2"/>
    </w:pPr>
    <w:rPr>
      <w:rFonts w:eastAsiaTheme="majorEastAsia" w:cstheme="majorBidi"/>
      <w:b/>
      <w:szCs w:val="24"/>
    </w:rPr>
  </w:style>
  <w:style w:type="paragraph" w:styleId="4">
    <w:name w:val="heading 4"/>
    <w:basedOn w:val="3"/>
    <w:next w:val="a0"/>
    <w:link w:val="40"/>
    <w:uiPriority w:val="2"/>
    <w:qFormat/>
    <w:pPr>
      <w:numPr>
        <w:ilvl w:val="3"/>
      </w:numPr>
      <w:outlineLvl w:val="3"/>
    </w:pPr>
    <w:rPr>
      <w:iCs/>
    </w:rPr>
  </w:style>
  <w:style w:type="paragraph" w:styleId="5">
    <w:name w:val="heading 5"/>
    <w:basedOn w:val="4"/>
    <w:next w:val="a0"/>
    <w:link w:val="50"/>
    <w:uiPriority w:val="2"/>
    <w:qFormat/>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
    <w:qFormat/>
    <w:pPr>
      <w:numPr>
        <w:numId w:val="2"/>
      </w:numPr>
      <w:contextualSpacing/>
    </w:pPr>
    <w:rPr>
      <w:rFonts w:eastAsia="Cambria" w:cs="Times New Roman"/>
      <w:szCs w:val="24"/>
    </w:rPr>
  </w:style>
  <w:style w:type="paragraph" w:styleId="a4">
    <w:name w:val="caption"/>
    <w:basedOn w:val="a0"/>
    <w:next w:val="a5"/>
    <w:uiPriority w:val="35"/>
    <w:unhideWhenUsed/>
    <w:qFormat/>
    <w:pPr>
      <w:keepNext/>
    </w:pPr>
    <w:rPr>
      <w:rFonts w:cs="Times New Roman"/>
      <w:b/>
      <w:bCs/>
      <w:szCs w:val="24"/>
    </w:rPr>
  </w:style>
  <w:style w:type="paragraph" w:styleId="a5">
    <w:name w:val="No Spacing"/>
    <w:uiPriority w:val="99"/>
    <w:unhideWhenUsed/>
    <w:qFormat/>
    <w:rPr>
      <w:rFonts w:eastAsiaTheme="minorHAnsi" w:cstheme="minorBidi"/>
      <w:sz w:val="24"/>
      <w:szCs w:val="22"/>
      <w:lang w:eastAsia="en-US"/>
    </w:rPr>
  </w:style>
  <w:style w:type="paragraph" w:styleId="a6">
    <w:name w:val="annotation text"/>
    <w:basedOn w:val="a0"/>
    <w:link w:val="a7"/>
    <w:uiPriority w:val="99"/>
    <w:semiHidden/>
    <w:unhideWhenUsed/>
    <w:qFormat/>
    <w:rPr>
      <w:sz w:val="20"/>
      <w:szCs w:val="20"/>
    </w:rPr>
  </w:style>
  <w:style w:type="paragraph" w:styleId="a8">
    <w:name w:val="endnote text"/>
    <w:basedOn w:val="a0"/>
    <w:link w:val="a9"/>
    <w:uiPriority w:val="99"/>
    <w:semiHidden/>
    <w:unhideWhenUsed/>
    <w:qFormat/>
    <w:pPr>
      <w:spacing w:after="0"/>
    </w:pPr>
    <w:rPr>
      <w:sz w:val="20"/>
      <w:szCs w:val="20"/>
    </w:rPr>
  </w:style>
  <w:style w:type="paragraph" w:styleId="aa">
    <w:name w:val="Balloon Text"/>
    <w:basedOn w:val="a0"/>
    <w:link w:val="ab"/>
    <w:uiPriority w:val="99"/>
    <w:semiHidden/>
    <w:unhideWhenUsed/>
    <w:qFormat/>
    <w:pPr>
      <w:spacing w:after="0"/>
    </w:pPr>
    <w:rPr>
      <w:rFonts w:ascii="Tahoma" w:hAnsi="Tahoma" w:cs="Tahoma"/>
      <w:sz w:val="16"/>
      <w:szCs w:val="16"/>
    </w:rPr>
  </w:style>
  <w:style w:type="paragraph" w:styleId="ac">
    <w:name w:val="footer"/>
    <w:basedOn w:val="a0"/>
    <w:link w:val="ad"/>
    <w:uiPriority w:val="99"/>
    <w:unhideWhenUsed/>
    <w:qFormat/>
    <w:pPr>
      <w:tabs>
        <w:tab w:val="center" w:pos="4844"/>
        <w:tab w:val="right" w:pos="9689"/>
      </w:tabs>
      <w:spacing w:after="0"/>
    </w:pPr>
  </w:style>
  <w:style w:type="paragraph" w:styleId="ae">
    <w:name w:val="header"/>
    <w:basedOn w:val="a0"/>
    <w:link w:val="af"/>
    <w:uiPriority w:val="99"/>
    <w:unhideWhenUsed/>
    <w:qFormat/>
    <w:pPr>
      <w:tabs>
        <w:tab w:val="center" w:pos="4844"/>
        <w:tab w:val="right" w:pos="9689"/>
      </w:tabs>
    </w:pPr>
    <w:rPr>
      <w:b/>
    </w:rPr>
  </w:style>
  <w:style w:type="paragraph" w:styleId="af0">
    <w:name w:val="Subtitle"/>
    <w:basedOn w:val="a0"/>
    <w:next w:val="a0"/>
    <w:link w:val="af1"/>
    <w:uiPriority w:val="99"/>
    <w:unhideWhenUsed/>
    <w:qFormat/>
    <w:pPr>
      <w:spacing w:before="240"/>
    </w:pPr>
    <w:rPr>
      <w:rFonts w:cs="Times New Roman"/>
      <w:b/>
      <w:szCs w:val="24"/>
    </w:rPr>
  </w:style>
  <w:style w:type="paragraph" w:styleId="af2">
    <w:name w:val="footnote text"/>
    <w:basedOn w:val="a0"/>
    <w:link w:val="af3"/>
    <w:uiPriority w:val="99"/>
    <w:semiHidden/>
    <w:unhideWhenUsed/>
    <w:qFormat/>
    <w:pPr>
      <w:spacing w:after="0"/>
    </w:pPr>
    <w:rPr>
      <w:sz w:val="20"/>
      <w:szCs w:val="20"/>
    </w:rPr>
  </w:style>
  <w:style w:type="paragraph" w:styleId="af4">
    <w:name w:val="Normal (Web)"/>
    <w:basedOn w:val="a0"/>
    <w:uiPriority w:val="99"/>
    <w:unhideWhenUsed/>
    <w:qFormat/>
    <w:pPr>
      <w:spacing w:before="100" w:beforeAutospacing="1" w:after="100" w:afterAutospacing="1"/>
    </w:pPr>
    <w:rPr>
      <w:rFonts w:eastAsia="Times New Roman" w:cs="Times New Roman"/>
      <w:szCs w:val="24"/>
    </w:rPr>
  </w:style>
  <w:style w:type="paragraph" w:styleId="af5">
    <w:name w:val="Title"/>
    <w:basedOn w:val="a0"/>
    <w:next w:val="a0"/>
    <w:link w:val="af6"/>
    <w:qFormat/>
    <w:pPr>
      <w:suppressLineNumbers/>
      <w:spacing w:before="240" w:after="360"/>
      <w:jc w:val="center"/>
    </w:pPr>
    <w:rPr>
      <w:rFonts w:cs="Times New Roman"/>
      <w:b/>
      <w:sz w:val="32"/>
      <w:szCs w:val="32"/>
    </w:rPr>
  </w:style>
  <w:style w:type="paragraph" w:styleId="af7">
    <w:name w:val="annotation subject"/>
    <w:basedOn w:val="a6"/>
    <w:next w:val="a6"/>
    <w:link w:val="af8"/>
    <w:uiPriority w:val="99"/>
    <w:semiHidden/>
    <w:unhideWhenUsed/>
    <w:qFormat/>
    <w:rPr>
      <w:b/>
      <w:bCs/>
    </w:rPr>
  </w:style>
  <w:style w:type="table" w:styleId="af9">
    <w:name w:val="Table Grid"/>
    <w:basedOn w:val="a2"/>
    <w:uiPriority w:val="59"/>
    <w:qFormat/>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uiPriority w:val="22"/>
    <w:qFormat/>
    <w:rPr>
      <w:rFonts w:ascii="Times New Roman" w:hAnsi="Times New Roman"/>
      <w:b/>
      <w:bCs/>
    </w:rPr>
  </w:style>
  <w:style w:type="character" w:styleId="afb">
    <w:name w:val="endnote reference"/>
    <w:basedOn w:val="a1"/>
    <w:uiPriority w:val="99"/>
    <w:semiHidden/>
    <w:unhideWhenUsed/>
    <w:qFormat/>
    <w:rPr>
      <w:vertAlign w:val="superscript"/>
    </w:rPr>
  </w:style>
  <w:style w:type="character" w:styleId="afc">
    <w:name w:val="FollowedHyperlink"/>
    <w:basedOn w:val="a1"/>
    <w:uiPriority w:val="99"/>
    <w:semiHidden/>
    <w:unhideWhenUsed/>
    <w:qFormat/>
    <w:rPr>
      <w:color w:val="800080" w:themeColor="followedHyperlink"/>
      <w:u w:val="single"/>
    </w:rPr>
  </w:style>
  <w:style w:type="character" w:styleId="afd">
    <w:name w:val="Emphasis"/>
    <w:basedOn w:val="a1"/>
    <w:uiPriority w:val="20"/>
    <w:qFormat/>
    <w:rPr>
      <w:rFonts w:ascii="Times New Roman" w:hAnsi="Times New Roman"/>
      <w:i/>
      <w:iCs/>
    </w:rPr>
  </w:style>
  <w:style w:type="character" w:styleId="afe">
    <w:name w:val="line number"/>
    <w:basedOn w:val="a1"/>
    <w:uiPriority w:val="99"/>
    <w:semiHidden/>
    <w:unhideWhenUsed/>
    <w:qFormat/>
  </w:style>
  <w:style w:type="character" w:styleId="aff">
    <w:name w:val="Hyperlink"/>
    <w:basedOn w:val="a1"/>
    <w:uiPriority w:val="99"/>
    <w:unhideWhenUsed/>
    <w:qFormat/>
    <w:rPr>
      <w:color w:val="0000FF"/>
      <w:u w:val="single"/>
    </w:rPr>
  </w:style>
  <w:style w:type="character" w:styleId="aff0">
    <w:name w:val="annotation reference"/>
    <w:basedOn w:val="a1"/>
    <w:uiPriority w:val="99"/>
    <w:semiHidden/>
    <w:unhideWhenUsed/>
    <w:qFormat/>
    <w:rPr>
      <w:sz w:val="16"/>
      <w:szCs w:val="16"/>
    </w:rPr>
  </w:style>
  <w:style w:type="character" w:styleId="aff1">
    <w:name w:val="footnote reference"/>
    <w:basedOn w:val="a1"/>
    <w:uiPriority w:val="99"/>
    <w:semiHidden/>
    <w:unhideWhenUsed/>
    <w:qFormat/>
    <w:rPr>
      <w:vertAlign w:val="superscript"/>
    </w:rPr>
  </w:style>
  <w:style w:type="character" w:customStyle="1" w:styleId="10">
    <w:name w:val="标题 1 字符"/>
    <w:basedOn w:val="a1"/>
    <w:link w:val="1"/>
    <w:uiPriority w:val="2"/>
    <w:qFormat/>
    <w:rPr>
      <w:rFonts w:ascii="Times New Roman" w:eastAsia="Cambria" w:hAnsi="Times New Roman" w:cs="Times New Roman"/>
      <w:b/>
      <w:sz w:val="24"/>
      <w:szCs w:val="24"/>
    </w:rPr>
  </w:style>
  <w:style w:type="character" w:customStyle="1" w:styleId="20">
    <w:name w:val="标题 2 字符"/>
    <w:basedOn w:val="a1"/>
    <w:link w:val="2"/>
    <w:uiPriority w:val="2"/>
    <w:qFormat/>
    <w:rPr>
      <w:rFonts w:ascii="Times New Roman" w:eastAsia="Cambria" w:hAnsi="Times New Roman" w:cs="Times New Roman"/>
      <w:b/>
      <w:sz w:val="24"/>
      <w:szCs w:val="24"/>
    </w:rPr>
  </w:style>
  <w:style w:type="character" w:customStyle="1" w:styleId="af1">
    <w:name w:val="副标题 字符"/>
    <w:basedOn w:val="a1"/>
    <w:link w:val="af0"/>
    <w:uiPriority w:val="99"/>
    <w:qFormat/>
    <w:rPr>
      <w:rFonts w:ascii="Times New Roman" w:hAnsi="Times New Roman" w:cs="Times New Roman"/>
      <w:b/>
      <w:sz w:val="24"/>
      <w:szCs w:val="24"/>
    </w:rPr>
  </w:style>
  <w:style w:type="paragraph" w:customStyle="1" w:styleId="AuthorList">
    <w:name w:val="Author List"/>
    <w:basedOn w:val="af0"/>
    <w:next w:val="a0"/>
    <w:uiPriority w:val="1"/>
    <w:qFormat/>
  </w:style>
  <w:style w:type="character" w:customStyle="1" w:styleId="ab">
    <w:name w:val="批注框文本 字符"/>
    <w:basedOn w:val="a1"/>
    <w:link w:val="aa"/>
    <w:uiPriority w:val="99"/>
    <w:semiHidden/>
    <w:qFormat/>
    <w:rPr>
      <w:rFonts w:ascii="Tahoma" w:hAnsi="Tahoma" w:cs="Tahoma"/>
      <w:sz w:val="16"/>
      <w:szCs w:val="16"/>
    </w:rPr>
  </w:style>
  <w:style w:type="character" w:customStyle="1" w:styleId="BookTitle1">
    <w:name w:val="Book Title1"/>
    <w:basedOn w:val="a1"/>
    <w:uiPriority w:val="33"/>
    <w:qFormat/>
    <w:rPr>
      <w:rFonts w:ascii="Times New Roman" w:hAnsi="Times New Roman"/>
      <w:b/>
      <w:bCs/>
      <w:i/>
      <w:iCs/>
      <w:spacing w:val="5"/>
    </w:rPr>
  </w:style>
  <w:style w:type="character" w:customStyle="1" w:styleId="a7">
    <w:name w:val="批注文字 字符"/>
    <w:basedOn w:val="a1"/>
    <w:link w:val="a6"/>
    <w:uiPriority w:val="99"/>
    <w:semiHidden/>
    <w:qFormat/>
    <w:rPr>
      <w:rFonts w:ascii="Times New Roman" w:hAnsi="Times New Roman"/>
      <w:sz w:val="20"/>
      <w:szCs w:val="20"/>
    </w:rPr>
  </w:style>
  <w:style w:type="character" w:customStyle="1" w:styleId="af8">
    <w:name w:val="批注主题 字符"/>
    <w:basedOn w:val="a7"/>
    <w:link w:val="af7"/>
    <w:uiPriority w:val="99"/>
    <w:semiHidden/>
    <w:qFormat/>
    <w:rPr>
      <w:rFonts w:ascii="Times New Roman" w:hAnsi="Times New Roman"/>
      <w:b/>
      <w:bCs/>
      <w:sz w:val="20"/>
      <w:szCs w:val="20"/>
    </w:rPr>
  </w:style>
  <w:style w:type="character" w:customStyle="1" w:styleId="a9">
    <w:name w:val="尾注文本 字符"/>
    <w:basedOn w:val="a1"/>
    <w:link w:val="a8"/>
    <w:uiPriority w:val="99"/>
    <w:semiHidden/>
    <w:qFormat/>
    <w:rPr>
      <w:rFonts w:ascii="Times New Roman" w:hAnsi="Times New Roman"/>
      <w:sz w:val="20"/>
      <w:szCs w:val="20"/>
    </w:rPr>
  </w:style>
  <w:style w:type="character" w:customStyle="1" w:styleId="ad">
    <w:name w:val="页脚 字符"/>
    <w:basedOn w:val="a1"/>
    <w:link w:val="ac"/>
    <w:uiPriority w:val="99"/>
    <w:qFormat/>
    <w:rPr>
      <w:rFonts w:ascii="Times New Roman" w:hAnsi="Times New Roman"/>
      <w:sz w:val="24"/>
    </w:rPr>
  </w:style>
  <w:style w:type="character" w:customStyle="1" w:styleId="af3">
    <w:name w:val="脚注文本 字符"/>
    <w:basedOn w:val="a1"/>
    <w:link w:val="af2"/>
    <w:uiPriority w:val="99"/>
    <w:semiHidden/>
    <w:qFormat/>
    <w:rPr>
      <w:rFonts w:ascii="Times New Roman" w:hAnsi="Times New Roman"/>
      <w:sz w:val="20"/>
      <w:szCs w:val="20"/>
    </w:rPr>
  </w:style>
  <w:style w:type="character" w:customStyle="1" w:styleId="af">
    <w:name w:val="页眉 字符"/>
    <w:basedOn w:val="a1"/>
    <w:link w:val="ae"/>
    <w:uiPriority w:val="99"/>
    <w:qFormat/>
    <w:rPr>
      <w:rFonts w:ascii="Times New Roman" w:hAnsi="Times New Roman"/>
      <w:b/>
      <w:sz w:val="24"/>
    </w:rPr>
  </w:style>
  <w:style w:type="character" w:customStyle="1" w:styleId="IntenseEmphasis1">
    <w:name w:val="Intense Emphasis1"/>
    <w:basedOn w:val="a1"/>
    <w:uiPriority w:val="21"/>
    <w:unhideWhenUsed/>
    <w:qFormat/>
    <w:rPr>
      <w:rFonts w:ascii="Times New Roman" w:hAnsi="Times New Roman"/>
      <w:i/>
      <w:iCs/>
      <w:color w:val="auto"/>
    </w:rPr>
  </w:style>
  <w:style w:type="character" w:customStyle="1" w:styleId="IntenseReference1">
    <w:name w:val="Intense Reference1"/>
    <w:basedOn w:val="a1"/>
    <w:uiPriority w:val="32"/>
    <w:qFormat/>
    <w:rPr>
      <w:b/>
      <w:bCs/>
      <w:smallCaps/>
      <w:color w:val="auto"/>
      <w:spacing w:val="5"/>
    </w:rPr>
  </w:style>
  <w:style w:type="character" w:customStyle="1" w:styleId="30">
    <w:name w:val="标题 3 字符"/>
    <w:basedOn w:val="a1"/>
    <w:link w:val="3"/>
    <w:uiPriority w:val="2"/>
    <w:qFormat/>
    <w:rPr>
      <w:rFonts w:ascii="Times New Roman" w:eastAsiaTheme="majorEastAsia" w:hAnsi="Times New Roman" w:cstheme="majorBidi"/>
      <w:b/>
      <w:sz w:val="24"/>
      <w:szCs w:val="24"/>
    </w:rPr>
  </w:style>
  <w:style w:type="character" w:customStyle="1" w:styleId="40">
    <w:name w:val="标题 4 字符"/>
    <w:basedOn w:val="a1"/>
    <w:link w:val="4"/>
    <w:uiPriority w:val="2"/>
    <w:qFormat/>
    <w:rPr>
      <w:rFonts w:ascii="Times New Roman" w:eastAsiaTheme="majorEastAsia" w:hAnsi="Times New Roman" w:cstheme="majorBidi"/>
      <w:b/>
      <w:iCs/>
      <w:sz w:val="24"/>
      <w:szCs w:val="24"/>
    </w:rPr>
  </w:style>
  <w:style w:type="character" w:customStyle="1" w:styleId="50">
    <w:name w:val="标题 5 字符"/>
    <w:basedOn w:val="a1"/>
    <w:link w:val="5"/>
    <w:uiPriority w:val="2"/>
    <w:qFormat/>
    <w:rPr>
      <w:rFonts w:ascii="Times New Roman" w:eastAsiaTheme="majorEastAsia" w:hAnsi="Times New Roman" w:cstheme="majorBidi"/>
      <w:b/>
      <w:iCs/>
      <w:sz w:val="24"/>
      <w:szCs w:val="24"/>
    </w:rPr>
  </w:style>
  <w:style w:type="paragraph" w:styleId="aff2">
    <w:name w:val="Quote"/>
    <w:basedOn w:val="a0"/>
    <w:next w:val="a0"/>
    <w:link w:val="aff3"/>
    <w:uiPriority w:val="29"/>
    <w:qFormat/>
    <w:pPr>
      <w:spacing w:before="200" w:after="160"/>
      <w:ind w:left="864" w:right="864"/>
      <w:jc w:val="center"/>
    </w:pPr>
    <w:rPr>
      <w:i/>
      <w:iCs/>
      <w:color w:val="404040" w:themeColor="text1" w:themeTint="BF"/>
    </w:rPr>
  </w:style>
  <w:style w:type="character" w:customStyle="1" w:styleId="aff3">
    <w:name w:val="引用 字符"/>
    <w:basedOn w:val="a1"/>
    <w:link w:val="aff2"/>
    <w:uiPriority w:val="29"/>
    <w:qFormat/>
    <w:rPr>
      <w:rFonts w:ascii="Times New Roman" w:hAnsi="Times New Roman"/>
      <w:i/>
      <w:iCs/>
      <w:color w:val="404040" w:themeColor="text1" w:themeTint="BF"/>
      <w:sz w:val="24"/>
    </w:rPr>
  </w:style>
  <w:style w:type="character" w:customStyle="1" w:styleId="SubtleEmphasis1">
    <w:name w:val="Subtle Emphasis1"/>
    <w:basedOn w:val="a1"/>
    <w:uiPriority w:val="19"/>
    <w:qFormat/>
    <w:rPr>
      <w:rFonts w:ascii="Times New Roman" w:hAnsi="Times New Roman"/>
      <w:i/>
      <w:iCs/>
      <w:color w:val="404040" w:themeColor="text1" w:themeTint="BF"/>
    </w:rPr>
  </w:style>
  <w:style w:type="character" w:customStyle="1" w:styleId="af6">
    <w:name w:val="标题 字符"/>
    <w:basedOn w:val="a1"/>
    <w:link w:val="af5"/>
    <w:qFormat/>
    <w:rPr>
      <w:rFonts w:ascii="Times New Roman" w:hAnsi="Times New Roman" w:cs="Times New Roman"/>
      <w:b/>
      <w:sz w:val="32"/>
      <w:szCs w:val="32"/>
    </w:rPr>
  </w:style>
  <w:style w:type="paragraph" w:customStyle="1" w:styleId="SupplementaryMaterial">
    <w:name w:val="Supplementary Material"/>
    <w:basedOn w:val="af5"/>
    <w:next w:val="af5"/>
    <w:qFormat/>
    <w:pPr>
      <w:spacing w:after="120"/>
    </w:pPr>
    <w:rPr>
      <w:i/>
    </w:rPr>
  </w:style>
  <w:style w:type="paragraph" w:customStyle="1" w:styleId="Revision1">
    <w:name w:val="Revision1"/>
    <w:hidden/>
    <w:uiPriority w:val="99"/>
    <w:semiHidden/>
    <w:qFormat/>
    <w:rPr>
      <w:rFonts w:eastAsiaTheme="minorHAnsi" w:cstheme="minorBidi"/>
      <w:sz w:val="24"/>
      <w:szCs w:val="22"/>
      <w:lang w:eastAsia="en-US"/>
    </w:r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character" w:customStyle="1" w:styleId="11">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if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2.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4.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5.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85</TotalTime>
  <Pages>3</Pages>
  <Words>500</Words>
  <Characters>2855</Characters>
  <Application>Microsoft Office Word</Application>
  <DocSecurity>0</DocSecurity>
  <Lines>23</Lines>
  <Paragraphs>6</Paragraphs>
  <ScaleCrop>false</ScaleCrop>
  <Company>Frontiers Media</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dc:creator>
  <cp:lastModifiedBy>才友 徐</cp:lastModifiedBy>
  <cp:revision>15</cp:revision>
  <cp:lastPrinted>2013-10-03T12:51:00Z</cp:lastPrinted>
  <dcterms:created xsi:type="dcterms:W3CDTF">2022-11-17T16:58:00Z</dcterms:created>
  <dcterms:modified xsi:type="dcterms:W3CDTF">2026-04-30T08:46:00Z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2052-12.1.0.25865</vt:lpwstr>
  </property>
  <property fmtid="{D5CDD505-2E9C-101B-9397-08002B2CF9AE}" pid="11" name="ICV">
    <vt:lpwstr>0F975C64F3E6447B9697E0F8192946BF_13</vt:lpwstr>
  </property>
  <property fmtid="{D5CDD505-2E9C-101B-9397-08002B2CF9AE}" pid="12" name="KSOTemplateDocerSaveRecord">
    <vt:lpwstr>eyJoZGlkIjoiYjdmZmY2Y2FlM2M0OGRiOWFkZDRiMDg5YjZjMzQ4YjUiLCJ1c2VySWQiOiIzNDI4MTgxNzEifQ==</vt:lpwstr>
  </property>
</Properties>
</file>