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B9E" w:rsidRPr="00777B2E" w:rsidRDefault="00471B9E" w:rsidP="00471B9E">
      <w:pPr>
        <w:spacing w:after="120" w:line="480" w:lineRule="auto"/>
        <w:jc w:val="both"/>
        <w:rPr>
          <w:rFonts w:ascii="Times New Roman" w:hAnsi="Times New Roman" w:cs="Times New Roman"/>
          <w:b/>
          <w:sz w:val="24"/>
          <w:szCs w:val="24"/>
        </w:rPr>
      </w:pPr>
      <w:r w:rsidRPr="00777B2E">
        <w:rPr>
          <w:rFonts w:ascii="Times New Roman" w:hAnsi="Times New Roman" w:cs="Times New Roman"/>
          <w:b/>
          <w:sz w:val="24"/>
          <w:szCs w:val="24"/>
        </w:rPr>
        <w:t>Supplementary material – Methods</w:t>
      </w:r>
    </w:p>
    <w:p w:rsidR="00471B9E" w:rsidRPr="00DB3517" w:rsidRDefault="00471B9E" w:rsidP="00471B9E">
      <w:pPr>
        <w:spacing w:after="120" w:line="480" w:lineRule="auto"/>
        <w:jc w:val="both"/>
        <w:rPr>
          <w:rFonts w:ascii="Times New Roman" w:hAnsi="Times New Roman" w:cs="Times New Roman"/>
          <w:b/>
          <w:i/>
          <w:iCs/>
          <w:sz w:val="24"/>
          <w:szCs w:val="24"/>
        </w:rPr>
      </w:pPr>
      <w:r w:rsidRPr="00DB3517">
        <w:rPr>
          <w:rFonts w:ascii="Times New Roman" w:hAnsi="Times New Roman" w:cs="Times New Roman"/>
          <w:b/>
          <w:i/>
          <w:iCs/>
          <w:sz w:val="24"/>
          <w:szCs w:val="24"/>
        </w:rPr>
        <w:t>Convergen</w:t>
      </w:r>
      <w:r>
        <w:rPr>
          <w:rFonts w:ascii="Times New Roman" w:hAnsi="Times New Roman" w:cs="Times New Roman"/>
          <w:b/>
          <w:i/>
          <w:iCs/>
          <w:sz w:val="24"/>
          <w:szCs w:val="24"/>
        </w:rPr>
        <w:t>ce</w:t>
      </w:r>
      <w:r w:rsidRPr="00DB3517">
        <w:rPr>
          <w:rFonts w:ascii="Times New Roman" w:hAnsi="Times New Roman" w:cs="Times New Roman"/>
          <w:b/>
          <w:i/>
          <w:iCs/>
          <w:sz w:val="24"/>
          <w:szCs w:val="24"/>
        </w:rPr>
        <w:t xml:space="preserve"> cross-mapping </w:t>
      </w:r>
    </w:p>
    <w:p w:rsidR="00471B9E" w:rsidRDefault="00471B9E" w:rsidP="00471B9E">
      <w:pPr>
        <w:spacing w:after="120" w:line="480" w:lineRule="auto"/>
        <w:jc w:val="both"/>
        <w:rPr>
          <w:rFonts w:ascii="Times New Roman" w:hAnsi="Times New Roman" w:cs="Times New Roman"/>
          <w:sz w:val="24"/>
          <w:szCs w:val="24"/>
        </w:rPr>
      </w:pPr>
      <w:r w:rsidRPr="00DB3517">
        <w:rPr>
          <w:rFonts w:ascii="Times New Roman" w:hAnsi="Times New Roman" w:cs="Times New Roman"/>
          <w:sz w:val="24"/>
          <w:szCs w:val="24"/>
        </w:rPr>
        <w:t xml:space="preserve">According to the theory of dynamical systems, time series are projections of the motion on a multidimensional (given by the number of interacting variables) manifold following a specific set of rules onto a coordinate axis. Conversely, observed time series can be projected back into a multidimensional state space to recover the dynamics, which is known as attractor reconstruction </w:t>
      </w:r>
      <w:r w:rsidRPr="00DB3517">
        <w:rPr>
          <w:rFonts w:ascii="Times New Roman" w:hAnsi="Times New Roman" w:cs="Times New Roman"/>
          <w:sz w:val="24"/>
          <w:szCs w:val="24"/>
        </w:rPr>
        <w:fldChar w:fldCharType="begin" w:fldLock="1"/>
      </w:r>
      <w:r w:rsidRPr="00DB3517">
        <w:rPr>
          <w:rFonts w:ascii="Times New Roman" w:hAnsi="Times New Roman" w:cs="Times New Roman"/>
          <w:sz w:val="24"/>
          <w:szCs w:val="24"/>
        </w:rPr>
        <w:instrText>ADDIN CSL_CITATION {"citationItems":[{"id":"ITEM-1","itemData":{"DOI":"10.1103/PhysRevLett.45.712","ISSN":"00319007","abstract":"It is shown how the existence of low-dimensional chaotic dynamical systems describing turbulent fluid flow might be determined experimentally. Techniques are outlined for reconstructing phase-space pictures from the observation of a single coordinate of any dissipative dynamical system, and for determining the dimensionality of the system's attractor. These techniques are applied to a well-known simple three-dimensional chaotic dynamical system. © 1980 The American Physical Society.","author":[{"dropping-particle":"","family":"Packard","given":"N. H.","non-dropping-particle":"","parse-names":false,"suffix":""},{"dropping-particle":"","family":"Crutchfield","given":"J. P.","non-dropping-particle":"","parse-names":false,"suffix":""},{"dropping-particle":"","family":"Farmer","given":"J. D.","non-dropping-particle":"","parse-names":false,"suffix":""},{"dropping-particle":"","family":"Shaw","given":"R. S.","non-dropping-particle":"","parse-names":false,"suffix":""}],"container-title":"Physical Review Letters","id":"ITEM-1","issue":"9","issued":{"date-parts":[["1980"]]},"page":"712-716","title":"Geometry from a time series","type":"article","volume":"45"},"uris":["http://www.mendeley.com/documents/?uuid=c1801496-5561-40d6-85bb-fe441eebf35d"]}],"mendeley":{"formattedCitation":"(Packard et al., 1980)","plainTextFormattedCitation":"(Packard et al., 1980)","previouslyFormattedCitation":"(Packard et al., 1980)"},"properties":{"noteIndex":0},"schema":"https://github.com/citation-style-language/schema/raw/master/csl-citation.json"}</w:instrText>
      </w:r>
      <w:r w:rsidRPr="00DB3517">
        <w:rPr>
          <w:rFonts w:ascii="Times New Roman" w:hAnsi="Times New Roman" w:cs="Times New Roman"/>
          <w:sz w:val="24"/>
          <w:szCs w:val="24"/>
        </w:rPr>
        <w:fldChar w:fldCharType="separate"/>
      </w:r>
      <w:r w:rsidRPr="00DB3517">
        <w:rPr>
          <w:rFonts w:ascii="Times New Roman" w:hAnsi="Times New Roman" w:cs="Times New Roman"/>
          <w:noProof/>
          <w:sz w:val="24"/>
          <w:szCs w:val="24"/>
        </w:rPr>
        <w:t>(Packard et al., 1980)</w:t>
      </w:r>
      <w:r w:rsidRPr="00DB3517">
        <w:rPr>
          <w:rFonts w:ascii="Times New Roman" w:hAnsi="Times New Roman" w:cs="Times New Roman"/>
          <w:sz w:val="24"/>
          <w:szCs w:val="24"/>
          <w:lang w:val="en-US"/>
        </w:rPr>
        <w:fldChar w:fldCharType="end"/>
      </w:r>
      <w:r w:rsidRPr="00DB3517">
        <w:rPr>
          <w:rFonts w:ascii="Times New Roman" w:hAnsi="Times New Roman" w:cs="Times New Roman"/>
          <w:sz w:val="24"/>
          <w:szCs w:val="24"/>
        </w:rPr>
        <w:t>. As a consequence, even though we do not know the set of rules governing a dynamical system, we can reconstruct the system by plotting all-time series as the axes in a state space and view how the state evolves through time.</w:t>
      </w:r>
    </w:p>
    <w:p w:rsidR="00471B9E" w:rsidRPr="00DB3517" w:rsidRDefault="00471B9E" w:rsidP="00471B9E">
      <w:pPr>
        <w:spacing w:after="120" w:line="480" w:lineRule="auto"/>
        <w:jc w:val="both"/>
        <w:rPr>
          <w:rFonts w:ascii="Times New Roman" w:hAnsi="Times New Roman" w:cs="Times New Roman"/>
          <w:sz w:val="24"/>
          <w:szCs w:val="24"/>
        </w:rPr>
      </w:pPr>
      <w:r w:rsidRPr="00DB3517">
        <w:rPr>
          <w:rFonts w:ascii="Times New Roman" w:hAnsi="Times New Roman" w:cs="Times New Roman"/>
          <w:sz w:val="24"/>
          <w:szCs w:val="24"/>
        </w:rPr>
        <w:t xml:space="preserve">In empirical sciences such as biology and medicine, however, we are neither able to measure the multidimensional manifold given by the underlying rules nor do we know all critical variables of the system. Most of the time, we observe only one or two time series of the studied system. Therefore, we might lack observation data necessary to reconstruct the dynamics. Surprisingly, the original process can be reconstructed from time series observations of a single variable by embedding time-delayed values of the scalar measurements, since the information of all unknown variables are encoded in every single observed time series </w:t>
      </w:r>
      <w:r w:rsidRPr="00DB3517">
        <w:rPr>
          <w:rFonts w:ascii="Times New Roman" w:hAnsi="Times New Roman" w:cs="Times New Roman"/>
          <w:sz w:val="24"/>
          <w:szCs w:val="24"/>
        </w:rPr>
        <w:fldChar w:fldCharType="begin" w:fldLock="1"/>
      </w:r>
      <w:r w:rsidRPr="00DB3517">
        <w:rPr>
          <w:rFonts w:ascii="Times New Roman" w:hAnsi="Times New Roman" w:cs="Times New Roman"/>
          <w:sz w:val="24"/>
          <w:szCs w:val="24"/>
        </w:rPr>
        <w:instrText>ADDIN CSL_CITATION {"citationItems":[{"id":"ITEM-1","itemData":{"author":[{"dropping-particle":"","family":"Takens F","given":"","non-dropping-particle":"","parse-names":false,"suffix":""}],"container-title":"Springer","editor":[{"dropping-particle":"","family":"DL Rand and LS Young","given":"","non-dropping-particle":"","parse-names":false,"suffix":""}],"id":"ITEM-1","issued":{"date-parts":[["1981"]]},"page":"Volume 898, pages 366-381","title":"Dynamical Systems and Turbulence - Detecting strange attractors in turbulence","type":"chapter"},"uris":["http://www.mendeley.com/documents/?uuid=24af58e3-e65f-4eee-8e2d-cc995f40b7da"]}],"mendeley":{"formattedCitation":"(Takens F, 1981)","plainTextFormattedCitation":"(Takens F, 1981)","previouslyFormattedCitation":"(Takens F, 1981)"},"properties":{"noteIndex":0},"schema":"https://github.com/citation-style-language/schema/raw/master/csl-citation.json"}</w:instrText>
      </w:r>
      <w:r w:rsidRPr="00DB3517">
        <w:rPr>
          <w:rFonts w:ascii="Times New Roman" w:hAnsi="Times New Roman" w:cs="Times New Roman"/>
          <w:sz w:val="24"/>
          <w:szCs w:val="24"/>
        </w:rPr>
        <w:fldChar w:fldCharType="separate"/>
      </w:r>
      <w:r w:rsidRPr="00DB3517">
        <w:rPr>
          <w:rFonts w:ascii="Times New Roman" w:hAnsi="Times New Roman" w:cs="Times New Roman"/>
          <w:noProof/>
          <w:sz w:val="24"/>
          <w:szCs w:val="24"/>
        </w:rPr>
        <w:t>(Takens F, 1981)</w:t>
      </w:r>
      <w:r w:rsidRPr="00DB3517">
        <w:rPr>
          <w:rFonts w:ascii="Times New Roman" w:hAnsi="Times New Roman" w:cs="Times New Roman"/>
          <w:sz w:val="24"/>
          <w:szCs w:val="24"/>
          <w:lang w:val="en-US"/>
        </w:rPr>
        <w:fldChar w:fldCharType="end"/>
      </w:r>
      <w:r w:rsidRPr="00DB3517">
        <w:rPr>
          <w:rFonts w:ascii="Times New Roman" w:hAnsi="Times New Roman" w:cs="Times New Roman"/>
          <w:sz w:val="24"/>
          <w:szCs w:val="24"/>
        </w:rPr>
        <w:t xml:space="preserve">. Consequently, even if the observed time series variable depends on variables that were not measured, we can still reconstruct a shadow version of the manifold that accounts for these missing variables. </w:t>
      </w:r>
    </w:p>
    <w:p w:rsidR="00471B9E" w:rsidRPr="00DB3517" w:rsidRDefault="00471B9E" w:rsidP="00471B9E">
      <w:pPr>
        <w:spacing w:after="120" w:line="480" w:lineRule="auto"/>
        <w:jc w:val="both"/>
        <w:rPr>
          <w:rFonts w:ascii="Times New Roman" w:hAnsi="Times New Roman" w:cs="Times New Roman"/>
          <w:sz w:val="24"/>
          <w:szCs w:val="24"/>
        </w:rPr>
      </w:pPr>
      <w:r w:rsidRPr="00DB3517">
        <w:rPr>
          <w:rFonts w:ascii="Times New Roman" w:hAnsi="Times New Roman" w:cs="Times New Roman"/>
          <w:sz w:val="24"/>
          <w:szCs w:val="24"/>
        </w:rPr>
        <w:t xml:space="preserve">The reconstructed shadow manifold as well as the original manifold are one-to-one mappings. As a result of this, they share the same mathematical features such as topology or lyapunov exponents </w:t>
      </w:r>
      <w:r w:rsidRPr="00DB3517">
        <w:rPr>
          <w:rFonts w:ascii="Times New Roman" w:hAnsi="Times New Roman" w:cs="Times New Roman"/>
          <w:sz w:val="24"/>
          <w:szCs w:val="24"/>
        </w:rPr>
        <w:fldChar w:fldCharType="begin" w:fldLock="1"/>
      </w:r>
      <w:r w:rsidRPr="00DB3517">
        <w:rPr>
          <w:rFonts w:ascii="Times New Roman" w:hAnsi="Times New Roman" w:cs="Times New Roman"/>
          <w:sz w:val="24"/>
          <w:szCs w:val="24"/>
        </w:rPr>
        <w:instrText>ADDIN CSL_CITATION {"citationItems":[{"id":"ITEM-1","itemData":{"DOI":"10.1142/S0218348X04002616","author":[{"dropping-particle":"","family":"Kantz","given":"Holger and Thomas Schreiber","non-dropping-particle":"","parse-names":false,"suffix":""}],"container-title":"Fractals","id":"ITEM-1","issued":{"date-parts":[["2006","11","20"]]},"title":"Book Review: \"Nonlinear Time Series Analysis, 2nd Edition\" by Holger Kantz and Thomas Schreiber","type":"article-journal","volume":"12"},"uris":["http://www.mendeley.com/documents/?uuid=e776196f-c27b-4b47-8707-9515b250a359"]}],"mendeley":{"formattedCitation":"(Kantz, 2006)","manualFormatting":"(Kants and Schreiber, 2006)","plainTextFormattedCitation":"(Kantz, 2006)","previouslyFormattedCitation":"(Kantz, 2006)"},"properties":{"noteIndex":0},"schema":"https://github.com/citation-style-language/schema/raw/master/csl-citation.json"}</w:instrText>
      </w:r>
      <w:r w:rsidRPr="00DB3517">
        <w:rPr>
          <w:rFonts w:ascii="Times New Roman" w:hAnsi="Times New Roman" w:cs="Times New Roman"/>
          <w:sz w:val="24"/>
          <w:szCs w:val="24"/>
        </w:rPr>
        <w:fldChar w:fldCharType="separate"/>
      </w:r>
      <w:r w:rsidRPr="00DB3517">
        <w:rPr>
          <w:rFonts w:ascii="Times New Roman" w:hAnsi="Times New Roman" w:cs="Times New Roman"/>
          <w:noProof/>
          <w:sz w:val="24"/>
          <w:szCs w:val="24"/>
        </w:rPr>
        <w:t>(Kants and Schreiber, 2006)</w:t>
      </w:r>
      <w:r w:rsidRPr="00DB3517">
        <w:rPr>
          <w:rFonts w:ascii="Times New Roman" w:hAnsi="Times New Roman" w:cs="Times New Roman"/>
          <w:sz w:val="24"/>
          <w:szCs w:val="24"/>
          <w:lang w:val="en-US"/>
        </w:rPr>
        <w:fldChar w:fldCharType="end"/>
      </w:r>
      <w:r w:rsidRPr="00DB3517">
        <w:rPr>
          <w:rFonts w:ascii="Times New Roman" w:hAnsi="Times New Roman" w:cs="Times New Roman"/>
          <w:sz w:val="24"/>
          <w:szCs w:val="24"/>
        </w:rPr>
        <w:t xml:space="preserve">. For instance, consider two time series, X and Y, originating from the same dynamical system. If the reconstructed manifold of time series X is invariant of the original manifold and at the same time, the reconstructed manifold of time </w:t>
      </w:r>
      <w:r w:rsidRPr="00DB3517">
        <w:rPr>
          <w:rFonts w:ascii="Times New Roman" w:hAnsi="Times New Roman" w:cs="Times New Roman"/>
          <w:sz w:val="24"/>
          <w:szCs w:val="24"/>
        </w:rPr>
        <w:lastRenderedPageBreak/>
        <w:t xml:space="preserve">series Y is invariant of the original manifold, both reconstructions have to be invariant to each other. Following this idea, we test if two time series variables are causal coupled (originate from the same dynamical system), by measuring the extent to which the causal variable has left an imprint in the time series of the affected time series, using convergence cross mapping (CCM) </w:t>
      </w:r>
      <w:r w:rsidRPr="00DB3517">
        <w:rPr>
          <w:rFonts w:ascii="Times New Roman" w:hAnsi="Times New Roman" w:cs="Times New Roman"/>
          <w:sz w:val="24"/>
          <w:szCs w:val="24"/>
        </w:rPr>
        <w:fldChar w:fldCharType="begin" w:fldLock="1"/>
      </w:r>
      <w:r w:rsidRPr="00DB3517">
        <w:rPr>
          <w:rFonts w:ascii="Times New Roman" w:hAnsi="Times New Roman" w:cs="Times New Roman"/>
          <w:sz w:val="24"/>
          <w:szCs w:val="24"/>
        </w:rPr>
        <w:instrText>ADDIN CSL_CITATION {"citationItems":[{"id":"ITEM-1","itemData":{"DOI":"10.1126/science.1227079","ISSN":"10959203","PMID":"22997134","abstract":"Identifying causal networks is important for effective policy and management recommendations on climate, epidemiology, financial regulation, and much else. We introduce a method, based on nonlinear state space reconstruction, that can distinguish causality from correlation. It extends to nonseparable weakly connected dynamic systems (cases not covered by the current Granger causality paradigm). The approach is illustrated both by simple models (where, in contrast to the real world, we know the underlying equations/relations and so can check the validity of our method) and by application to real ecological systems, including the controversial sardine-anchovy-temperature problem.","author":[{"dropping-particle":"","family":"Sugihara","given":"George","non-dropping-particle":"","parse-names":false,"suffix":""},{"dropping-particle":"","family":"May","given":"Robert","non-dropping-particle":"","parse-names":false,"suffix":""},{"dropping-particle":"","family":"Ye","given":"Hao","non-dropping-particle":"","parse-names":false,"suffix":""},{"dropping-particle":"","family":"Hsieh","given":"Chih Hao","non-dropping-particle":"","parse-names":false,"suffix":""},{"dropping-particle":"","family":"Deyle","given":"Ethan","non-dropping-particle":"","parse-names":false,"suffix":""},{"dropping-particle":"","family":"Fogarty","given":"Michael","non-dropping-particle":"","parse-names":false,"suffix":""},{"dropping-particle":"","family":"Munch","given":"Stephan","non-dropping-particle":"","parse-names":false,"suffix":""}],"container-title":"Science","id":"ITEM-1","issued":{"date-parts":[["2012"]]},"title":"Detecting causality in complex ecosystems","type":"article-journal"},"uris":["http://www.mendeley.com/documents/?uuid=69a71b29-5ce1-4730-a321-f828a8b6bbd8"]}],"mendeley":{"formattedCitation":"(Sugihara et al., 2012)","plainTextFormattedCitation":"(Sugihara et al., 2012)","previouslyFormattedCitation":"(Sugihara et al., 2012)"},"properties":{"noteIndex":0},"schema":"https://github.com/citation-style-language/schema/raw/master/csl-citation.json"}</w:instrText>
      </w:r>
      <w:r w:rsidRPr="00DB3517">
        <w:rPr>
          <w:rFonts w:ascii="Times New Roman" w:hAnsi="Times New Roman" w:cs="Times New Roman"/>
          <w:sz w:val="24"/>
          <w:szCs w:val="24"/>
        </w:rPr>
        <w:fldChar w:fldCharType="separate"/>
      </w:r>
      <w:r w:rsidRPr="00DB3517">
        <w:rPr>
          <w:rFonts w:ascii="Times New Roman" w:hAnsi="Times New Roman" w:cs="Times New Roman"/>
          <w:noProof/>
          <w:sz w:val="24"/>
          <w:szCs w:val="24"/>
        </w:rPr>
        <w:t>(Sugihara et al., 2012)</w:t>
      </w:r>
      <w:r w:rsidRPr="00DB3517">
        <w:rPr>
          <w:rFonts w:ascii="Times New Roman" w:hAnsi="Times New Roman" w:cs="Times New Roman"/>
          <w:sz w:val="24"/>
          <w:szCs w:val="24"/>
          <w:lang w:val="en-US"/>
        </w:rPr>
        <w:fldChar w:fldCharType="end"/>
      </w:r>
      <w:r w:rsidRPr="00DB3517">
        <w:rPr>
          <w:rFonts w:ascii="Times New Roman" w:hAnsi="Times New Roman" w:cs="Times New Roman"/>
          <w:sz w:val="24"/>
          <w:szCs w:val="24"/>
        </w:rPr>
        <w:t>. In this study, we tested causal effects between Cp as a measure of P. falciparum density (Cp), FBG concentration as well as environmental climate variables.</w:t>
      </w:r>
      <w:r w:rsidRPr="00DB3517">
        <w:rPr>
          <w:rFonts w:ascii="Times New Roman" w:hAnsi="Times New Roman" w:cs="Times New Roman"/>
          <w:sz w:val="24"/>
          <w:szCs w:val="24"/>
        </w:rPr>
        <w:br/>
      </w:r>
    </w:p>
    <w:p w:rsidR="00471B9E" w:rsidRPr="00DB3517" w:rsidRDefault="00471B9E" w:rsidP="00471B9E">
      <w:pPr>
        <w:spacing w:after="120" w:line="480" w:lineRule="auto"/>
        <w:jc w:val="both"/>
        <w:rPr>
          <w:rFonts w:ascii="Times New Roman" w:hAnsi="Times New Roman" w:cs="Times New Roman"/>
          <w:b/>
          <w:i/>
          <w:iCs/>
          <w:sz w:val="24"/>
          <w:szCs w:val="24"/>
        </w:rPr>
      </w:pPr>
      <w:r w:rsidRPr="00DB3517">
        <w:rPr>
          <w:rFonts w:ascii="Times New Roman" w:hAnsi="Times New Roman" w:cs="Times New Roman"/>
          <w:b/>
          <w:i/>
          <w:iCs/>
          <w:sz w:val="24"/>
          <w:szCs w:val="24"/>
        </w:rPr>
        <w:t xml:space="preserve">Convergence and significance </w:t>
      </w:r>
    </w:p>
    <w:p w:rsidR="00471B9E" w:rsidRPr="00DB3517" w:rsidRDefault="00471B9E" w:rsidP="00471B9E">
      <w:pPr>
        <w:spacing w:after="120" w:line="480" w:lineRule="auto"/>
        <w:jc w:val="both"/>
        <w:rPr>
          <w:rFonts w:ascii="Times New Roman" w:hAnsi="Times New Roman" w:cs="Times New Roman"/>
          <w:sz w:val="24"/>
          <w:szCs w:val="24"/>
        </w:rPr>
      </w:pPr>
      <w:r w:rsidRPr="00DB3517">
        <w:rPr>
          <w:rFonts w:ascii="Times New Roman" w:hAnsi="Times New Roman" w:cs="Times New Roman"/>
          <w:sz w:val="24"/>
          <w:szCs w:val="24"/>
        </w:rPr>
        <w:t xml:space="preserve">To test time series findings for significance, a number of surrogate data sets which are comparable to the measured data in certain respects, but which are also consistent with the null hypothesis we were testing for, were used </w:t>
      </w:r>
      <w:r w:rsidRPr="00DB3517">
        <w:rPr>
          <w:rFonts w:ascii="Times New Roman" w:hAnsi="Times New Roman" w:cs="Times New Roman"/>
          <w:sz w:val="24"/>
          <w:szCs w:val="24"/>
        </w:rPr>
        <w:fldChar w:fldCharType="begin" w:fldLock="1"/>
      </w:r>
      <w:r w:rsidRPr="00DB3517">
        <w:rPr>
          <w:rFonts w:ascii="Times New Roman" w:hAnsi="Times New Roman" w:cs="Times New Roman"/>
          <w:sz w:val="24"/>
          <w:szCs w:val="24"/>
        </w:rPr>
        <w:instrText>ADDIN CSL_CITATION {"citationItems":[{"id":"ITEM-1","itemData":{"DOI":"10.1142/S0218348X04002616","author":[{"dropping-particle":"","family":"Kantz","given":"Holger and Thomas Schreiber","non-dropping-particle":"","parse-names":false,"suffix":""}],"container-title":"Fractals","id":"ITEM-1","issued":{"date-parts":[["2006","11","20"]]},"title":"Book Review: \"Nonlinear Time Series Analysis, 2nd Edition\" by Holger Kantz and Thomas Schreiber","type":"article-journal","volume":"12"},"uris":["http://www.mendeley.com/documents/?uuid=e776196f-c27b-4b47-8707-9515b250a359"]}],"mendeley":{"formattedCitation":"(Kantz, 2006)","manualFormatting":"(Kantz and Schreiber, 2006)","plainTextFormattedCitation":"(Kantz, 2006)","previouslyFormattedCitation":"(Kantz, 2006)"},"properties":{"noteIndex":0},"schema":"https://github.com/citation-style-language/schema/raw/master/csl-citation.json"}</w:instrText>
      </w:r>
      <w:r w:rsidRPr="00DB3517">
        <w:rPr>
          <w:rFonts w:ascii="Times New Roman" w:hAnsi="Times New Roman" w:cs="Times New Roman"/>
          <w:sz w:val="24"/>
          <w:szCs w:val="24"/>
        </w:rPr>
        <w:fldChar w:fldCharType="separate"/>
      </w:r>
      <w:r w:rsidRPr="00DB3517">
        <w:rPr>
          <w:rFonts w:ascii="Times New Roman" w:hAnsi="Times New Roman" w:cs="Times New Roman"/>
          <w:noProof/>
          <w:sz w:val="24"/>
          <w:szCs w:val="24"/>
        </w:rPr>
        <w:t>(Kantz and Schreiber, 2006)</w:t>
      </w:r>
      <w:r w:rsidRPr="00DB3517">
        <w:rPr>
          <w:rFonts w:ascii="Times New Roman" w:hAnsi="Times New Roman" w:cs="Times New Roman"/>
          <w:sz w:val="24"/>
          <w:szCs w:val="24"/>
          <w:lang w:val="en-US"/>
        </w:rPr>
        <w:fldChar w:fldCharType="end"/>
      </w:r>
      <w:r w:rsidRPr="00DB3517">
        <w:rPr>
          <w:rFonts w:ascii="Times New Roman" w:hAnsi="Times New Roman" w:cs="Times New Roman"/>
          <w:sz w:val="24"/>
          <w:szCs w:val="24"/>
        </w:rPr>
        <w:t xml:space="preserve">. Here, we generated 100 surrogate time series, following  </w:t>
      </w:r>
      <w:r w:rsidRPr="00DB3517">
        <w:rPr>
          <w:rFonts w:ascii="Times New Roman" w:hAnsi="Times New Roman" w:cs="Times New Roman"/>
          <w:sz w:val="24"/>
          <w:szCs w:val="24"/>
        </w:rPr>
        <w:fldChar w:fldCharType="begin" w:fldLock="1"/>
      </w:r>
      <w:r w:rsidRPr="00DB3517">
        <w:rPr>
          <w:rFonts w:ascii="Times New Roman" w:hAnsi="Times New Roman" w:cs="Times New Roman"/>
          <w:sz w:val="24"/>
          <w:szCs w:val="24"/>
        </w:rPr>
        <w:instrText>ADDIN CSL_CITATION {"citationItems":[{"id":"ITEM-1","itemData":{"DOI":"10.1175/1520-0442(1997)010&lt;2147:AMTETS&gt;2.0.CO;2","ISSN":"08948755","abstract":"When analyzing pairs of time series, one often needs to know whether a correlation is statistically significant. If the data are Gaussian distributed and not serially correlated, one can use the results of classical statistics to estimate the significance. While some techniques can handle non-Gaussian distributions, few methods are available for data with nonzero autocorrelation (i.e., serially correlated). In this paper, a nonparametric method is suggested to estimate the statistical significance of a computed correlation coefficient when serial correlation is a concern. This method compares favorably with conventional methods.","author":[{"dropping-particle":"","family":"Ebisuzaki","given":"Wesley","non-dropping-particle":"","parse-names":false,"suffix":""}],"container-title":"Journal of Climate","id":"ITEM-1","issued":{"date-parts":[["1997"]]},"title":"A method to estimate the statistical significance of a correlation when the data are serially correlated","type":"article-journal"},"uris":["http://www.mendeley.com/documents/?uuid=46e12980-cd9c-41de-aa86-fe7b2beafdcb"]}],"mendeley":{"formattedCitation":"(Ebisuzaki, 1997)","plainTextFormattedCitation":"(Ebisuzaki, 1997)","previouslyFormattedCitation":"(Ebisuzaki, 1997)"},"properties":{"noteIndex":0},"schema":"https://github.com/citation-style-language/schema/raw/master/csl-citation.json"}</w:instrText>
      </w:r>
      <w:r w:rsidRPr="00DB3517">
        <w:rPr>
          <w:rFonts w:ascii="Times New Roman" w:hAnsi="Times New Roman" w:cs="Times New Roman"/>
          <w:sz w:val="24"/>
          <w:szCs w:val="24"/>
        </w:rPr>
        <w:fldChar w:fldCharType="separate"/>
      </w:r>
      <w:r w:rsidRPr="00DB3517">
        <w:rPr>
          <w:rFonts w:ascii="Times New Roman" w:hAnsi="Times New Roman" w:cs="Times New Roman"/>
          <w:noProof/>
          <w:sz w:val="24"/>
          <w:szCs w:val="24"/>
        </w:rPr>
        <w:t>(Ebisuzaki, 1997)</w:t>
      </w:r>
      <w:r w:rsidRPr="00DB3517">
        <w:rPr>
          <w:rFonts w:ascii="Times New Roman" w:hAnsi="Times New Roman" w:cs="Times New Roman"/>
          <w:sz w:val="24"/>
          <w:szCs w:val="24"/>
          <w:lang w:val="en-US"/>
        </w:rPr>
        <w:fldChar w:fldCharType="end"/>
      </w:r>
      <w:r w:rsidRPr="00DB3517">
        <w:rPr>
          <w:rFonts w:ascii="Times New Roman" w:hAnsi="Times New Roman" w:cs="Times New Roman"/>
          <w:sz w:val="24"/>
          <w:szCs w:val="24"/>
        </w:rPr>
        <w:t xml:space="preserve">, by randomly reshuffling phases, while preserving the mean, variation and power spectrum of the original time series. The causal couplings of the empirical time series were deemed significant if the CCM result of the original data outperformed 95% of the CCM results of the surrogate data (P &lt; 0.05) </w:t>
      </w:r>
      <w:r w:rsidRPr="00DB3517">
        <w:rPr>
          <w:rFonts w:ascii="Times New Roman" w:hAnsi="Times New Roman" w:cs="Times New Roman"/>
          <w:sz w:val="24"/>
          <w:szCs w:val="24"/>
        </w:rPr>
        <w:fldChar w:fldCharType="begin" w:fldLock="1"/>
      </w:r>
      <w:r w:rsidRPr="00DB3517">
        <w:rPr>
          <w:rFonts w:ascii="Times New Roman" w:hAnsi="Times New Roman" w:cs="Times New Roman"/>
          <w:sz w:val="24"/>
          <w:szCs w:val="24"/>
        </w:rPr>
        <w:instrText>ADDIN CSL_CITATION {"citationItems":[{"id":"ITEM-1","itemData":{"DOI":"10.1038/nclimate2568","ISSN":"17586798","abstract":"The statistical association between temperature and greenhouse gases over glacial cycles is well documented, but causality behind this correlation remains difficult to extract directly from the data. A time lag of CO 2 behind Antarctic temperature - originally thought to hint at a driving role for temperature - is absent at the last deglaciation, but recently confirmed at the last ice age inception and the end of the earlier termination II (ref.). We show that such variable time lags are typical for complex nonlinear systems such as the climate, prohibiting straightforward use of correlation lags to infer causation. However, an insight from dynamical systems theory now allows us to circumvent the classical challenges of unravelling causation from multivariate time series. We build on this insight to demonstrate directly from ice-core data that, over glacial-interglacial timescales, climate dynamics are largely driven by internal Earth system mechanisms, including a marked positive feedback effect from temperature variability on greenhouse-gas concentrations.","author":[{"dropping-particle":"","family":"Nes","given":"Egbert H.","non-dropping-particle":"Van","parse-names":false,"suffix":""},{"dropping-particle":"","family":"Scheffer","given":"Marten","non-dropping-particle":"","parse-names":false,"suffix":""},{"dropping-particle":"","family":"Brovkin","given":"Victor","non-dropping-particle":"","parse-names":false,"suffix":""},{"dropping-particle":"","family":"Lenton","given":"Timothy M.","non-dropping-particle":"","parse-names":false,"suffix":""},{"dropping-particle":"","family":"Ye","given":"Hao","non-dropping-particle":"","parse-names":false,"suffix":""},{"dropping-particle":"","family":"Deyle","given":"Ethan","non-dropping-particle":"","parse-names":false,"suffix":""},{"dropping-particle":"","family":"Sugihara","given":"George","non-dropping-particle":"","parse-names":false,"suffix":""}],"container-title":"Nature Climate Change","id":"ITEM-1","issued":{"date-parts":[["2015"]]},"title":"Causal feedbacks in climate change","type":"article-journal"},"uris":["http://www.mendeley.com/documents/?uuid=27571bb4-76cc-45b1-9c35-4d83e9261e4b"]},{"id":"ITEM-2","itemData":{"DOI":"10.1073/pnas.1215506110","ISSN":"00278424","PMID":"23536299","abstract":"For many marine species and habitats, climate change and overfishing present a double threat. To manage marine resources effectively, it is necessary to adapt management to changes in the physical environment. Simple relationships between environmental conditions and fish abundance have long been used in both fisheries and fishery management. In many cases, however, physical, biological, and human variables feed back on each other. For these systems, associations between variables can change as the system evolves in time. This can obscure relationships between population dynamics and environmental variability, undermining our ability to forecast changes in populations tied to physical processes. Here we present a methodology for identifying physical forcing variables based on nonlinear forecasting and show how the method provides a predictive understanding of the influence of physical forcing on Pacific sardine.","author":[{"dropping-particle":"","family":"Deyle","given":"Ethan R.","non-dropping-particle":"","parse-names":false,"suffix":""},{"dropping-particle":"","family":"Fogarty","given":"Michael","non-dropping-particle":"","parse-names":false,"suffix":""},{"dropping-particle":"","family":"Hsieh","given":"Chih Hao","non-dropping-particle":"","parse-names":false,"suffix":""},{"dropping-particle":"","family":"Kaufman","given":"Les","non-dropping-particle":"","parse-names":false,"suffix":""},{"dropping-particle":"","family":"MacCall","given":"Alec D.","non-dropping-particle":"","parse-names":false,"suffix":""},{"dropping-particle":"","family":"Munch","given":"Stephan B.","non-dropping-particle":"","parse-names":false,"suffix":""},{"dropping-particle":"","family":"Perretti","given":"Charles T.","non-dropping-particle":"","parse-names":false,"suffix":""},{"dropping-particle":"","family":"Ye","given":"Hao","non-dropping-particle":"","parse-names":false,"suffix":""},{"dropping-particle":"","family":"Sugihara","given":"George","non-dropping-particle":"","parse-names":false,"suffix":""}],"container-title":"Proceedings of the National Academy of Sciences of the United States of America","id":"ITEM-2","issued":{"date-parts":[["2013"]]},"title":"Predicting climate effects on Pacific sardine","type":"article-journal"},"uris":["http://www.mendeley.com/documents/?uuid=31b231ab-e2f4-41ba-a54a-5e0b55ec4f61"]}],"mendeley":{"formattedCitation":"(Deyle et al., 2013; Van Nes et al., 2015)","plainTextFormattedCitation":"(Deyle et al., 2013; Van Nes et al., 2015)","previouslyFormattedCitation":"(Deyle et al., 2013; Van Nes et al., 2015)"},"properties":{"noteIndex":0},"schema":"https://github.com/citation-style-language/schema/raw/master/csl-citation.json"}</w:instrText>
      </w:r>
      <w:r w:rsidRPr="00DB3517">
        <w:rPr>
          <w:rFonts w:ascii="Times New Roman" w:hAnsi="Times New Roman" w:cs="Times New Roman"/>
          <w:sz w:val="24"/>
          <w:szCs w:val="24"/>
        </w:rPr>
        <w:fldChar w:fldCharType="separate"/>
      </w:r>
      <w:r w:rsidRPr="00DB3517">
        <w:rPr>
          <w:rFonts w:ascii="Times New Roman" w:hAnsi="Times New Roman" w:cs="Times New Roman"/>
          <w:noProof/>
          <w:sz w:val="24"/>
          <w:szCs w:val="24"/>
        </w:rPr>
        <w:t>(Deyle et al., 2013; Van Nes et al., 2015)</w:t>
      </w:r>
      <w:r w:rsidRPr="00DB3517">
        <w:rPr>
          <w:rFonts w:ascii="Times New Roman" w:hAnsi="Times New Roman" w:cs="Times New Roman"/>
          <w:sz w:val="24"/>
          <w:szCs w:val="24"/>
          <w:lang w:val="en-US"/>
        </w:rPr>
        <w:fldChar w:fldCharType="end"/>
      </w:r>
      <w:r w:rsidRPr="00DB3517">
        <w:rPr>
          <w:rFonts w:ascii="Times New Roman" w:hAnsi="Times New Roman" w:cs="Times New Roman"/>
          <w:sz w:val="24"/>
          <w:szCs w:val="24"/>
        </w:rPr>
        <w:t>.</w:t>
      </w:r>
    </w:p>
    <w:p w:rsidR="00471B9E" w:rsidRPr="00911AFA" w:rsidRDefault="00471B9E" w:rsidP="00471B9E">
      <w:pPr>
        <w:spacing w:after="120" w:line="480" w:lineRule="auto"/>
        <w:jc w:val="both"/>
        <w:rPr>
          <w:rFonts w:ascii="Times New Roman" w:hAnsi="Times New Roman" w:cs="Times New Roman"/>
          <w:sz w:val="24"/>
          <w:szCs w:val="24"/>
        </w:rPr>
      </w:pPr>
      <w:r w:rsidRPr="00DB3517">
        <w:rPr>
          <w:rFonts w:ascii="Times New Roman" w:hAnsi="Times New Roman" w:cs="Times New Roman"/>
          <w:sz w:val="24"/>
          <w:szCs w:val="24"/>
        </w:rPr>
        <w:t>Furthermore, the embedding dimension (</w:t>
      </w:r>
      <w:r w:rsidRPr="00DB3517">
        <w:rPr>
          <w:rFonts w:ascii="Times New Roman" w:hAnsi="Times New Roman" w:cs="Times New Roman"/>
          <w:i/>
          <w:sz w:val="24"/>
          <w:szCs w:val="24"/>
        </w:rPr>
        <w:t>E</w:t>
      </w:r>
      <w:r w:rsidRPr="00DB3517">
        <w:rPr>
          <w:rFonts w:ascii="Times New Roman" w:hAnsi="Times New Roman" w:cs="Times New Roman"/>
          <w:sz w:val="24"/>
          <w:szCs w:val="24"/>
        </w:rPr>
        <w:t xml:space="preserve">) for each causal link (e.g. from </w:t>
      </w:r>
      <w:r w:rsidRPr="00DB3517">
        <w:rPr>
          <w:rFonts w:ascii="Times New Roman" w:hAnsi="Times New Roman" w:cs="Times New Roman"/>
          <w:i/>
          <w:sz w:val="24"/>
          <w:szCs w:val="24"/>
        </w:rPr>
        <w:t>Y</w:t>
      </w:r>
      <w:r w:rsidRPr="00DB3517">
        <w:rPr>
          <w:rFonts w:ascii="Times New Roman" w:hAnsi="Times New Roman" w:cs="Times New Roman"/>
          <w:sz w:val="24"/>
          <w:szCs w:val="24"/>
        </w:rPr>
        <w:t xml:space="preserve"> to </w:t>
      </w:r>
      <w:r w:rsidRPr="00DB3517">
        <w:rPr>
          <w:rFonts w:ascii="Times New Roman" w:hAnsi="Times New Roman" w:cs="Times New Roman"/>
          <w:i/>
          <w:sz w:val="24"/>
          <w:szCs w:val="24"/>
        </w:rPr>
        <w:t>X</w:t>
      </w:r>
      <w:r w:rsidRPr="00DB3517">
        <w:rPr>
          <w:rFonts w:ascii="Times New Roman" w:hAnsi="Times New Roman" w:cs="Times New Roman"/>
          <w:sz w:val="24"/>
          <w:szCs w:val="24"/>
        </w:rPr>
        <w:t xml:space="preserve">) in CCM analysis was determined by testing values of </w:t>
      </w:r>
      <w:r w:rsidRPr="00DB3517">
        <w:rPr>
          <w:rFonts w:ascii="Times New Roman" w:hAnsi="Times New Roman" w:cs="Times New Roman"/>
          <w:i/>
          <w:sz w:val="24"/>
          <w:szCs w:val="24"/>
        </w:rPr>
        <w:t>E</w:t>
      </w:r>
      <w:r w:rsidRPr="00DB3517">
        <w:rPr>
          <w:rFonts w:ascii="Times New Roman" w:hAnsi="Times New Roman" w:cs="Times New Roman"/>
          <w:sz w:val="24"/>
          <w:szCs w:val="24"/>
        </w:rPr>
        <w:t xml:space="preserve"> from 1 to 8 dimensions </w:t>
      </w:r>
      <w:r w:rsidRPr="00DB3517">
        <w:rPr>
          <w:rFonts w:ascii="Times New Roman" w:hAnsi="Times New Roman" w:cs="Times New Roman"/>
          <w:sz w:val="24"/>
          <w:szCs w:val="24"/>
          <w:lang w:val="en-US"/>
        </w:rPr>
        <w:t xml:space="preserve">following the procedure of Deyle </w:t>
      </w:r>
      <w:r w:rsidRPr="00DB3517">
        <w:rPr>
          <w:rFonts w:ascii="Times New Roman" w:hAnsi="Times New Roman" w:cs="Times New Roman"/>
          <w:sz w:val="24"/>
          <w:szCs w:val="24"/>
          <w:lang w:val="en-US"/>
        </w:rPr>
        <w:fldChar w:fldCharType="begin" w:fldLock="1"/>
      </w:r>
      <w:r w:rsidRPr="00DB3517">
        <w:rPr>
          <w:rFonts w:ascii="Times New Roman" w:hAnsi="Times New Roman" w:cs="Times New Roman"/>
          <w:sz w:val="24"/>
          <w:szCs w:val="24"/>
          <w:lang w:val="en-US"/>
        </w:rPr>
        <w:instrText>ADDIN CSL_CITATION {"citationItems":[{"id":"ITEM-1","itemData":{"DOI":"10.1073/pnas.1607747113","ISSN":"10916490","PMID":"27799563","abstract":"In temperate countries, influenza outbreaks are well correlated to seasonal changes in temperature and absolute humidity. However, tropical countries have much weaker annual climate cycles, and outbreaks show less seasonality and are more difficult to explain with environmental correlations. Here, we use convergent cross mapping, a robust test for causality that does not require correlation, to test alternative hypotheses about the global environmental drivers of influenza outbreaks from country-level epidemic time series. By moving beyond correlation, we show that despite the apparent differences in outbreak patterns between temperate and tropical countries, absolute humidity and, to a lesser extent, temperature drive influenza outbreaks globally. We also find a hypothesized U-shaped relationship between absolute humidity and influenza that is predicted by theory and experiment, but hitherto has not been documented at the population level. The balance between positive and negative effects of absolute humidity appears to be mediated by temperature, and the analysis reveals a key threshold around 75°F. The results indicate a unified explanation for environmental drivers of influenza that applies globally.","author":[{"dropping-particle":"","family":"Deyle","given":"Ethan R.","non-dropping-particle":"","parse-names":false,"suffix":""},{"dropping-particle":"","family":"Maher","given":"M. Cyrus","non-dropping-particle":"","parse-names":false,"suffix":""},{"dropping-particle":"","family":"Hernandez","given":"Ryan D.","non-dropping-particle":"","parse-names":false,"suffix":""},{"dropping-particle":"","family":"Basu","given":"Sanjay","non-dropping-particle":"","parse-names":false,"suffix":""},{"dropping-particle":"","family":"Sugihara","given":"George","non-dropping-particle":"","parse-names":false,"suffix":""}],"container-title":"Proceedings of the National Academy of Sciences of the United States of America","id":"ITEM-1","issued":{"date-parts":[["2016"]]},"title":"Global environmental drivers of influenza","type":"article-journal"},"uris":["http://www.mendeley.com/documents/?uuid=41a8e059-59cd-4649-87a5-1061c64a3964"]}],"mendeley":{"formattedCitation":"(Deyle et al., 2016)","plainTextFormattedCitation":"(Deyle et al., 2016)","previouslyFormattedCitation":"(Deyle et al., 2016)"},"properties":{"noteIndex":0},"schema":"https://github.com/citation-style-language/schema/raw/master/csl-citation.json"}</w:instrText>
      </w:r>
      <w:r w:rsidRPr="00DB3517">
        <w:rPr>
          <w:rFonts w:ascii="Times New Roman" w:hAnsi="Times New Roman" w:cs="Times New Roman"/>
          <w:sz w:val="24"/>
          <w:szCs w:val="24"/>
          <w:lang w:val="en-US"/>
        </w:rPr>
        <w:fldChar w:fldCharType="separate"/>
      </w:r>
      <w:r w:rsidRPr="00DB3517">
        <w:rPr>
          <w:rFonts w:ascii="Times New Roman" w:hAnsi="Times New Roman" w:cs="Times New Roman"/>
          <w:noProof/>
          <w:sz w:val="24"/>
          <w:szCs w:val="24"/>
          <w:lang w:val="en-US"/>
        </w:rPr>
        <w:t>(Deyle et al., 2016)</w:t>
      </w:r>
      <w:r w:rsidRPr="00DB3517">
        <w:rPr>
          <w:rFonts w:ascii="Times New Roman" w:hAnsi="Times New Roman" w:cs="Times New Roman"/>
          <w:sz w:val="24"/>
          <w:szCs w:val="24"/>
          <w:lang w:val="en-US"/>
        </w:rPr>
        <w:fldChar w:fldCharType="end"/>
      </w:r>
      <w:r w:rsidRPr="00DB3517">
        <w:rPr>
          <w:rFonts w:ascii="Times New Roman" w:hAnsi="Times New Roman" w:cs="Times New Roman"/>
          <w:sz w:val="24"/>
          <w:szCs w:val="24"/>
          <w:lang w:val="en-US"/>
        </w:rPr>
        <w:t xml:space="preserve">. Thus, dimension </w:t>
      </w:r>
      <w:r w:rsidRPr="00DB3517">
        <w:rPr>
          <w:rFonts w:ascii="Times New Roman" w:hAnsi="Times New Roman" w:cs="Times New Roman"/>
          <w:i/>
          <w:sz w:val="24"/>
          <w:szCs w:val="24"/>
        </w:rPr>
        <w:t>E</w:t>
      </w:r>
      <w:r w:rsidRPr="00DB3517">
        <w:rPr>
          <w:rFonts w:ascii="Times New Roman" w:hAnsi="Times New Roman" w:cs="Times New Roman"/>
          <w:sz w:val="24"/>
          <w:szCs w:val="24"/>
          <w:lang w:val="en-US"/>
        </w:rPr>
        <w:t xml:space="preserve"> was chosen that optimizes </w:t>
      </w:r>
      <w:r w:rsidRPr="00DB3517">
        <w:rPr>
          <w:rFonts w:ascii="Times New Roman" w:hAnsi="Times New Roman" w:cs="Times New Roman"/>
          <w:sz w:val="24"/>
          <w:szCs w:val="24"/>
        </w:rPr>
        <w:t xml:space="preserve">cross-mapping </w:t>
      </w:r>
      <w:r w:rsidRPr="00DB3517">
        <w:rPr>
          <w:rFonts w:ascii="Times New Roman" w:hAnsi="Times New Roman" w:cs="Times New Roman"/>
          <w:i/>
          <w:sz w:val="24"/>
          <w:szCs w:val="24"/>
        </w:rPr>
        <w:t>ρ</w:t>
      </w:r>
      <w:r w:rsidRPr="00DB3517">
        <w:rPr>
          <w:rFonts w:ascii="Times New Roman" w:hAnsi="Times New Roman" w:cs="Times New Roman"/>
          <w:sz w:val="24"/>
          <w:szCs w:val="24"/>
          <w:lang w:val="en-US"/>
        </w:rPr>
        <w:t xml:space="preserve"> lagged 1-time step for the largest possible number of points in the library</w:t>
      </w:r>
      <w:r w:rsidRPr="00DB3517">
        <w:rPr>
          <w:rFonts w:ascii="Times New Roman" w:hAnsi="Times New Roman" w:cs="Times New Roman"/>
          <w:sz w:val="24"/>
          <w:szCs w:val="24"/>
        </w:rPr>
        <w:t xml:space="preserve">. Further, all-time series were normalized to zero mean and unit variance </w:t>
      </w:r>
      <w:r w:rsidRPr="00DB3517">
        <w:rPr>
          <w:rFonts w:ascii="Times New Roman" w:hAnsi="Times New Roman" w:cs="Times New Roman"/>
          <w:sz w:val="24"/>
          <w:szCs w:val="24"/>
          <w:lang w:val="en-US"/>
        </w:rPr>
        <w:t xml:space="preserve">so that the Euclidian distances on the reconstructed manifolds are scale-free </w:t>
      </w:r>
      <w:r w:rsidRPr="00DB3517">
        <w:rPr>
          <w:rFonts w:ascii="Times New Roman" w:hAnsi="Times New Roman" w:cs="Times New Roman"/>
          <w:sz w:val="24"/>
          <w:szCs w:val="24"/>
          <w:lang w:val="en-US"/>
        </w:rPr>
        <w:fldChar w:fldCharType="begin" w:fldLock="1"/>
      </w:r>
      <w:r w:rsidRPr="00DB3517">
        <w:rPr>
          <w:rFonts w:ascii="Times New Roman" w:hAnsi="Times New Roman" w:cs="Times New Roman"/>
          <w:sz w:val="24"/>
          <w:szCs w:val="24"/>
          <w:lang w:val="en-US"/>
        </w:rPr>
        <w:instrText>ADDIN CSL_CITATION {"citationItems":[{"id":"ITEM-1","itemData":{"DOI":"10.1073/pnas.1607747113","ISSN":"10916490","PMID":"27799563","abstract":"In temperate countries, influenza outbreaks are well correlated to seasonal changes in temperature and absolute humidity. However, tropical countries have much weaker annual climate cycles, and outbreaks show less seasonality and are more difficult to explain with environmental correlations. Here, we use convergent cross mapping, a robust test for causality that does not require correlation, to test alternative hypotheses about the global environmental drivers of influenza outbreaks from country-level epidemic time series. By moving beyond correlation, we show that despite the apparent differences in outbreak patterns between temperate and tropical countries, absolute humidity and, to a lesser extent, temperature drive influenza outbreaks globally. We also find a hypothesized U-shaped relationship between absolute humidity and influenza that is predicted by theory and experiment, but hitherto has not been documented at the population level. The balance between positive and negative effects of absolute humidity appears to be mediated by temperature, and the analysis reveals a key threshold around 75°F. The results indicate a unified explanation for environmental drivers of influenza that applies globally.","author":[{"dropping-particle":"","family":"Deyle","given":"Ethan R.","non-dropping-particle":"","parse-names":false,"suffix":""},{"dropping-particle":"","family":"Maher","given":"M. Cyrus","non-dropping-particle":"","parse-names":false,"suffix":""},{"dropping-particle":"","family":"Hernandez","given":"Ryan D.","non-dropping-particle":"","parse-names":false,"suffix":""},{"dropping-particle":"","family":"Basu","given":"Sanjay","non-dropping-particle":"","parse-names":false,"suffix":""},{"dropping-particle":"","family":"Sugihara","given":"George","non-dropping-particle":"","parse-names":false,"suffix":""}],"container-title":"Proceedings of the National Academy of Sciences of the United States of America","id":"ITEM-1","issued":{"date-parts":[["2016"]]},"title":"Global environmental drivers of influenza","type":"article-journal"},"uris":["http://www.mendeley.com/documents/?uuid=41a8e059-59cd-4649-87a5-1061c64a3964"]}],"mendeley":{"formattedCitation":"(Deyle et al., 2016)","plainTextFormattedCitation":"(Deyle et al., 2016)","previouslyFormattedCitation":"(Deyle et al., 2016)"},"properties":{"noteIndex":0},"schema":"https://github.com/citation-style-language/schema/raw/master/csl-citation.json"}</w:instrText>
      </w:r>
      <w:r w:rsidRPr="00DB3517">
        <w:rPr>
          <w:rFonts w:ascii="Times New Roman" w:hAnsi="Times New Roman" w:cs="Times New Roman"/>
          <w:sz w:val="24"/>
          <w:szCs w:val="24"/>
          <w:lang w:val="en-US"/>
        </w:rPr>
        <w:fldChar w:fldCharType="separate"/>
      </w:r>
      <w:r w:rsidRPr="00DB3517">
        <w:rPr>
          <w:rFonts w:ascii="Times New Roman" w:hAnsi="Times New Roman" w:cs="Times New Roman"/>
          <w:noProof/>
          <w:sz w:val="24"/>
          <w:szCs w:val="24"/>
          <w:lang w:val="en-US"/>
        </w:rPr>
        <w:t>(Deyle et al., 2016)</w:t>
      </w:r>
      <w:r w:rsidRPr="00DB3517">
        <w:rPr>
          <w:rFonts w:ascii="Times New Roman" w:hAnsi="Times New Roman" w:cs="Times New Roman"/>
          <w:sz w:val="24"/>
          <w:szCs w:val="24"/>
          <w:lang w:val="en-US"/>
        </w:rPr>
        <w:fldChar w:fldCharType="end"/>
      </w:r>
      <w:r w:rsidRPr="00DB3517">
        <w:rPr>
          <w:rFonts w:ascii="Times New Roman" w:hAnsi="Times New Roman" w:cs="Times New Roman"/>
          <w:sz w:val="24"/>
          <w:szCs w:val="24"/>
        </w:rPr>
        <w:t>. Due to the paucity of observation points, we performed leave-one-out cross-validation</w:t>
      </w:r>
      <w:r w:rsidRPr="00DB3517">
        <w:rPr>
          <w:rFonts w:ascii="Times New Roman" w:hAnsi="Times New Roman" w:cs="Times New Roman"/>
          <w:sz w:val="24"/>
          <w:szCs w:val="24"/>
        </w:rPr>
        <w:fldChar w:fldCharType="begin" w:fldLock="1"/>
      </w:r>
      <w:r w:rsidRPr="00DB3517">
        <w:rPr>
          <w:rFonts w:ascii="Times New Roman" w:hAnsi="Times New Roman" w:cs="Times New Roman"/>
          <w:sz w:val="24"/>
          <w:szCs w:val="24"/>
        </w:rPr>
        <w:instrText>ADDIN CSL_CITATION {"citationItems":[{"id":"ITEM-1","itemData":{"DOI":"10.1111/faf.12037","ISSN":"14672979","abstract":"Complex nonlinear dynamics in marine fisheries create challenges for prediction and management, yet the extent to which they occur in fisheries is not well known. Using nonlinear forecasting models, we analysed over 200 time series of survey abundance and landings from two distinct ecosystems for patterns of dynamic complexity (dimensionality and nonlinear dynamics) and predictability. Differences in system dimensionality and nonlinear dynamics were associated with time series that reflected human intervention via fishing effort, implying the coupling between human and natural systems generated dynamics distinct from those detected in the natural resource subsystem alone. Estimated dimensionality was highest for landings and higher in abundance indices of unfished species than fished species. Fished species were more likely to display nonlinear dynamics than unfished species, and landings were significantly less predictable than abundance indices. Results were robust to variation in life history characteristics. Dynamics were predictable over a 1-year time horizon in seventy percent of time series, but predictability declined exponentially over a 5-year horizon. The ability to make predictions in fisheries systems is therefore extremely limited. To our knowledge, this is the first cross-system comparative study, and the first at the scale of individual species, to analyse empirically the dynamic complexity observed in fisheries data and to quantify predictability broadly. We outline one application of short-term forecasts to a precautionary approach to fisheries management that could improve how uncertainty and forecast error are incorporated into assessment through catch limit buffers.","author":[{"dropping-particle":"","family":"Glaser","given":"Sarah M.","non-dropping-particle":"","parse-names":false,"suffix":""},{"dropping-particle":"","family":"Fogarty","given":"Michael J.","non-dropping-particle":"","parse-names":false,"suffix":""},{"dropping-particle":"","family":"Liu","given":"Hui","non-dropping-particle":"","parse-names":false,"suffix":""},{"dropping-particle":"","family":"Altman","given":"Irit","non-dropping-particle":"","parse-names":false,"suffix":""},{"dropping-particle":"","family":"Hsieh","given":"Chih Hao","non-dropping-particle":"","parse-names":false,"suffix":""},{"dropping-particle":"","family":"Kaufman","given":"Les","non-dropping-particle":"","parse-names":false,"suffix":""},{"dropping-particle":"","family":"Maccall","given":"Alec D.","non-dropping-particle":"","parse-names":false,"suffix":""},{"dropping-particle":"","family":"Rosenberg","given":"Andrew A.","non-dropping-particle":"","parse-names":false,"suffix":""},{"dropping-particle":"","family":"Ye","given":"Hao","non-dropping-particle":"","parse-names":false,"suffix":""},{"dropping-particle":"","family":"Sugihara","given":"George","non-dropping-particle":"","parse-names":false,"suffix":""}],"container-title":"Fish and Fisheries","id":"ITEM-1","issued":{"date-parts":[["2014"]]},"title":"Complex dynamics may limit prediction in marine fisheries","type":"article-journal"},"uris":["http://www.mendeley.com/documents/?uuid=03499945-f400-4ac7-bc22-dc233fcb003c"]}],"mendeley":{"formattedCitation":"(Glaser et al., 2014)","plainTextFormattedCitation":"(Glaser et al., 2014)","previouslyFormattedCitation":"(Glaser et al., 2014)"},"properties":{"noteIndex":0},"schema":"https://github.com/citation-style-language/schema/raw/master/csl-citation.json"}</w:instrText>
      </w:r>
      <w:r w:rsidRPr="00DB3517">
        <w:rPr>
          <w:rFonts w:ascii="Times New Roman" w:hAnsi="Times New Roman" w:cs="Times New Roman"/>
          <w:sz w:val="24"/>
          <w:szCs w:val="24"/>
        </w:rPr>
        <w:fldChar w:fldCharType="separate"/>
      </w:r>
      <w:r w:rsidRPr="00DB3517">
        <w:rPr>
          <w:rFonts w:ascii="Times New Roman" w:hAnsi="Times New Roman" w:cs="Times New Roman"/>
          <w:noProof/>
          <w:sz w:val="24"/>
          <w:szCs w:val="24"/>
        </w:rPr>
        <w:t>(Glaser et al., 2014)</w:t>
      </w:r>
      <w:r w:rsidRPr="00DB3517">
        <w:rPr>
          <w:rFonts w:ascii="Times New Roman" w:hAnsi="Times New Roman" w:cs="Times New Roman"/>
          <w:sz w:val="24"/>
          <w:szCs w:val="24"/>
          <w:lang w:val="en-US"/>
        </w:rPr>
        <w:fldChar w:fldCharType="end"/>
      </w:r>
      <w:r w:rsidRPr="00DB3517">
        <w:rPr>
          <w:rFonts w:ascii="Times New Roman" w:hAnsi="Times New Roman" w:cs="Times New Roman"/>
          <w:sz w:val="24"/>
          <w:szCs w:val="24"/>
        </w:rPr>
        <w:t xml:space="preserve">. Two </w:t>
      </w:r>
      <w:r w:rsidRPr="00DB3517">
        <w:rPr>
          <w:rFonts w:ascii="Times New Roman" w:hAnsi="Times New Roman" w:cs="Times New Roman"/>
          <w:sz w:val="24"/>
          <w:szCs w:val="24"/>
          <w:lang w:val="en-US"/>
        </w:rPr>
        <w:t xml:space="preserve">missing values for parasite density were imputed by linear interpolation. </w:t>
      </w:r>
      <w:r w:rsidRPr="00DB3517">
        <w:rPr>
          <w:rFonts w:ascii="Times New Roman" w:hAnsi="Times New Roman" w:cs="Times New Roman"/>
          <w:sz w:val="24"/>
          <w:szCs w:val="24"/>
        </w:rPr>
        <w:t xml:space="preserve">Time series analysis was performed using the rEDM package (version 0.7.3) of the programming language </w:t>
      </w:r>
      <w:r w:rsidRPr="00DB3517">
        <w:rPr>
          <w:rFonts w:ascii="Times New Roman" w:hAnsi="Times New Roman" w:cs="Times New Roman"/>
          <w:i/>
          <w:sz w:val="24"/>
          <w:szCs w:val="24"/>
        </w:rPr>
        <w:t>R</w:t>
      </w:r>
      <w:r>
        <w:rPr>
          <w:rFonts w:ascii="Times New Roman" w:hAnsi="Times New Roman" w:cs="Times New Roman"/>
          <w:i/>
          <w:sz w:val="24"/>
          <w:szCs w:val="24"/>
        </w:rPr>
        <w:t xml:space="preserve"> </w:t>
      </w:r>
      <w:r w:rsidRPr="00DB3517">
        <w:rPr>
          <w:rFonts w:ascii="Times New Roman" w:hAnsi="Times New Roman" w:cs="Times New Roman"/>
          <w:sz w:val="24"/>
          <w:szCs w:val="24"/>
        </w:rPr>
        <w:fldChar w:fldCharType="begin" w:fldLock="1"/>
      </w:r>
      <w:r w:rsidRPr="00DB3517">
        <w:rPr>
          <w:rFonts w:ascii="Times New Roman" w:hAnsi="Times New Roman" w:cs="Times New Roman"/>
          <w:sz w:val="24"/>
          <w:szCs w:val="24"/>
        </w:rPr>
        <w:instrText>ADDIN CSL_CITATION {"citationItems":[{"id":"ITEM-1","itemData":{"abstract":"Empirical dynamic modeling (EDM) is an emerging non-parametric framework for modeling nonlinear dynamic systems. In an ecological context, EDM has numerous applications, including forecasting population abundances, unraveling species interactions, and identifying causal drivers. In contrast to the conventional approach of fitting assumed model equations to data, EDM relies on the fact that ecosystems have dynamics that allows us to reconstruct attractors directly from time series. This approach (with minimal assumptions) makes EDM particularly suitable for studying ecosystems, which exhibit non-equilibrium dynamics (problematic for models that typically assume stable equilibria) and state-dependent behavior (interactions that change with system state). This guide is designed to introduce both the theory behind EDM, as well as providing practical examples for using the rEDM software package.","author":[{"dropping-particle":"","family":"Ye","given":"Hao","non-dropping-particle":"","parse-names":false,"suffix":""},{"dropping-particle":"","family":"Clark","given":"Adam","non-dropping-particle":"","parse-names":false,"suffix":""},{"dropping-particle":"","family":"Deyle","given":"Ethan","non-dropping-particle":"","parse-names":false,"suffix":""},{"dropping-particle":"","family":"Sugihara","given":"George","non-dropping-particle":"","parse-names":false,"suffix":""}],"container-title":"R-Project.Org","id":"ITEM-1","issued":{"date-parts":[["2020"]]},"title":"rEDM: an R package for Empirical Dynamic Modeling and Convergent Cross-Mapping","type":"article-journal"},"uris":["http://www.mendeley.com/documents/?uuid=64def309-a31b-4dcf-b76b-c961ac4607f9"]}],"mendeley":{"formattedCitation":"(Ye et al., 2020)","plainTextFormattedCitation":"(Ye et al., 2020)","previouslyFormattedCitation":"(Ye et al., 2020)"},"properties":{"noteIndex":0},"schema":"https://github.com/citation-style-language/schema/raw/master/csl-citation.json"}</w:instrText>
      </w:r>
      <w:r w:rsidRPr="00DB3517">
        <w:rPr>
          <w:rFonts w:ascii="Times New Roman" w:hAnsi="Times New Roman" w:cs="Times New Roman"/>
          <w:sz w:val="24"/>
          <w:szCs w:val="24"/>
        </w:rPr>
        <w:fldChar w:fldCharType="separate"/>
      </w:r>
      <w:r w:rsidRPr="00DB3517">
        <w:rPr>
          <w:rFonts w:ascii="Times New Roman" w:hAnsi="Times New Roman" w:cs="Times New Roman"/>
          <w:noProof/>
          <w:sz w:val="24"/>
          <w:szCs w:val="24"/>
        </w:rPr>
        <w:t>(Ye et al., 2020)</w:t>
      </w:r>
      <w:r w:rsidRPr="00DB3517">
        <w:rPr>
          <w:rFonts w:ascii="Times New Roman" w:hAnsi="Times New Roman" w:cs="Times New Roman"/>
          <w:sz w:val="24"/>
          <w:szCs w:val="24"/>
          <w:lang w:val="en-US"/>
        </w:rPr>
        <w:fldChar w:fldCharType="end"/>
      </w:r>
      <w:r>
        <w:rPr>
          <w:rFonts w:ascii="Times New Roman" w:hAnsi="Times New Roman" w:cs="Times New Roman"/>
          <w:sz w:val="24"/>
          <w:szCs w:val="24"/>
        </w:rPr>
        <w:t>.</w:t>
      </w:r>
    </w:p>
    <w:p w:rsidR="00F4526F" w:rsidRDefault="00F4526F">
      <w:bookmarkStart w:id="0" w:name="_GoBack"/>
      <w:bookmarkEnd w:id="0"/>
    </w:p>
    <w:sectPr w:rsidR="00F4526F" w:rsidSect="00E13F67">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B9E"/>
    <w:rsid w:val="003A0A23"/>
    <w:rsid w:val="00471B9E"/>
    <w:rsid w:val="009C003D"/>
    <w:rsid w:val="00F452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C00686-9E6E-4E3B-9D79-C6E070C7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B9E"/>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71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4186</Words>
  <Characters>23864</Characters>
  <Application>Microsoft Office Word</Application>
  <DocSecurity>0</DocSecurity>
  <Lines>198</Lines>
  <Paragraphs>55</Paragraphs>
  <ScaleCrop>false</ScaleCrop>
  <Company>Springer Nature</Company>
  <LinksUpToDate>false</LinksUpToDate>
  <CharactersWithSpaces>27995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2021-10-18T04:25:00Z</dcterms:created>
  <dcterms:modified xsi:type="dcterms:W3CDTF">2021-10-18T04:25:00Z</dcterms:modified>
</cp:coreProperties>
</file>