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1D728" w14:textId="77777777" w:rsidR="008072FE" w:rsidRDefault="008072FE" w:rsidP="008072FE">
      <w:pPr>
        <w:pStyle w:val="Heading1"/>
      </w:pPr>
      <w:bookmarkStart w:id="0" w:name="_Toc227447450"/>
      <w:r>
        <w:t>Supplementary Materials. 1</w:t>
      </w:r>
      <w:bookmarkEnd w:id="0"/>
    </w:p>
    <w:p w14:paraId="66581B3B" w14:textId="77777777" w:rsidR="008072FE" w:rsidRDefault="008072FE" w:rsidP="008072FE">
      <w:pPr>
        <w:pStyle w:val="Standard"/>
        <w:spacing w:line="360" w:lineRule="auto"/>
        <w:ind w:firstLine="709"/>
        <w:jc w:val="both"/>
      </w:pPr>
      <w:r w:rsidRPr="00C529F6">
        <w:t>Multiple transducer models are currently in use and commercially available; however, transducer configurations specifically optimized for targeting the deep cerebellar nuclei have not yet been systematically explored</w:t>
      </w:r>
      <w:r w:rsidRPr="00F0015D">
        <w:t xml:space="preserve">. To further empirically characterize the transducer capabilities required for targeting deep nuclei, we conducted an </w:t>
      </w:r>
      <w:r w:rsidRPr="00F0015D">
        <w:rPr>
          <w:i/>
          <w:iCs/>
        </w:rPr>
        <w:t>in-silico</w:t>
      </w:r>
      <w:r w:rsidRPr="00F0015D">
        <w:t xml:space="preserve"> exploration, comparing the adequacy of commercially available transducers for deep cerebellar nuclei targeting. The objective of this analysis was to evaluate transducer configurations capable of accurately and precisely targeting the anterior-inferior-lateral region of the dentate nucleus (MNI coordinates: x = -16, y = -54, z = -37), while minimizing unintended exposure of surrounding structures. This target was selected as an example region within the dentate nucleus representing a non-motor network subregion. </w:t>
      </w:r>
      <w:r w:rsidRPr="00DC7205">
        <w:t>Nevertheless, we believe that the methodological approach and conclusions described here are generalizable to other dentate subregions as well as to other deep cerebellar nuclei.</w:t>
      </w:r>
    </w:p>
    <w:p w14:paraId="5D199075" w14:textId="77777777" w:rsidR="008072FE" w:rsidRPr="00F0015D" w:rsidRDefault="008072FE" w:rsidP="008072FE">
      <w:pPr>
        <w:pStyle w:val="Standard"/>
        <w:spacing w:line="360" w:lineRule="auto"/>
        <w:ind w:firstLine="709"/>
        <w:jc w:val="both"/>
        <w:rPr>
          <w:color w:val="C00000"/>
        </w:rPr>
      </w:pPr>
      <w:r w:rsidRPr="000E6189">
        <w:t>To this end, we used a T1-weighted MNI152 template MRI, which provides a standardized representation of global brain anatomy</w:t>
      </w:r>
      <w:r>
        <w:t xml:space="preserve"> and geometrical standards</w:t>
      </w:r>
      <w:r w:rsidRPr="000E6189">
        <w:t xml:space="preserve"> across large populations. The template was processed using the </w:t>
      </w:r>
      <w:r w:rsidRPr="000E6189">
        <w:rPr>
          <w:i/>
          <w:iCs/>
        </w:rPr>
        <w:t>Charm</w:t>
      </w:r>
      <w:r w:rsidRPr="000E6189">
        <w:t xml:space="preserve"> pipeline in </w:t>
      </w:r>
      <w:proofErr w:type="spellStart"/>
      <w:r w:rsidRPr="000E6189">
        <w:t>SimNIBS</w:t>
      </w:r>
      <w:proofErr w:type="spellEnd"/>
      <w:r w:rsidRPr="000E6189">
        <w:t xml:space="preserve"> (v4.5)</w:t>
      </w:r>
      <w:r>
        <w:t xml:space="preserve"> </w:t>
      </w:r>
      <w:sdt>
        <w:sdtPr>
          <w:rPr>
            <w:color w:val="000000"/>
          </w:rPr>
          <w:tag w:val="MENDELEY_CITATION_v3_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SBl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"/>
          <w:id w:val="-124311930"/>
          <w:placeholder>
            <w:docPart w:val="F0997E24A9E7442BAA9EE691C0E9766A"/>
          </w:placeholder>
        </w:sdtPr>
        <w:sdtContent>
          <w:r w:rsidRPr="004E5A0B">
            <w:rPr>
              <w:color w:val="000000"/>
            </w:rPr>
            <w:t>(</w:t>
          </w:r>
          <w:proofErr w:type="spellStart"/>
          <w:r w:rsidRPr="004E5A0B">
            <w:rPr>
              <w:color w:val="000000"/>
            </w:rPr>
            <w:t>Puonti</w:t>
          </w:r>
          <w:proofErr w:type="spellEnd"/>
          <w:r w:rsidRPr="004E5A0B">
            <w:rPr>
              <w:color w:val="000000"/>
            </w:rPr>
            <w:t xml:space="preserve"> et al., 2020; Saturnino, </w:t>
          </w:r>
          <w:proofErr w:type="spellStart"/>
          <w:r w:rsidRPr="004E5A0B">
            <w:rPr>
              <w:color w:val="000000"/>
            </w:rPr>
            <w:t>Puonti</w:t>
          </w:r>
          <w:proofErr w:type="spellEnd"/>
          <w:r w:rsidRPr="004E5A0B">
            <w:rPr>
              <w:color w:val="000000"/>
            </w:rPr>
            <w:t>, et al., 2019)</w:t>
          </w:r>
        </w:sdtContent>
      </w:sdt>
      <w:r w:rsidRPr="000E6189">
        <w:t xml:space="preserve"> to generate segmented masks of the scalp, cortical bone, trabecular bone, and brain tissue. </w:t>
      </w:r>
      <w:bookmarkStart w:id="1" w:name="_Hlk221630330"/>
      <w:r w:rsidRPr="000E6189">
        <w:t xml:space="preserve">Acoustic and thermal material properties </w:t>
      </w:r>
      <w:r>
        <w:t>of the masks were then</w:t>
      </w:r>
      <w:r w:rsidRPr="000E6189">
        <w:t xml:space="preserve"> assigned according to Pichardo et al. (2023)</w:t>
      </w:r>
      <w:r>
        <w:t xml:space="preserve"> </w:t>
      </w:r>
      <w:sdt>
        <w:sdtPr>
          <w:rPr>
            <w:color w:val="000000"/>
          </w:rPr>
          <w:tag w:val="MENDELEY_CITATION_v3_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"/>
          <w:id w:val="535085479"/>
          <w:placeholder>
            <w:docPart w:val="F0997E24A9E7442BAA9EE691C0E9766A"/>
          </w:placeholder>
        </w:sdtPr>
        <w:sdtContent>
          <w:r w:rsidRPr="004E5A0B">
            <w:rPr>
              <w:color w:val="000000"/>
            </w:rPr>
            <w:t>(Pichardo, 2023)</w:t>
          </w:r>
        </w:sdtContent>
      </w:sdt>
      <w:bookmarkEnd w:id="1"/>
      <w:r>
        <w:t xml:space="preserve">. </w:t>
      </w:r>
      <w:r w:rsidRPr="00AE551D">
        <w:t xml:space="preserve">The dentate nuclei </w:t>
      </w:r>
      <w:r>
        <w:t>was</w:t>
      </w:r>
      <w:r w:rsidRPr="00AE551D">
        <w:t xml:space="preserve"> manually segmented in native anatomical space</w:t>
      </w:r>
      <w:r>
        <w:t xml:space="preserve">. From the </w:t>
      </w:r>
      <w:r w:rsidRPr="003C1243">
        <w:rPr>
          <w:i/>
          <w:iCs/>
        </w:rPr>
        <w:t>Charm</w:t>
      </w:r>
      <w:r>
        <w:t xml:space="preserve"> output, we also obtained a finite element model (FEM) of our template brain, used for s</w:t>
      </w:r>
      <w:r w:rsidRPr="00AE551D">
        <w:t xml:space="preserve">ubsequent heuristic trajectory planning performed using </w:t>
      </w:r>
      <w:proofErr w:type="spellStart"/>
      <w:r w:rsidRPr="00AE551D">
        <w:t>PlanTUS</w:t>
      </w:r>
      <w:proofErr w:type="spellEnd"/>
      <w:r w:rsidRPr="00AE551D">
        <w:t xml:space="preserve"> to identify individual scalp locations whose surface normals intersected the target nucleus while minimizing transducer tilt. </w:t>
      </w:r>
      <w:bookmarkStart w:id="2" w:name="_Hlk221630354"/>
      <w:r w:rsidRPr="00AE551D">
        <w:t xml:space="preserve">The </w:t>
      </w:r>
      <w:r>
        <w:t>r</w:t>
      </w:r>
      <w:r w:rsidRPr="00AE551D">
        <w:t>esulting trajector</w:t>
      </w:r>
      <w:r>
        <w:t>y</w:t>
      </w:r>
      <w:r w:rsidRPr="00AE551D">
        <w:t xml:space="preserve"> </w:t>
      </w:r>
      <w:r>
        <w:t>was</w:t>
      </w:r>
      <w:r w:rsidRPr="00AE551D">
        <w:t xml:space="preserve"> then exported to the </w:t>
      </w:r>
      <w:proofErr w:type="spellStart"/>
      <w:r w:rsidRPr="00AE551D">
        <w:t>BabelBrain</w:t>
      </w:r>
      <w:proofErr w:type="spellEnd"/>
      <w:r>
        <w:t xml:space="preserve"> (v8.0)</w:t>
      </w:r>
      <w:r w:rsidRPr="00AE551D">
        <w:t xml:space="preserve"> platform for detailed biophysical acoustic modeling and pressure field estimation</w:t>
      </w:r>
      <w:r>
        <w:t xml:space="preserve">, which uses </w:t>
      </w:r>
      <w:r w:rsidRPr="002C5CEC">
        <w:t xml:space="preserve">viscoelastic wave propagation model to calculate the distribution of acoustic </w:t>
      </w:r>
      <w:r>
        <w:t>intensity and</w:t>
      </w:r>
      <w:r w:rsidRPr="002C5CEC">
        <w:t xml:space="preserve"> solves the bioheat transfer equation to estimate thermal effects</w:t>
      </w:r>
      <w:r>
        <w:t xml:space="preserve"> </w:t>
      </w:r>
      <w:sdt>
        <w:sdtPr>
          <w:rPr>
            <w:color w:val="000000"/>
          </w:rPr>
          <w:tag w:val="MENDELEY_CITATION_v3_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"/>
          <w:id w:val="-1801753331"/>
          <w:placeholder>
            <w:docPart w:val="F0997E24A9E7442BAA9EE691C0E9766A"/>
          </w:placeholder>
        </w:sdtPr>
        <w:sdtContent>
          <w:r w:rsidRPr="004E5A0B">
            <w:rPr>
              <w:color w:val="000000"/>
            </w:rPr>
            <w:t>(Pichardo, 2023)</w:t>
          </w:r>
        </w:sdtContent>
      </w:sdt>
      <w:r>
        <w:t xml:space="preserve">. </w:t>
      </w:r>
      <w:bookmarkEnd w:id="2"/>
    </w:p>
    <w:p w14:paraId="38C7B32B" w14:textId="77777777" w:rsidR="008072FE" w:rsidRPr="00487521" w:rsidRDefault="008072FE" w:rsidP="008072FE">
      <w:pPr>
        <w:pStyle w:val="Standard"/>
        <w:spacing w:line="360" w:lineRule="auto"/>
        <w:ind w:firstLine="709"/>
        <w:jc w:val="both"/>
      </w:pPr>
      <w:r w:rsidRPr="00487521">
        <w:t>Five commonly used commercially ultrasound transducers</w:t>
      </w:r>
      <w:r>
        <w:t xml:space="preserve"> </w:t>
      </w:r>
      <w:r w:rsidRPr="00487521">
        <w:t xml:space="preserve">were evaluated, encompassing single-element, multi-element annular array, and multi-element phased array designs. Transducer selection was intended to span a broad range of fundamental frequencies, aperture sizes, and maximal focal depths. </w:t>
      </w:r>
      <w:bookmarkStart w:id="3" w:name="_Hlk228781763"/>
      <w:r w:rsidRPr="00487521">
        <w:t>Specifically, the transducers evaluated included: (1) the CTX250 two-elements annular array transducer (</w:t>
      </w:r>
      <w:proofErr w:type="spellStart"/>
      <w:r w:rsidRPr="00487521">
        <w:t>SonicConcepts</w:t>
      </w:r>
      <w:proofErr w:type="spellEnd"/>
      <w:r w:rsidRPr="00487521">
        <w:t xml:space="preserve">, USA) operating at 250 </w:t>
      </w:r>
      <w:proofErr w:type="spellStart"/>
      <w:r w:rsidRPr="00487521">
        <w:t>Khz</w:t>
      </w:r>
      <w:proofErr w:type="spellEnd"/>
      <w:r w:rsidRPr="00487521">
        <w:t>, with 64 mm diameter aperture and up to 60 mm maximal focal depth; (2) the CTX500 four-elements annular array transducer (</w:t>
      </w:r>
      <w:proofErr w:type="spellStart"/>
      <w:r w:rsidRPr="00487521">
        <w:t>SonicConcepts</w:t>
      </w:r>
      <w:proofErr w:type="spellEnd"/>
      <w:r w:rsidRPr="00487521">
        <w:t xml:space="preserve">, USA) operating at 500 </w:t>
      </w:r>
      <w:proofErr w:type="spellStart"/>
      <w:r w:rsidRPr="00487521">
        <w:t>Khz</w:t>
      </w:r>
      <w:proofErr w:type="spellEnd"/>
      <w:r w:rsidRPr="00487521">
        <w:t>, with 64 mm diameter aperture and up to 63.2mm maximal focal depth; (3) the Pulse single-element transducer (</w:t>
      </w:r>
      <w:proofErr w:type="spellStart"/>
      <w:r w:rsidRPr="00487521">
        <w:t>BrainSonix</w:t>
      </w:r>
      <w:proofErr w:type="spellEnd"/>
      <w:r w:rsidRPr="00487521">
        <w:t xml:space="preserve">, USA) operating at 650 </w:t>
      </w:r>
      <w:proofErr w:type="spellStart"/>
      <w:r w:rsidRPr="00487521">
        <w:lastRenderedPageBreak/>
        <w:t>Khz</w:t>
      </w:r>
      <w:proofErr w:type="spellEnd"/>
      <w:r w:rsidRPr="00487521">
        <w:t>, with 61 mm diameter aperture and up to 80 mm maximal focal depth; (4) the H317 128-element phased array transducer (</w:t>
      </w:r>
      <w:proofErr w:type="spellStart"/>
      <w:r w:rsidRPr="00487521">
        <w:t>SonicConcepts</w:t>
      </w:r>
      <w:proofErr w:type="spellEnd"/>
      <w:r w:rsidRPr="00487521">
        <w:t xml:space="preserve">, USA) operating at 250 </w:t>
      </w:r>
      <w:proofErr w:type="spellStart"/>
      <w:r w:rsidRPr="00487521">
        <w:t>Khz</w:t>
      </w:r>
      <w:proofErr w:type="spellEnd"/>
      <w:r w:rsidRPr="00487521">
        <w:t>, with 135 mm diameter aperture and up to 133 mm maximal focal depth; and (5) the DPX500 four-elements annular array transducer (</w:t>
      </w:r>
      <w:proofErr w:type="spellStart"/>
      <w:r w:rsidRPr="00487521">
        <w:t>SonicConcepts</w:t>
      </w:r>
      <w:proofErr w:type="spellEnd"/>
      <w:r w:rsidRPr="00487521">
        <w:t xml:space="preserve">, USA) operating at 500 </w:t>
      </w:r>
      <w:proofErr w:type="spellStart"/>
      <w:r w:rsidRPr="00487521">
        <w:t>Khz</w:t>
      </w:r>
      <w:proofErr w:type="spellEnd"/>
      <w:r w:rsidRPr="00487521">
        <w:t>, with 64 mm diameter aperture and up to 150 mm maximal focal depth.</w:t>
      </w:r>
    </w:p>
    <w:bookmarkEnd w:id="3"/>
    <w:p w14:paraId="60314A37" w14:textId="77777777" w:rsidR="008072FE" w:rsidRPr="00487521" w:rsidRDefault="008072FE" w:rsidP="008072FE">
      <w:pPr>
        <w:pStyle w:val="Standard"/>
        <w:spacing w:line="360" w:lineRule="auto"/>
        <w:ind w:firstLine="709"/>
        <w:jc w:val="both"/>
      </w:pPr>
      <w:r w:rsidRPr="00487521">
        <w:t xml:space="preserve">For each transducer, separate pressure free-water and </w:t>
      </w:r>
      <w:r>
        <w:t>intracranial</w:t>
      </w:r>
      <w:r w:rsidRPr="00487521">
        <w:t xml:space="preserve"> simulation</w:t>
      </w:r>
      <w:r>
        <w:t>s</w:t>
      </w:r>
      <w:r w:rsidRPr="00487521">
        <w:t xml:space="preserve"> w</w:t>
      </w:r>
      <w:r>
        <w:t>ere</w:t>
      </w:r>
      <w:r w:rsidRPr="00487521">
        <w:t xml:space="preserve"> performed. All simulations employed the following sonication regime: a pulse duration of 10 </w:t>
      </w:r>
      <w:proofErr w:type="spellStart"/>
      <w:r w:rsidRPr="00487521">
        <w:t>ms</w:t>
      </w:r>
      <w:proofErr w:type="spellEnd"/>
      <w:r w:rsidRPr="00487521">
        <w:t xml:space="preserve"> (no-ramping), repeated every 100 </w:t>
      </w:r>
      <w:proofErr w:type="spellStart"/>
      <w:r w:rsidRPr="00487521">
        <w:t>ms</w:t>
      </w:r>
      <w:proofErr w:type="spellEnd"/>
      <w:r w:rsidRPr="00487521">
        <w:t xml:space="preserve"> (pulse repetition frequency of 10 Hz), corresponding to a 10% duty cycle; a total sonication duration of 5 s; and an in-situ derated spatial-peak pulse-average intensity (</w:t>
      </w:r>
      <w:proofErr w:type="spellStart"/>
      <w:r w:rsidRPr="00487521">
        <w:t>Isppa</w:t>
      </w:r>
      <w:proofErr w:type="spellEnd"/>
      <w:r w:rsidRPr="00487521">
        <w:t>) of 10 W/cm². Focal depth was adjusted by estimating the distance between the selected scalp entry point and the target location, defined as the center of gravity of the dentate nucleus leading to 57.5 mm depth distance. The only exception was the single-element Pulse (</w:t>
      </w:r>
      <w:proofErr w:type="spellStart"/>
      <w:r w:rsidRPr="00487521">
        <w:t>Bsonix</w:t>
      </w:r>
      <w:proofErr w:type="spellEnd"/>
      <w:r w:rsidRPr="00487521">
        <w:t>) transducer, which had a fixed focal depth of 80 mm. To account for the presence of coupling media, the transducer was positioned 0.5 cm away from the scalp along the Z-axis, thereby incrementing focal depth 0.5 cm from the scalp-target distance</w:t>
      </w:r>
      <w:r>
        <w:t xml:space="preserve"> (</w:t>
      </w:r>
      <w:r w:rsidRPr="00487521">
        <w:t>5</w:t>
      </w:r>
      <w:r>
        <w:t>8</w:t>
      </w:r>
      <w:r w:rsidRPr="00487521">
        <w:t xml:space="preserve"> mm depth</w:t>
      </w:r>
      <w:r>
        <w:t>)</w:t>
      </w:r>
      <w:r w:rsidRPr="00487521">
        <w:t xml:space="preserve">. </w:t>
      </w:r>
      <w:bookmarkStart w:id="4" w:name="_Hlk221630401"/>
      <w:r w:rsidRPr="00487521">
        <w:t xml:space="preserve">Pressure field simulations were first conducted, and normalized pressure maps were examined to assess ultrasound propagation. When required, mechanical steering adjustments were performed to minimize the distance between the in situ, skull-derated spatial peak-pressure focal region and the target’s center of gravity. </w:t>
      </w:r>
      <w:bookmarkEnd w:id="4"/>
      <w:r w:rsidRPr="00487521">
        <w:t>These adjustments optimized transducer spatial alignment in the X and Y spatial planes or focal depth while remaining within the transducer’s maximum operational range.</w:t>
      </w:r>
    </w:p>
    <w:p w14:paraId="5DF918C3" w14:textId="77777777" w:rsidR="008072FE" w:rsidRPr="00487521" w:rsidRDefault="008072FE" w:rsidP="008072FE">
      <w:pPr>
        <w:pStyle w:val="Standard"/>
        <w:spacing w:line="360" w:lineRule="auto"/>
        <w:ind w:firstLine="709"/>
        <w:jc w:val="both"/>
      </w:pPr>
      <w:r w:rsidRPr="004F77DD">
        <w:t xml:space="preserve">The </w:t>
      </w:r>
      <w:r w:rsidRPr="00487521">
        <w:t xml:space="preserve">pressure </w:t>
      </w:r>
      <w:r w:rsidRPr="004F77DD">
        <w:t xml:space="preserve">simulations were analyzed to characterize transducer performance using the following metrics: (1) the percentage overlap (fraction) between the focal </w:t>
      </w:r>
      <w:r w:rsidRPr="00487521">
        <w:t>-</w:t>
      </w:r>
      <w:r w:rsidRPr="004F77DD">
        <w:t xml:space="preserve">1dB region and the target volume; (2) the Euclidean distance between the spatial peak center of gravity and the intended target (MNI coordinates); (3) the volume of the </w:t>
      </w:r>
      <w:r w:rsidRPr="00487521">
        <w:t>-</w:t>
      </w:r>
      <w:r w:rsidRPr="004F77DD">
        <w:t xml:space="preserve">3 dB focal </w:t>
      </w:r>
      <w:r>
        <w:t>area</w:t>
      </w:r>
      <w:r w:rsidRPr="004F77DD">
        <w:t xml:space="preserve">; and (4) the maximum </w:t>
      </w:r>
      <w:r w:rsidRPr="00487521">
        <w:t xml:space="preserve">focal </w:t>
      </w:r>
      <w:r w:rsidRPr="004F77DD">
        <w:t>depth of each transducer configuration.</w:t>
      </w:r>
      <w:r w:rsidRPr="00487521">
        <w:t xml:space="preserve"> </w:t>
      </w:r>
      <w:r w:rsidRPr="004F77DD">
        <w:t>These metrics were extracted to evaluate off-target exposure</w:t>
      </w:r>
      <w:r w:rsidRPr="00487521">
        <w:t xml:space="preserve">, </w:t>
      </w:r>
      <w:r w:rsidRPr="004F77DD">
        <w:t>focality</w:t>
      </w:r>
      <w:r w:rsidRPr="00487521">
        <w:t xml:space="preserve"> and </w:t>
      </w:r>
      <w:r w:rsidRPr="004F77DD">
        <w:t xml:space="preserve">effective operating range, </w:t>
      </w:r>
      <w:r w:rsidRPr="00487521">
        <w:t>informing about</w:t>
      </w:r>
      <w:r w:rsidRPr="004F77DD">
        <w:t xml:space="preserve"> the overall feasibility of each transducer for realistic experimental </w:t>
      </w:r>
      <w:r w:rsidRPr="00487521">
        <w:t>human</w:t>
      </w:r>
      <w:r w:rsidRPr="004F77DD">
        <w:t xml:space="preserve"> applications</w:t>
      </w:r>
      <w:r w:rsidRPr="00487521">
        <w:t xml:space="preserve"> (Figure </w:t>
      </w:r>
      <w:r>
        <w:t>2</w:t>
      </w:r>
      <w:r w:rsidRPr="00487521">
        <w:t>)</w:t>
      </w:r>
      <w:r w:rsidRPr="004F77DD">
        <w:t>.</w:t>
      </w:r>
    </w:p>
    <w:p w14:paraId="3837E98D" w14:textId="77777777" w:rsidR="008072FE" w:rsidRPr="00487521" w:rsidRDefault="008072FE" w:rsidP="008072FE">
      <w:pPr>
        <w:pStyle w:val="Standard"/>
        <w:spacing w:line="360" w:lineRule="auto"/>
        <w:ind w:firstLine="709"/>
        <w:jc w:val="both"/>
      </w:pPr>
      <w:r w:rsidRPr="00487521">
        <w:t xml:space="preserve">To enable direct comparison across heterogeneous units and scales, all metrics were normalized using min-max normalization. </w:t>
      </w:r>
      <w:r w:rsidRPr="006318AA">
        <w:t xml:space="preserve">For each transducer </w:t>
      </w:r>
      <w:proofErr w:type="spellStart"/>
      <w:r w:rsidRPr="00487521">
        <w:rPr>
          <w:i/>
          <w:iCs/>
        </w:rPr>
        <w:t>i</w:t>
      </w:r>
      <w:proofErr w:type="spellEnd"/>
      <w:r w:rsidRPr="006318AA">
        <w:t xml:space="preserve"> and performance metric </w:t>
      </w:r>
      <w:r w:rsidRPr="006318AA">
        <w:rPr>
          <w:i/>
          <w:iCs/>
        </w:rPr>
        <w:t>j</w:t>
      </w:r>
      <w:r w:rsidRPr="006318AA">
        <w:t>, raw metri</w:t>
      </w:r>
      <w:r w:rsidRPr="00487521">
        <w:t xml:space="preserve">c </w:t>
      </w:r>
      <w:r w:rsidRPr="006318AA">
        <w:t>values</w:t>
      </w:r>
      <w:r w:rsidRPr="00487521">
        <w:t xml:space="preserve"> </w:t>
      </w:r>
      <m:oMath>
        <m:r>
          <w:rPr>
            <w:rFonts w:ascii="Cambria Math" w:hAnsi="Cambria Math"/>
          </w:rPr>
          <m:t>Xi,j</m:t>
        </m:r>
      </m:oMath>
      <w:r w:rsidRPr="00487521">
        <w:t xml:space="preserve"> were transformed into normalized scores </w:t>
      </w:r>
      <m:oMath>
        <m:r>
          <w:rPr>
            <w:rFonts w:ascii="Cambria Math" w:hAnsi="Cambria Math"/>
          </w:rPr>
          <m:t>Xi,j</m:t>
        </m:r>
      </m:oMath>
      <w:r w:rsidRPr="00487521">
        <w:t xml:space="preserve"> </w:t>
      </w:r>
      <w:r w:rsidRPr="006318AA">
        <w:rPr>
          <w:rFonts w:ascii="Cambria Math" w:hAnsi="Cambria Math" w:cs="Cambria Math"/>
        </w:rPr>
        <w:t>∈</w:t>
      </w:r>
      <w:r w:rsidRPr="00487521">
        <w:rPr>
          <w:rFonts w:ascii="Cambria Math" w:hAnsi="Cambria Math" w:cs="Cambria Math"/>
        </w:rPr>
        <w:t xml:space="preserve"> </w:t>
      </w:r>
      <w:r w:rsidRPr="006318AA">
        <w:t>[0,1]</w:t>
      </w:r>
      <w:r w:rsidRPr="00487521">
        <w:t xml:space="preserve"> using min-max normalization across all tested transducers. Metrics to be maximized (-1dB percentage overlap, </w:t>
      </w:r>
      <w:r w:rsidRPr="004F77DD">
        <w:t xml:space="preserve">maximum </w:t>
      </w:r>
      <w:r w:rsidRPr="00487521">
        <w:t>focal depth) were normalized as</w:t>
      </w:r>
    </w:p>
    <w:p w14:paraId="5407919A" w14:textId="77777777" w:rsidR="008072FE" w:rsidRPr="00487521" w:rsidRDefault="008072FE" w:rsidP="008072FE">
      <w:pPr>
        <w:pStyle w:val="Standard"/>
        <w:spacing w:line="360" w:lineRule="auto"/>
        <w:ind w:left="2836" w:firstLine="709"/>
        <w:jc w:val="both"/>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func>
              <m:funcPr>
                <m:ctrlPr>
                  <w:rPr>
                    <w:rFonts w:ascii="Cambria Math" w:hAnsi="Cambria Math"/>
                  </w:rPr>
                </m:ctrlPr>
              </m:funcPr>
              <m:fName>
                <m:r>
                  <m:rPr>
                    <m:sty m:val="p"/>
                  </m:rPr>
                  <w:rPr>
                    <w:rFonts w:ascii="Cambria Math" w:hAnsi="Cambria Math"/>
                  </w:rPr>
                  <m:t>min</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e>
                </m:d>
              </m:e>
            </m:func>
          </m:num>
          <m:den>
            <m:sSub>
              <m:sSubPr>
                <m:ctrlPr>
                  <w:rPr>
                    <w:rFonts w:ascii="Cambria Math" w:hAnsi="Cambria Math"/>
                    <w:i/>
                  </w:rPr>
                </m:ctrlPr>
              </m:sSubPr>
              <m:e>
                <m:r>
                  <m:rPr>
                    <m:sty m:val="p"/>
                  </m:rPr>
                  <w:rPr>
                    <w:rFonts w:ascii="Cambria Math" w:hAnsi="Cambria Math"/>
                  </w:rPr>
                  <m:t>max⁡</m:t>
                </m:r>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m:rPr>
                    <m:sty m:val="p"/>
                  </m:rPr>
                  <w:rPr>
                    <w:rFonts w:ascii="Cambria Math" w:hAnsi="Cambria Math"/>
                  </w:rPr>
                  <m:t>min⁡</m:t>
                </m:r>
                <m:r>
                  <w:rPr>
                    <w:rFonts w:ascii="Cambria Math" w:hAnsi="Cambria Math"/>
                  </w:rPr>
                  <m:t>(X.</m:t>
                </m:r>
              </m:e>
              <m:sub>
                <m:r>
                  <w:rPr>
                    <w:rFonts w:ascii="Cambria Math" w:hAnsi="Cambria Math"/>
                  </w:rPr>
                  <m:t>,j</m:t>
                </m:r>
              </m:sub>
            </m:sSub>
            <m:r>
              <w:rPr>
                <w:rFonts w:ascii="Cambria Math" w:hAnsi="Cambria Math"/>
              </w:rPr>
              <m:t>)</m:t>
            </m:r>
          </m:den>
        </m:f>
      </m:oMath>
      <w:r w:rsidRPr="00487521">
        <w:t xml:space="preserve"> </w:t>
      </w:r>
    </w:p>
    <w:p w14:paraId="41699072" w14:textId="77777777" w:rsidR="008072FE" w:rsidRPr="00487521" w:rsidRDefault="008072FE" w:rsidP="008072FE">
      <w:pPr>
        <w:pStyle w:val="Standard"/>
        <w:spacing w:line="360" w:lineRule="auto"/>
        <w:jc w:val="both"/>
      </w:pPr>
      <w:r w:rsidRPr="00487521">
        <w:lastRenderedPageBreak/>
        <w:t>whereas the metrics to be minimized (</w:t>
      </w:r>
      <w:r w:rsidRPr="004F77DD">
        <w:t>Euclidean distance between the spatial peak</w:t>
      </w:r>
      <w:r w:rsidRPr="00487521">
        <w:t xml:space="preserve">, and the -3dB focal volume) were inverted according to </w:t>
      </w:r>
    </w:p>
    <w:p w14:paraId="09D7348B" w14:textId="77777777" w:rsidR="008072FE" w:rsidRPr="00487521" w:rsidRDefault="008072FE" w:rsidP="008072FE">
      <w:pPr>
        <w:pStyle w:val="Standard"/>
        <w:spacing w:line="360" w:lineRule="auto"/>
        <w:ind w:left="2836" w:firstLine="709"/>
        <w:jc w:val="both"/>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func>
              <m:funcPr>
                <m:ctrlPr>
                  <w:rPr>
                    <w:rFonts w:ascii="Cambria Math" w:hAnsi="Cambria Math"/>
                  </w:rPr>
                </m:ctrlPr>
              </m:funcPr>
              <m:fName>
                <m:r>
                  <m:rPr>
                    <m:sty m:val="p"/>
                  </m:rPr>
                  <w:rPr>
                    <w:rFonts w:ascii="Cambria Math" w:hAnsi="Cambria Math"/>
                  </w:rPr>
                  <m:t>min</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e>
                </m:d>
              </m:e>
            </m:func>
          </m:num>
          <m:den>
            <m:sSub>
              <m:sSubPr>
                <m:ctrlPr>
                  <w:rPr>
                    <w:rFonts w:ascii="Cambria Math" w:hAnsi="Cambria Math"/>
                    <w:i/>
                  </w:rPr>
                </m:ctrlPr>
              </m:sSubPr>
              <m:e>
                <m:r>
                  <m:rPr>
                    <m:sty m:val="p"/>
                  </m:rPr>
                  <w:rPr>
                    <w:rFonts w:ascii="Cambria Math" w:hAnsi="Cambria Math"/>
                  </w:rPr>
                  <m:t>max⁡</m:t>
                </m:r>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m:rPr>
                    <m:sty m:val="p"/>
                  </m:rPr>
                  <w:rPr>
                    <w:rFonts w:ascii="Cambria Math" w:hAnsi="Cambria Math"/>
                  </w:rPr>
                  <m:t>min⁡</m:t>
                </m:r>
                <m:r>
                  <w:rPr>
                    <w:rFonts w:ascii="Cambria Math" w:hAnsi="Cambria Math"/>
                  </w:rPr>
                  <m:t>(X.</m:t>
                </m:r>
              </m:e>
              <m:sub>
                <m:r>
                  <w:rPr>
                    <w:rFonts w:ascii="Cambria Math" w:hAnsi="Cambria Math"/>
                  </w:rPr>
                  <m:t>,j</m:t>
                </m:r>
              </m:sub>
            </m:sSub>
            <m:r>
              <w:rPr>
                <w:rFonts w:ascii="Cambria Math" w:hAnsi="Cambria Math"/>
              </w:rPr>
              <m:t>)</m:t>
            </m:r>
          </m:den>
        </m:f>
      </m:oMath>
      <w:r w:rsidRPr="00487521">
        <w:t xml:space="preserve"> </w:t>
      </w:r>
    </w:p>
    <w:p w14:paraId="200764C8" w14:textId="77777777" w:rsidR="008072FE" w:rsidRPr="00487521" w:rsidRDefault="008072FE" w:rsidP="008072FE">
      <w:pPr>
        <w:pStyle w:val="Standard"/>
        <w:spacing w:line="360" w:lineRule="auto"/>
        <w:jc w:val="both"/>
      </w:pPr>
      <w:r w:rsidRPr="00487521">
        <w:t xml:space="preserve">ensuring that, for all axes, larger normalized values correspond to superior performance. Finally, the idealized performance pattern </w:t>
      </w:r>
      <w:r w:rsidRPr="00487521">
        <w:rPr>
          <w:i/>
          <w:iCs/>
        </w:rPr>
        <w:t xml:space="preserve">Y </w:t>
      </w:r>
      <w:r w:rsidRPr="00487521">
        <w:t xml:space="preserve">was computed as the arithmetic mean of the normalized metric vectors of the </w:t>
      </w:r>
      <w:r w:rsidRPr="00487521">
        <w:rPr>
          <w:i/>
          <w:iCs/>
        </w:rPr>
        <w:t>Pareto-optimal</w:t>
      </w:r>
      <w:r>
        <w:rPr>
          <w:i/>
          <w:iCs/>
        </w:rPr>
        <w:t xml:space="preserve"> </w:t>
      </w:r>
      <w:r w:rsidRPr="0045406F">
        <w:t>(i.e., optimized pattern)</w:t>
      </w:r>
      <w:r w:rsidRPr="00487521">
        <w:t xml:space="preserve"> transducers </w:t>
      </w:r>
      <w:r w:rsidRPr="00487521">
        <w:rPr>
          <w:i/>
          <w:iCs/>
        </w:rPr>
        <w:t xml:space="preserve">P </w:t>
      </w:r>
      <w:r w:rsidRPr="00DC7205">
        <w:t>(i.e.,</w:t>
      </w:r>
      <w:r w:rsidRPr="00487521">
        <w:rPr>
          <w:i/>
          <w:iCs/>
        </w:rPr>
        <w:t xml:space="preserve"> </w:t>
      </w:r>
      <w:r w:rsidRPr="00487521">
        <w:t>identified when no other transducer was outperformed simultaneously across all normalized performance metrics), such that</w:t>
      </w:r>
    </w:p>
    <w:p w14:paraId="56B20D8B" w14:textId="77777777" w:rsidR="008072FE" w:rsidRDefault="008072FE" w:rsidP="008072FE">
      <w:pPr>
        <w:pStyle w:val="Standard"/>
        <w:spacing w:line="360" w:lineRule="auto"/>
        <w:ind w:left="3545" w:firstLine="709"/>
        <w:jc w:val="both"/>
      </w:pPr>
      <m:oMath>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 xml:space="preserve">= </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P</m:t>
                </m:r>
              </m:e>
            </m:d>
          </m:den>
        </m:f>
        <m:nary>
          <m:naryPr>
            <m:chr m:val="∑"/>
            <m:limLoc m:val="undOvr"/>
            <m:supHide m:val="1"/>
            <m:ctrlPr>
              <w:rPr>
                <w:rFonts w:ascii="Cambria Math" w:hAnsi="Cambria Math"/>
                <w:i/>
              </w:rPr>
            </m:ctrlPr>
          </m:naryPr>
          <m:sub>
            <m:r>
              <w:rPr>
                <w:rFonts w:ascii="Cambria Math" w:hAnsi="Cambria Math"/>
              </w:rPr>
              <m:t>i</m:t>
            </m:r>
            <m:r>
              <m:rPr>
                <m:sty m:val="p"/>
              </m:rPr>
              <w:rPr>
                <w:rFonts w:ascii="Cambria Math" w:hAnsi="Cambria Math" w:cs="Cambria Math"/>
              </w:rPr>
              <m:t>∈P</m:t>
            </m:r>
          </m:sub>
          <m:sup/>
          <m:e>
            <m:sSub>
              <m:sSubPr>
                <m:ctrlPr>
                  <w:rPr>
                    <w:rFonts w:ascii="Cambria Math" w:hAnsi="Cambria Math"/>
                    <w:i/>
                  </w:rPr>
                </m:ctrlPr>
              </m:sSubPr>
              <m:e>
                <m:r>
                  <w:rPr>
                    <w:rFonts w:ascii="Cambria Math" w:hAnsi="Cambria Math"/>
                  </w:rPr>
                  <m:t>Y</m:t>
                </m:r>
              </m:e>
              <m:sub>
                <m:r>
                  <w:rPr>
                    <w:rFonts w:ascii="Cambria Math" w:hAnsi="Cambria Math"/>
                  </w:rPr>
                  <m:t>i,j</m:t>
                </m:r>
              </m:sub>
            </m:sSub>
          </m:e>
        </m:nary>
      </m:oMath>
      <w:r w:rsidRPr="00487521">
        <w:t xml:space="preserve">  </w:t>
      </w:r>
      <w:r w:rsidRPr="00487521">
        <w:tab/>
      </w:r>
      <w:r>
        <w:t>.</w:t>
      </w:r>
      <w:r w:rsidRPr="00487521">
        <w:tab/>
      </w:r>
      <w:r w:rsidRPr="00487521">
        <w:tab/>
      </w:r>
      <w:r w:rsidRPr="00487521">
        <w:tab/>
      </w:r>
      <w:r w:rsidRPr="00487521">
        <w:tab/>
      </w:r>
    </w:p>
    <w:p w14:paraId="07BE72E1" w14:textId="77777777" w:rsidR="008072FE" w:rsidRDefault="008072FE" w:rsidP="008072FE">
      <w:pPr>
        <w:pStyle w:val="Standard"/>
        <w:spacing w:line="360" w:lineRule="auto"/>
        <w:jc w:val="both"/>
      </w:pPr>
    </w:p>
    <w:p w14:paraId="3049CC00" w14:textId="77777777" w:rsidR="008072FE" w:rsidRDefault="008072FE" w:rsidP="008072FE">
      <w:pPr>
        <w:pStyle w:val="Standard"/>
        <w:spacing w:line="360" w:lineRule="auto"/>
        <w:jc w:val="both"/>
      </w:pPr>
    </w:p>
    <w:p w14:paraId="1A23E090" w14:textId="77777777" w:rsidR="008072FE" w:rsidRDefault="008072FE" w:rsidP="008072FE">
      <w:pPr>
        <w:pStyle w:val="Heading1"/>
      </w:pPr>
      <w:bookmarkStart w:id="5" w:name="_Toc227447451"/>
      <w:r>
        <w:t>Supplementary Materials. 2</w:t>
      </w:r>
      <w:bookmarkEnd w:id="5"/>
    </w:p>
    <w:p w14:paraId="6D6AAF81" w14:textId="77777777" w:rsidR="008072FE" w:rsidRDefault="008072FE" w:rsidP="008072FE">
      <w:pPr>
        <w:pStyle w:val="Textbody"/>
        <w:spacing w:line="360" w:lineRule="auto"/>
        <w:ind w:firstLine="709"/>
        <w:jc w:val="both"/>
        <w:rPr>
          <w:rFonts w:ascii="Times New Roman" w:hAnsi="Times New Roman" w:cs="Times New Roman"/>
          <w:color w:val="000000"/>
        </w:rPr>
      </w:pPr>
      <w:proofErr w:type="spellStart"/>
      <w:r>
        <w:rPr>
          <w:rFonts w:ascii="Times New Roman" w:hAnsi="Times New Roman" w:cs="Times New Roman"/>
          <w:color w:val="000000"/>
        </w:rPr>
        <w:t>tFUS</w:t>
      </w:r>
      <w:proofErr w:type="spellEnd"/>
      <w:r>
        <w:rPr>
          <w:rFonts w:ascii="Times New Roman" w:hAnsi="Times New Roman" w:cs="Times New Roman"/>
          <w:color w:val="000000"/>
        </w:rPr>
        <w:t xml:space="preserve"> EEG can produce electrical coupling-like artifacts difficult to identify in raw human recordings. </w:t>
      </w:r>
      <w:r w:rsidRPr="004C331C">
        <w:rPr>
          <w:rFonts w:ascii="Times New Roman" w:hAnsi="Times New Roman" w:cs="Times New Roman"/>
          <w:color w:val="000000"/>
        </w:rPr>
        <w:t xml:space="preserve">Phantom-based characterization of stimulation-induced </w:t>
      </w:r>
      <w:r>
        <w:rPr>
          <w:rFonts w:ascii="Times New Roman" w:hAnsi="Times New Roman" w:cs="Times New Roman"/>
          <w:color w:val="000000"/>
        </w:rPr>
        <w:t xml:space="preserve">non-physiological </w:t>
      </w:r>
      <w:r w:rsidRPr="004C331C">
        <w:rPr>
          <w:rFonts w:ascii="Times New Roman" w:hAnsi="Times New Roman" w:cs="Times New Roman"/>
          <w:color w:val="000000"/>
        </w:rPr>
        <w:t xml:space="preserve">artifacts can provide critical insights into their reproducibility and underlying properties. For instance, comparing the temporal and spatial dynamics of artifacts observed in phantom models with those recorded in the human brain can offer an initial assessment of their recurrence and distinguish </w:t>
      </w:r>
      <w:proofErr w:type="spellStart"/>
      <w:r>
        <w:rPr>
          <w:rFonts w:ascii="Times New Roman" w:hAnsi="Times New Roman" w:cs="Times New Roman"/>
          <w:color w:val="000000"/>
        </w:rPr>
        <w:t>tFUS</w:t>
      </w:r>
      <w:proofErr w:type="spellEnd"/>
      <w:r>
        <w:rPr>
          <w:rFonts w:ascii="Times New Roman" w:hAnsi="Times New Roman" w:cs="Times New Roman"/>
          <w:color w:val="000000"/>
        </w:rPr>
        <w:t xml:space="preserve"> evoked non-physiological </w:t>
      </w:r>
      <w:r w:rsidRPr="004C331C">
        <w:rPr>
          <w:rFonts w:ascii="Times New Roman" w:hAnsi="Times New Roman" w:cs="Times New Roman"/>
          <w:color w:val="000000"/>
        </w:rPr>
        <w:t>artifacts from neurophysiological signals</w:t>
      </w:r>
      <w:r>
        <w:rPr>
          <w:rFonts w:ascii="Times New Roman" w:hAnsi="Times New Roman" w:cs="Times New Roman"/>
          <w:color w:val="000000"/>
        </w:rPr>
        <w:t xml:space="preserve">. </w:t>
      </w:r>
    </w:p>
    <w:p w14:paraId="30DBD4BC" w14:textId="77777777" w:rsidR="008072FE" w:rsidRPr="00E6619E" w:rsidRDefault="008072FE" w:rsidP="008072FE">
      <w:pPr>
        <w:pStyle w:val="Textbody"/>
        <w:spacing w:line="360" w:lineRule="auto"/>
        <w:ind w:firstLine="709"/>
        <w:jc w:val="both"/>
        <w:rPr>
          <w:rFonts w:ascii="Times New Roman" w:hAnsi="Times New Roman" w:cs="Times New Roman"/>
          <w:color w:val="000000"/>
        </w:rPr>
      </w:pPr>
      <w:r w:rsidRPr="00E6619E">
        <w:rPr>
          <w:rFonts w:ascii="Times New Roman" w:hAnsi="Times New Roman" w:cs="Times New Roman"/>
          <w:color w:val="000000"/>
        </w:rPr>
        <w:t>To further disentangle neuronal responses from artifacts, we</w:t>
      </w:r>
      <w:r>
        <w:rPr>
          <w:rFonts w:ascii="Times New Roman" w:hAnsi="Times New Roman" w:cs="Times New Roman"/>
          <w:color w:val="000000"/>
        </w:rPr>
        <w:t xml:space="preserve"> experimentally</w:t>
      </w:r>
      <w:r w:rsidRPr="00E6619E">
        <w:rPr>
          <w:rFonts w:ascii="Times New Roman" w:hAnsi="Times New Roman" w:cs="Times New Roman"/>
          <w:color w:val="000000"/>
        </w:rPr>
        <w:t xml:space="preserve"> </w:t>
      </w:r>
      <w:r>
        <w:rPr>
          <w:rFonts w:ascii="Times New Roman" w:hAnsi="Times New Roman" w:cs="Times New Roman"/>
          <w:color w:val="000000"/>
        </w:rPr>
        <w:t>characterized signal artefacts in</w:t>
      </w:r>
      <w:r w:rsidRPr="00E6619E">
        <w:rPr>
          <w:rFonts w:ascii="Times New Roman" w:hAnsi="Times New Roman" w:cs="Times New Roman"/>
          <w:color w:val="000000"/>
        </w:rPr>
        <w:t xml:space="preserve"> </w:t>
      </w:r>
      <w:r>
        <w:rPr>
          <w:rFonts w:ascii="Times New Roman" w:hAnsi="Times New Roman" w:cs="Times New Roman"/>
          <w:color w:val="000000"/>
        </w:rPr>
        <w:t>(1)</w:t>
      </w:r>
      <w:r w:rsidRPr="003A4BF9">
        <w:rPr>
          <w:rFonts w:ascii="Times New Roman" w:hAnsi="Times New Roman" w:cs="Times New Roman"/>
          <w:color w:val="000000"/>
        </w:rPr>
        <w:t xml:space="preserve"> </w:t>
      </w:r>
      <w:r w:rsidRPr="00E6619E">
        <w:rPr>
          <w:rFonts w:ascii="Times New Roman" w:hAnsi="Times New Roman" w:cs="Times New Roman"/>
          <w:color w:val="000000"/>
        </w:rPr>
        <w:t>a</w:t>
      </w:r>
      <w:r>
        <w:rPr>
          <w:rFonts w:ascii="Times New Roman" w:hAnsi="Times New Roman" w:cs="Times New Roman"/>
          <w:color w:val="000000"/>
        </w:rPr>
        <w:t xml:space="preserve"> </w:t>
      </w:r>
      <w:r w:rsidRPr="00E6619E">
        <w:rPr>
          <w:rFonts w:ascii="Times New Roman" w:hAnsi="Times New Roman" w:cs="Times New Roman"/>
          <w:color w:val="000000"/>
        </w:rPr>
        <w:t>biological tissue-mimicking conductive phantom (</w:t>
      </w:r>
      <w:r w:rsidRPr="00E6619E">
        <w:rPr>
          <w:rFonts w:ascii="Times New Roman" w:hAnsi="Times New Roman" w:cs="Times New Roman"/>
          <w:i/>
          <w:iCs/>
          <w:color w:val="000000"/>
        </w:rPr>
        <w:t>Citrullus lanatus</w:t>
      </w:r>
      <w:r w:rsidRPr="00E6619E">
        <w:rPr>
          <w:rFonts w:ascii="Times New Roman" w:hAnsi="Times New Roman" w:cs="Times New Roman"/>
          <w:color w:val="000000"/>
        </w:rPr>
        <w:t>, watermelon)</w:t>
      </w:r>
      <w:r>
        <w:rPr>
          <w:rFonts w:ascii="Times New Roman" w:hAnsi="Times New Roman" w:cs="Times New Roman"/>
          <w:color w:val="000000"/>
        </w:rPr>
        <w:t>, and (2)</w:t>
      </w:r>
      <w:r w:rsidRPr="00E6619E">
        <w:rPr>
          <w:rFonts w:ascii="Times New Roman" w:hAnsi="Times New Roman" w:cs="Times New Roman"/>
          <w:color w:val="000000"/>
        </w:rPr>
        <w:t xml:space="preserve"> </w:t>
      </w:r>
      <w:r>
        <w:rPr>
          <w:rFonts w:ascii="Times New Roman" w:hAnsi="Times New Roman" w:cs="Times New Roman"/>
          <w:color w:val="000000"/>
        </w:rPr>
        <w:t xml:space="preserve">during </w:t>
      </w:r>
      <w:r w:rsidRPr="00F136DB">
        <w:rPr>
          <w:rFonts w:ascii="Times New Roman" w:hAnsi="Times New Roman" w:cs="Times New Roman"/>
          <w:color w:val="000000"/>
        </w:rPr>
        <w:t xml:space="preserve">a human </w:t>
      </w:r>
      <w:proofErr w:type="spellStart"/>
      <w:r w:rsidRPr="00F136DB">
        <w:rPr>
          <w:rFonts w:ascii="Times New Roman" w:hAnsi="Times New Roman" w:cs="Times New Roman"/>
          <w:color w:val="000000"/>
        </w:rPr>
        <w:t>tFUS</w:t>
      </w:r>
      <w:proofErr w:type="spellEnd"/>
      <w:r>
        <w:rPr>
          <w:rFonts w:ascii="Times New Roman" w:hAnsi="Times New Roman" w:cs="Times New Roman"/>
          <w:color w:val="000000"/>
        </w:rPr>
        <w:t>-</w:t>
      </w:r>
      <w:r w:rsidRPr="00F136DB">
        <w:rPr>
          <w:rFonts w:ascii="Times New Roman" w:hAnsi="Times New Roman" w:cs="Times New Roman"/>
          <w:color w:val="000000"/>
        </w:rPr>
        <w:t>EEG experiment, with the participant seated</w:t>
      </w:r>
      <w:r>
        <w:rPr>
          <w:rFonts w:ascii="Times New Roman" w:hAnsi="Times New Roman" w:cs="Times New Roman"/>
          <w:color w:val="000000"/>
        </w:rPr>
        <w:t xml:space="preserve">, at rest and </w:t>
      </w:r>
      <w:r w:rsidRPr="00F136DB">
        <w:rPr>
          <w:rFonts w:ascii="Times New Roman" w:hAnsi="Times New Roman" w:cs="Times New Roman"/>
          <w:color w:val="000000"/>
        </w:rPr>
        <w:t>maintaining eyes open</w:t>
      </w:r>
      <w:r>
        <w:rPr>
          <w:rFonts w:ascii="Times New Roman" w:hAnsi="Times New Roman" w:cs="Times New Roman"/>
          <w:color w:val="000000"/>
        </w:rPr>
        <w:t>.</w:t>
      </w:r>
      <w:r w:rsidRPr="00BC5EC8">
        <w:rPr>
          <w:rFonts w:ascii="Times New Roman" w:hAnsi="Times New Roman" w:cs="Times New Roman"/>
          <w:color w:val="FF0000"/>
        </w:rPr>
        <w:t xml:space="preserve"> </w:t>
      </w:r>
      <w:r w:rsidRPr="00E6619E">
        <w:rPr>
          <w:rFonts w:ascii="Times New Roman" w:hAnsi="Times New Roman" w:cs="Times New Roman"/>
          <w:color w:val="000000"/>
        </w:rPr>
        <w:t>This approach, inspired by established practices in the TMS-EEG field</w:t>
      </w:r>
      <w:r>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"/>
          <w:id w:val="-866823397"/>
          <w:placeholder>
            <w:docPart w:val="F0997E24A9E7442BAA9EE691C0E9766A"/>
          </w:placeholder>
        </w:sdtPr>
        <w:sdtContent>
          <w:r w:rsidRPr="004E5A0B">
            <w:rPr>
              <w:rFonts w:ascii="Times New Roman" w:hAnsi="Times New Roman" w:cs="Times New Roman"/>
              <w:color w:val="000000"/>
            </w:rPr>
            <w:t>(</w:t>
          </w:r>
          <w:proofErr w:type="spellStart"/>
          <w:r w:rsidRPr="004E5A0B">
            <w:rPr>
              <w:rFonts w:ascii="Times New Roman" w:hAnsi="Times New Roman" w:cs="Times New Roman"/>
              <w:color w:val="000000"/>
            </w:rPr>
            <w:t>Veniero</w:t>
          </w:r>
          <w:proofErr w:type="spellEnd"/>
          <w:r w:rsidRPr="004E5A0B">
            <w:rPr>
              <w:rFonts w:ascii="Times New Roman" w:hAnsi="Times New Roman" w:cs="Times New Roman"/>
              <w:color w:val="000000"/>
            </w:rPr>
            <w:t xml:space="preserve"> et al., 2009)</w:t>
          </w:r>
        </w:sdtContent>
      </w:sdt>
      <w:r w:rsidRPr="00E6619E">
        <w:rPr>
          <w:rFonts w:ascii="Times New Roman" w:hAnsi="Times New Roman" w:cs="Times New Roman"/>
          <w:color w:val="000000"/>
        </w:rPr>
        <w:t xml:space="preserve">, </w:t>
      </w:r>
      <w:r>
        <w:rPr>
          <w:rFonts w:ascii="Times New Roman" w:hAnsi="Times New Roman" w:cs="Times New Roman"/>
          <w:color w:val="000000"/>
        </w:rPr>
        <w:t xml:space="preserve">allowed us </w:t>
      </w:r>
      <w:r w:rsidRPr="00E6619E">
        <w:rPr>
          <w:rFonts w:ascii="Times New Roman" w:hAnsi="Times New Roman" w:cs="Times New Roman"/>
          <w:color w:val="000000"/>
        </w:rPr>
        <w:t xml:space="preserve">to isolate and characterize non-neuronal artifactual signal components under controlled conditions. Indeed, watermelons offer a comparable experimental model given that the surface dielectric constant of watermelons (ε′=30-50, 200 MHz–2 GHz) is comparable to human skin (ε′=40-50; 200-500 MHz). Furthermore, the pulp’s relative ε′ </w:t>
      </w:r>
      <w:r>
        <w:rPr>
          <w:rFonts w:ascii="Times New Roman" w:hAnsi="Times New Roman" w:cs="Times New Roman"/>
          <w:color w:val="000000"/>
        </w:rPr>
        <w:t>(</w:t>
      </w:r>
      <w:r w:rsidRPr="00E6619E">
        <w:rPr>
          <w:rFonts w:ascii="Times New Roman" w:hAnsi="Times New Roman" w:cs="Times New Roman"/>
          <w:color w:val="000000"/>
        </w:rPr>
        <w:t>ε′=</w:t>
      </w:r>
      <w:r>
        <w:rPr>
          <w:rFonts w:ascii="Times New Roman" w:hAnsi="Times New Roman" w:cs="Times New Roman"/>
          <w:color w:val="000000"/>
        </w:rPr>
        <w:t>70</w:t>
      </w:r>
      <w:r w:rsidRPr="00E6619E">
        <w:rPr>
          <w:rFonts w:ascii="Times New Roman" w:hAnsi="Times New Roman" w:cs="Times New Roman"/>
          <w:color w:val="000000"/>
        </w:rPr>
        <w:t>-</w:t>
      </w:r>
      <w:r>
        <w:rPr>
          <w:rFonts w:ascii="Times New Roman" w:hAnsi="Times New Roman" w:cs="Times New Roman"/>
          <w:color w:val="000000"/>
        </w:rPr>
        <w:t>8</w:t>
      </w:r>
      <w:r w:rsidRPr="00E6619E">
        <w:rPr>
          <w:rFonts w:ascii="Times New Roman" w:hAnsi="Times New Roman" w:cs="Times New Roman"/>
          <w:color w:val="000000"/>
        </w:rPr>
        <w:t>0</w:t>
      </w:r>
      <w:r>
        <w:rPr>
          <w:rFonts w:ascii="Times New Roman" w:hAnsi="Times New Roman" w:cs="Times New Roman"/>
          <w:color w:val="000000"/>
        </w:rPr>
        <w:t xml:space="preserve">) </w:t>
      </w:r>
      <w:r w:rsidRPr="00E6619E">
        <w:rPr>
          <w:rFonts w:ascii="Times New Roman" w:hAnsi="Times New Roman" w:cs="Times New Roman"/>
          <w:color w:val="000000"/>
        </w:rPr>
        <w:t>exceeds that of the surface</w:t>
      </w:r>
      <w:r>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"/>
          <w:id w:val="1852989812"/>
          <w:placeholder>
            <w:docPart w:val="F0997E24A9E7442BAA9EE691C0E9766A"/>
          </w:placeholder>
        </w:sdtPr>
        <w:sdtContent>
          <w:r w:rsidRPr="004E5A0B">
            <w:rPr>
              <w:rFonts w:ascii="Times New Roman" w:hAnsi="Times New Roman" w:cs="Times New Roman"/>
              <w:color w:val="000000"/>
            </w:rPr>
            <w:t>(O. Nelson et al., 2008)</w:t>
          </w:r>
        </w:sdtContent>
      </w:sdt>
      <w:r w:rsidRPr="00E6619E">
        <w:rPr>
          <w:rFonts w:ascii="Times New Roman" w:hAnsi="Times New Roman" w:cs="Times New Roman"/>
          <w:color w:val="000000"/>
        </w:rPr>
        <w:t>, mirroring the dielectric contrast between gray matter and the human skin.</w:t>
      </w:r>
      <w:r>
        <w:rPr>
          <w:rFonts w:ascii="Times New Roman" w:hAnsi="Times New Roman" w:cs="Times New Roman"/>
          <w:color w:val="000000"/>
        </w:rPr>
        <w:t xml:space="preserve"> </w:t>
      </w:r>
      <w:r w:rsidRPr="00E6619E">
        <w:rPr>
          <w:rFonts w:ascii="Times New Roman" w:hAnsi="Times New Roman" w:cs="Times New Roman"/>
          <w:color w:val="000000"/>
        </w:rPr>
        <w:t xml:space="preserve">EEG was recorded in </w:t>
      </w:r>
      <w:r>
        <w:rPr>
          <w:rFonts w:ascii="Times New Roman" w:hAnsi="Times New Roman" w:cs="Times New Roman"/>
          <w:color w:val="000000"/>
        </w:rPr>
        <w:t xml:space="preserve">both cases (watermelon phantom and human) with </w:t>
      </w:r>
      <w:proofErr w:type="spellStart"/>
      <w:r w:rsidRPr="00E6619E">
        <w:rPr>
          <w:rFonts w:ascii="Times New Roman" w:hAnsi="Times New Roman" w:cs="Times New Roman"/>
          <w:color w:val="000000"/>
        </w:rPr>
        <w:t>BrainVision</w:t>
      </w:r>
      <w:proofErr w:type="spellEnd"/>
      <w:r w:rsidRPr="00E6619E">
        <w:rPr>
          <w:rFonts w:ascii="Times New Roman" w:hAnsi="Times New Roman" w:cs="Times New Roman"/>
          <w:color w:val="000000"/>
        </w:rPr>
        <w:t xml:space="preserve"> Recorder software (Brain Products GmbH, Germany) from 59 passive Ag/AgCl electrodes placed in an equidistant EEG cap (M10 cap layout, </w:t>
      </w:r>
      <w:proofErr w:type="spellStart"/>
      <w:r w:rsidRPr="00E6619E">
        <w:rPr>
          <w:rFonts w:ascii="Times New Roman" w:hAnsi="Times New Roman" w:cs="Times New Roman"/>
          <w:color w:val="000000"/>
        </w:rPr>
        <w:t>BrainCap</w:t>
      </w:r>
      <w:proofErr w:type="spellEnd"/>
      <w:r w:rsidRPr="00E6619E">
        <w:rPr>
          <w:rFonts w:ascii="Times New Roman" w:hAnsi="Times New Roman" w:cs="Times New Roman"/>
          <w:color w:val="000000"/>
        </w:rPr>
        <w:t>, Brain Products GmbH, Germany). All electrodes were prepared using electroconductive abrasive gel (</w:t>
      </w:r>
      <w:proofErr w:type="spellStart"/>
      <w:r w:rsidRPr="00E6619E">
        <w:rPr>
          <w:rFonts w:ascii="Times New Roman" w:hAnsi="Times New Roman" w:cs="Times New Roman"/>
          <w:color w:val="000000"/>
        </w:rPr>
        <w:t>Abralyt</w:t>
      </w:r>
      <w:proofErr w:type="spellEnd"/>
      <w:r w:rsidRPr="00E6619E">
        <w:rPr>
          <w:rFonts w:ascii="Times New Roman" w:hAnsi="Times New Roman" w:cs="Times New Roman"/>
          <w:color w:val="000000"/>
        </w:rPr>
        <w:t xml:space="preserve"> </w:t>
      </w:r>
      <w:proofErr w:type="spellStart"/>
      <w:r w:rsidRPr="00E6619E">
        <w:rPr>
          <w:rFonts w:ascii="Times New Roman" w:hAnsi="Times New Roman" w:cs="Times New Roman"/>
          <w:color w:val="000000"/>
        </w:rPr>
        <w:t>HiCl</w:t>
      </w:r>
      <w:proofErr w:type="spellEnd"/>
      <w:r w:rsidRPr="00E6619E">
        <w:rPr>
          <w:rFonts w:ascii="Times New Roman" w:hAnsi="Times New Roman" w:cs="Times New Roman"/>
          <w:color w:val="000000"/>
        </w:rPr>
        <w:t xml:space="preserve">) keeping impedances constant below &lt;10 </w:t>
      </w:r>
      <w:proofErr w:type="spellStart"/>
      <w:r w:rsidRPr="00E6619E">
        <w:rPr>
          <w:rFonts w:ascii="Times New Roman" w:hAnsi="Times New Roman" w:cs="Times New Roman"/>
          <w:color w:val="000000"/>
        </w:rPr>
        <w:t>kΩ</w:t>
      </w:r>
      <w:proofErr w:type="spellEnd"/>
      <w:r w:rsidRPr="00E6619E">
        <w:rPr>
          <w:rFonts w:ascii="Times New Roman" w:hAnsi="Times New Roman" w:cs="Times New Roman"/>
          <w:color w:val="000000"/>
        </w:rPr>
        <w:t xml:space="preserve">. The reference and ground electrodes were placed </w:t>
      </w:r>
      <w:r>
        <w:rPr>
          <w:rFonts w:ascii="Times New Roman" w:hAnsi="Times New Roman" w:cs="Times New Roman"/>
          <w:color w:val="000000"/>
        </w:rPr>
        <w:t xml:space="preserve">in the EEG net between </w:t>
      </w:r>
      <w:proofErr w:type="spellStart"/>
      <w:r>
        <w:rPr>
          <w:rFonts w:ascii="Times New Roman" w:hAnsi="Times New Roman" w:cs="Times New Roman"/>
          <w:color w:val="000000"/>
        </w:rPr>
        <w:t>Cz-FCz</w:t>
      </w:r>
      <w:proofErr w:type="spellEnd"/>
      <w:r>
        <w:rPr>
          <w:rFonts w:ascii="Times New Roman" w:hAnsi="Times New Roman" w:cs="Times New Roman"/>
          <w:color w:val="000000"/>
        </w:rPr>
        <w:t>, and between AFz-AF4,</w:t>
      </w:r>
      <w:r w:rsidRPr="00E6619E">
        <w:rPr>
          <w:rFonts w:ascii="Times New Roman" w:hAnsi="Times New Roman" w:cs="Times New Roman"/>
          <w:color w:val="000000"/>
        </w:rPr>
        <w:t xml:space="preserve"> respectively. The occipital-left electrodes from the cap </w:t>
      </w:r>
      <w:r w:rsidRPr="00E6619E">
        <w:rPr>
          <w:rFonts w:ascii="Times New Roman" w:hAnsi="Times New Roman" w:cs="Times New Roman"/>
          <w:color w:val="000000"/>
        </w:rPr>
        <w:lastRenderedPageBreak/>
        <w:t>(n=5) were removed to accommodate the ultrasound transducer, simulating a transducer position for “cerebellar-like” stimulation. EEG was recorded with a TMS-EEG compatible amplifier (</w:t>
      </w:r>
      <w:proofErr w:type="spellStart"/>
      <w:r w:rsidRPr="00E6619E">
        <w:rPr>
          <w:rFonts w:ascii="Times New Roman" w:hAnsi="Times New Roman" w:cs="Times New Roman"/>
          <w:color w:val="000000"/>
        </w:rPr>
        <w:t>actiCHamp</w:t>
      </w:r>
      <w:proofErr w:type="spellEnd"/>
      <w:r w:rsidRPr="00E6619E">
        <w:rPr>
          <w:rFonts w:ascii="Times New Roman" w:hAnsi="Times New Roman" w:cs="Times New Roman"/>
          <w:color w:val="000000"/>
        </w:rPr>
        <w:t xml:space="preserve"> Plus 64 System, Brain Products GmbH, Germany) at a sampling frequency of 5kHz. Concurrent ultrasound stimulation was applied with a </w:t>
      </w:r>
      <w:proofErr w:type="spellStart"/>
      <w:r w:rsidRPr="00E6619E">
        <w:rPr>
          <w:rFonts w:ascii="Times New Roman" w:hAnsi="Times New Roman" w:cs="Times New Roman"/>
        </w:rPr>
        <w:t>NeuroFUS</w:t>
      </w:r>
      <w:proofErr w:type="spellEnd"/>
      <w:r w:rsidRPr="00E6619E">
        <w:rPr>
          <w:rFonts w:ascii="Times New Roman" w:hAnsi="Times New Roman" w:cs="Times New Roman"/>
        </w:rPr>
        <w:t xml:space="preserve"> TPO and a CTX-500 transducer (four-element ultrasound transducer, 64 mm diameter, with a </w:t>
      </w:r>
      <w:r>
        <w:rPr>
          <w:rFonts w:ascii="Times New Roman" w:hAnsi="Times New Roman" w:cs="Times New Roman"/>
        </w:rPr>
        <w:t>fundamental</w:t>
      </w:r>
      <w:r w:rsidRPr="00E6619E">
        <w:rPr>
          <w:rFonts w:ascii="Times New Roman" w:hAnsi="Times New Roman" w:cs="Times New Roman"/>
        </w:rPr>
        <w:t xml:space="preserve"> frequency of 50</w:t>
      </w:r>
      <w:r>
        <w:rPr>
          <w:rFonts w:ascii="Times New Roman" w:hAnsi="Times New Roman" w:cs="Times New Roman"/>
        </w:rPr>
        <w:t>0</w:t>
      </w:r>
      <w:r w:rsidRPr="00E6619E">
        <w:rPr>
          <w:rFonts w:ascii="Times New Roman" w:hAnsi="Times New Roman" w:cs="Times New Roman"/>
        </w:rPr>
        <w:t xml:space="preserve">kHz, </w:t>
      </w:r>
      <w:proofErr w:type="spellStart"/>
      <w:r w:rsidRPr="00E6619E">
        <w:rPr>
          <w:rFonts w:ascii="Times New Roman" w:hAnsi="Times New Roman" w:cs="Times New Roman"/>
        </w:rPr>
        <w:t>SonicConcepts</w:t>
      </w:r>
      <w:proofErr w:type="spellEnd"/>
      <w:r w:rsidRPr="00E6619E">
        <w:rPr>
          <w:rFonts w:ascii="Times New Roman" w:hAnsi="Times New Roman" w:cs="Times New Roman"/>
        </w:rPr>
        <w:t>, Washington, USA). We coupled the transducer</w:t>
      </w:r>
      <w:r>
        <w:rPr>
          <w:rFonts w:ascii="Times New Roman" w:hAnsi="Times New Roman" w:cs="Times New Roman"/>
        </w:rPr>
        <w:t xml:space="preserve"> </w:t>
      </w:r>
      <w:r w:rsidRPr="00E6619E">
        <w:rPr>
          <w:rFonts w:ascii="Times New Roman" w:hAnsi="Times New Roman" w:cs="Times New Roman"/>
        </w:rPr>
        <w:t>with centrifugated ultrasound transmission gel (Aquasonic100, Parker Laboratories Inc.) applied to the transducer surface and the phantom, and a hydrogel pad placed in between (</w:t>
      </w:r>
      <w:proofErr w:type="spellStart"/>
      <w:r w:rsidRPr="00E6619E">
        <w:rPr>
          <w:rFonts w:ascii="Times New Roman" w:hAnsi="Times New Roman" w:cs="Times New Roman"/>
        </w:rPr>
        <w:t>Aquaflex</w:t>
      </w:r>
      <w:proofErr w:type="spellEnd"/>
      <w:r w:rsidRPr="00E6619E">
        <w:rPr>
          <w:rFonts w:ascii="Times New Roman" w:hAnsi="Times New Roman" w:cs="Times New Roman"/>
        </w:rPr>
        <w:t>, Parker Laboratories Inc, 80mm Diameter</w:t>
      </w:r>
      <w:r>
        <w:rPr>
          <w:rFonts w:ascii="Times New Roman" w:hAnsi="Times New Roman" w:cs="Times New Roman"/>
        </w:rPr>
        <w:t>,</w:t>
      </w:r>
      <w:r w:rsidRPr="00E6619E">
        <w:rPr>
          <w:rFonts w:ascii="Times New Roman" w:hAnsi="Times New Roman" w:cs="Times New Roman"/>
        </w:rPr>
        <w:t xml:space="preserve"> 20mm Width). As far as practically possible, we ensured no air bubbles in any of the surfaces. </w:t>
      </w:r>
    </w:p>
    <w:p w14:paraId="7C7D0749" w14:textId="77777777" w:rsidR="008072FE" w:rsidRDefault="008072FE" w:rsidP="008072FE">
      <w:pPr>
        <w:pStyle w:val="Textbody"/>
        <w:spacing w:line="360" w:lineRule="auto"/>
        <w:ind w:firstLine="709"/>
        <w:jc w:val="both"/>
        <w:rPr>
          <w:rFonts w:ascii="Times New Roman" w:hAnsi="Times New Roman" w:cs="Times New Roman"/>
        </w:rPr>
      </w:pPr>
      <w:r>
        <w:rPr>
          <w:rFonts w:ascii="Times New Roman" w:hAnsi="Times New Roman" w:cs="Times New Roman"/>
        </w:rPr>
        <w:t>The phantom assessment included t</w:t>
      </w:r>
      <w:r w:rsidRPr="00E6619E">
        <w:rPr>
          <w:rFonts w:ascii="Times New Roman" w:hAnsi="Times New Roman" w:cs="Times New Roman"/>
        </w:rPr>
        <w:t xml:space="preserve">wo distinct experimental </w:t>
      </w:r>
      <w:r>
        <w:rPr>
          <w:rFonts w:ascii="Times New Roman" w:hAnsi="Times New Roman" w:cs="Times New Roman"/>
        </w:rPr>
        <w:t xml:space="preserve">conditions </w:t>
      </w:r>
      <w:r w:rsidRPr="00E6619E">
        <w:rPr>
          <w:rFonts w:ascii="Times New Roman" w:hAnsi="Times New Roman" w:cs="Times New Roman"/>
        </w:rPr>
        <w:t xml:space="preserve">with </w:t>
      </w:r>
      <w:r>
        <w:rPr>
          <w:rFonts w:ascii="Times New Roman" w:hAnsi="Times New Roman" w:cs="Times New Roman"/>
        </w:rPr>
        <w:t>40</w:t>
      </w:r>
      <w:r w:rsidRPr="00E6619E">
        <w:rPr>
          <w:rFonts w:ascii="Times New Roman" w:hAnsi="Times New Roman" w:cs="Times New Roman"/>
        </w:rPr>
        <w:t xml:space="preserve"> trials each: (1) 10Hz </w:t>
      </w:r>
      <w:r>
        <w:rPr>
          <w:rFonts w:ascii="Times New Roman" w:hAnsi="Times New Roman" w:cs="Times New Roman"/>
        </w:rPr>
        <w:t>pulse repetition frequency (Prf.) pulse trains</w:t>
      </w:r>
      <w:r w:rsidRPr="00E6619E">
        <w:rPr>
          <w:rFonts w:ascii="Times New Roman" w:hAnsi="Times New Roman" w:cs="Times New Roman"/>
        </w:rPr>
        <w:t xml:space="preserve"> (pulse duration 10ms, inter-pulse interval of 100ms, total burst duration of 1 second with 10 pulses per burst, inter-bursts duration of 7 seconds)</w:t>
      </w:r>
      <w:r>
        <w:rPr>
          <w:rFonts w:ascii="Times New Roman" w:hAnsi="Times New Roman" w:cs="Times New Roman"/>
        </w:rPr>
        <w:t xml:space="preserve"> </w:t>
      </w:r>
      <w:r w:rsidRPr="00E6619E">
        <w:rPr>
          <w:rFonts w:ascii="Times New Roman" w:hAnsi="Times New Roman" w:cs="Times New Roman"/>
        </w:rPr>
        <w:t>(</w:t>
      </w:r>
      <w:r>
        <w:rPr>
          <w:rFonts w:ascii="Times New Roman" w:hAnsi="Times New Roman" w:cs="Times New Roman"/>
          <w:b/>
          <w:bCs/>
          <w:sz w:val="22"/>
          <w:szCs w:val="22"/>
        </w:rPr>
        <w:t xml:space="preserve">Supplementary </w:t>
      </w:r>
      <w:r w:rsidRPr="00116743">
        <w:rPr>
          <w:rFonts w:ascii="Times New Roman" w:hAnsi="Times New Roman" w:cs="Times New Roman"/>
        </w:rPr>
        <w:t>Figure 1,.A.3 top left, and B.1</w:t>
      </w:r>
      <w:r w:rsidRPr="00E6619E">
        <w:rPr>
          <w:rFonts w:ascii="Times New Roman" w:hAnsi="Times New Roman" w:cs="Times New Roman"/>
        </w:rPr>
        <w:t>)</w:t>
      </w:r>
      <w:r>
        <w:rPr>
          <w:rFonts w:ascii="Times New Roman" w:hAnsi="Times New Roman" w:cs="Times New Roman"/>
        </w:rPr>
        <w:t xml:space="preserve">; and </w:t>
      </w:r>
      <w:r w:rsidRPr="00E6619E">
        <w:rPr>
          <w:rFonts w:ascii="Times New Roman" w:hAnsi="Times New Roman" w:cs="Times New Roman"/>
        </w:rPr>
        <w:t>(2) 20Hz</w:t>
      </w:r>
      <w:r>
        <w:rPr>
          <w:rFonts w:ascii="Times New Roman" w:hAnsi="Times New Roman" w:cs="Times New Roman"/>
        </w:rPr>
        <w:t xml:space="preserve"> Prf.</w:t>
      </w:r>
      <w:r w:rsidRPr="00E6619E">
        <w:rPr>
          <w:rFonts w:ascii="Times New Roman" w:hAnsi="Times New Roman" w:cs="Times New Roman"/>
        </w:rPr>
        <w:t xml:space="preserve"> </w:t>
      </w:r>
      <w:r>
        <w:rPr>
          <w:rFonts w:ascii="Times New Roman" w:hAnsi="Times New Roman" w:cs="Times New Roman"/>
        </w:rPr>
        <w:t>pulse trains</w:t>
      </w:r>
      <w:r w:rsidRPr="00E6619E">
        <w:rPr>
          <w:rFonts w:ascii="Times New Roman" w:hAnsi="Times New Roman" w:cs="Times New Roman"/>
        </w:rPr>
        <w:t xml:space="preserve"> (pulse duration 10ms, inter-pulse interval of 50ms, total burst duration of 1second with 20 pulses per burst, inter-bursts duration of 7 seconds</w:t>
      </w:r>
      <w:r w:rsidRPr="00116743">
        <w:rPr>
          <w:rFonts w:ascii="Times New Roman" w:hAnsi="Times New Roman" w:cs="Times New Roman"/>
        </w:rPr>
        <w:t>) (</w:t>
      </w:r>
      <w:r>
        <w:rPr>
          <w:rFonts w:ascii="Times New Roman" w:hAnsi="Times New Roman" w:cs="Times New Roman"/>
          <w:b/>
          <w:bCs/>
          <w:sz w:val="22"/>
          <w:szCs w:val="22"/>
        </w:rPr>
        <w:t xml:space="preserve">Supplementary </w:t>
      </w:r>
      <w:r w:rsidRPr="00116743">
        <w:rPr>
          <w:rFonts w:ascii="Times New Roman" w:hAnsi="Times New Roman" w:cs="Times New Roman"/>
        </w:rPr>
        <w:t xml:space="preserve">Figure 1, A.3 top right, and B.2). The free-field spatial peak pulse average intensity (free-water </w:t>
      </w:r>
      <w:r w:rsidRPr="00116743">
        <w:rPr>
          <w:rFonts w:ascii="Times New Roman" w:hAnsi="Times New Roman" w:cs="Times New Roman"/>
          <w:i/>
          <w:iCs/>
        </w:rPr>
        <w:t>I</w:t>
      </w:r>
      <w:r w:rsidRPr="00116743">
        <w:rPr>
          <w:rFonts w:ascii="Times New Roman" w:hAnsi="Times New Roman" w:cs="Times New Roman"/>
          <w:vertAlign w:val="subscript"/>
        </w:rPr>
        <w:t>SPPA</w:t>
      </w:r>
      <w:r w:rsidRPr="00116743">
        <w:rPr>
          <w:rFonts w:ascii="Times New Roman" w:hAnsi="Times New Roman" w:cs="Times New Roman"/>
        </w:rPr>
        <w:t>) was fixed at 30W/cm², and the focal depth at 60mm from the transducer exit plane. On the other hand, the human experiment involved one experimental condition (40 trials) with 10Hz Prf. pulse trains (pulse duration 5ms, inter-pulse interval of 100ms, total burst duration of 1 second with 10 pulses per burst, inter-bursts duration of 7 seconds) (</w:t>
      </w:r>
      <w:r>
        <w:rPr>
          <w:rFonts w:ascii="Times New Roman" w:hAnsi="Times New Roman" w:cs="Times New Roman"/>
          <w:b/>
          <w:bCs/>
          <w:sz w:val="22"/>
          <w:szCs w:val="22"/>
        </w:rPr>
        <w:t xml:space="preserve">Supplementary </w:t>
      </w:r>
      <w:r w:rsidRPr="00116743">
        <w:rPr>
          <w:rFonts w:ascii="Times New Roman" w:hAnsi="Times New Roman" w:cs="Times New Roman"/>
        </w:rPr>
        <w:t>Figure 1, A.3 bottom left, and B.3). With such 10HzPrf. parameters</w:t>
      </w:r>
      <w:r>
        <w:rPr>
          <w:rFonts w:ascii="Times New Roman" w:hAnsi="Times New Roman" w:cs="Times New Roman"/>
        </w:rPr>
        <w:t>, we tested 6 different power output levels, setting the f</w:t>
      </w:r>
      <w:r w:rsidRPr="00E6619E">
        <w:rPr>
          <w:rFonts w:ascii="Times New Roman" w:hAnsi="Times New Roman" w:cs="Times New Roman"/>
        </w:rPr>
        <w:t xml:space="preserve">ree-field spatial peak pulse average intensity (free-water </w:t>
      </w:r>
      <w:r w:rsidRPr="00E6619E">
        <w:rPr>
          <w:rFonts w:ascii="Times New Roman" w:hAnsi="Times New Roman" w:cs="Times New Roman"/>
          <w:i/>
          <w:iCs/>
        </w:rPr>
        <w:t>I</w:t>
      </w:r>
      <w:r w:rsidRPr="00E6619E">
        <w:rPr>
          <w:rFonts w:ascii="Times New Roman" w:hAnsi="Times New Roman" w:cs="Times New Roman"/>
          <w:vertAlign w:val="subscript"/>
        </w:rPr>
        <w:t>SPPA</w:t>
      </w:r>
      <w:r w:rsidRPr="00E6619E">
        <w:rPr>
          <w:rFonts w:ascii="Times New Roman" w:hAnsi="Times New Roman" w:cs="Times New Roman"/>
        </w:rPr>
        <w:t>)</w:t>
      </w:r>
      <w:r>
        <w:rPr>
          <w:rFonts w:ascii="Times New Roman" w:hAnsi="Times New Roman" w:cs="Times New Roman"/>
        </w:rPr>
        <w:t xml:space="preserve"> at 5, 10, 15, 20, 25 and 30</w:t>
      </w:r>
      <w:r w:rsidRPr="00E6619E">
        <w:rPr>
          <w:rFonts w:ascii="Times New Roman" w:hAnsi="Times New Roman" w:cs="Times New Roman"/>
        </w:rPr>
        <w:t>W/cm²</w:t>
      </w:r>
      <w:r>
        <w:rPr>
          <w:rFonts w:ascii="Times New Roman" w:hAnsi="Times New Roman" w:cs="Times New Roman"/>
        </w:rPr>
        <w:t xml:space="preserve"> </w:t>
      </w:r>
      <w:r w:rsidRPr="00E6619E">
        <w:rPr>
          <w:rFonts w:ascii="Times New Roman" w:hAnsi="Times New Roman" w:cs="Times New Roman"/>
        </w:rPr>
        <w:t>and the focal depth</w:t>
      </w:r>
      <w:r>
        <w:rPr>
          <w:rFonts w:ascii="Times New Roman" w:hAnsi="Times New Roman" w:cs="Times New Roman"/>
        </w:rPr>
        <w:t xml:space="preserve"> fixed</w:t>
      </w:r>
      <w:r w:rsidRPr="00E6619E">
        <w:rPr>
          <w:rFonts w:ascii="Times New Roman" w:hAnsi="Times New Roman" w:cs="Times New Roman"/>
        </w:rPr>
        <w:t xml:space="preserve"> at 60mm from the transducer exit plane.</w:t>
      </w:r>
      <w:r>
        <w:rPr>
          <w:rFonts w:ascii="Times New Roman" w:hAnsi="Times New Roman" w:cs="Times New Roman"/>
        </w:rPr>
        <w:t xml:space="preserve"> C</w:t>
      </w:r>
      <w:r w:rsidRPr="00E6619E">
        <w:rPr>
          <w:rFonts w:ascii="Times New Roman" w:hAnsi="Times New Roman" w:cs="Times New Roman"/>
        </w:rPr>
        <w:t>oncurrent</w:t>
      </w:r>
      <w:r>
        <w:rPr>
          <w:rFonts w:ascii="Times New Roman" w:hAnsi="Times New Roman" w:cs="Times New Roman"/>
        </w:rPr>
        <w:t xml:space="preserve"> phantom and human</w:t>
      </w:r>
      <w:r w:rsidRPr="00E6619E">
        <w:rPr>
          <w:rFonts w:ascii="Times New Roman" w:hAnsi="Times New Roman" w:cs="Times New Roman"/>
        </w:rPr>
        <w:t xml:space="preserve"> </w:t>
      </w:r>
      <w:proofErr w:type="spellStart"/>
      <w:r w:rsidRPr="00E6619E">
        <w:rPr>
          <w:rFonts w:ascii="Times New Roman" w:hAnsi="Times New Roman" w:cs="Times New Roman"/>
        </w:rPr>
        <w:t>tFUS</w:t>
      </w:r>
      <w:proofErr w:type="spellEnd"/>
      <w:r w:rsidRPr="00E6619E">
        <w:rPr>
          <w:rFonts w:ascii="Times New Roman" w:hAnsi="Times New Roman" w:cs="Times New Roman"/>
        </w:rPr>
        <w:t xml:space="preserve">-EEG recordings revealed fast, capacitive-coupling-like polarization </w:t>
      </w:r>
      <w:r>
        <w:rPr>
          <w:rFonts w:ascii="Times New Roman" w:hAnsi="Times New Roman" w:cs="Times New Roman"/>
        </w:rPr>
        <w:t xml:space="preserve">EEG </w:t>
      </w:r>
      <w:r w:rsidRPr="00E6619E">
        <w:rPr>
          <w:rFonts w:ascii="Times New Roman" w:hAnsi="Times New Roman" w:cs="Times New Roman"/>
        </w:rPr>
        <w:t xml:space="preserve">artifacts time-locked to the pulse repetition </w:t>
      </w:r>
      <w:r w:rsidRPr="00116743">
        <w:rPr>
          <w:rFonts w:ascii="Times New Roman" w:hAnsi="Times New Roman" w:cs="Times New Roman"/>
        </w:rPr>
        <w:t>frequency (</w:t>
      </w:r>
      <w:r>
        <w:rPr>
          <w:rFonts w:ascii="Times New Roman" w:hAnsi="Times New Roman" w:cs="Times New Roman"/>
          <w:b/>
          <w:bCs/>
          <w:sz w:val="22"/>
          <w:szCs w:val="22"/>
        </w:rPr>
        <w:t xml:space="preserve">Supplementary </w:t>
      </w:r>
      <w:r w:rsidRPr="00116743">
        <w:rPr>
          <w:rFonts w:ascii="Times New Roman" w:hAnsi="Times New Roman" w:cs="Times New Roman"/>
        </w:rPr>
        <w:t xml:space="preserve">Figure 1, B.). Depending </w:t>
      </w:r>
      <w:r w:rsidRPr="00E6619E">
        <w:rPr>
          <w:rFonts w:ascii="Times New Roman" w:hAnsi="Times New Roman" w:cs="Times New Roman"/>
        </w:rPr>
        <w:t>on the EEG system and its internal hardware or software configuration, particularly the application of pr</w:t>
      </w:r>
      <w:r>
        <w:rPr>
          <w:rFonts w:ascii="Times New Roman" w:hAnsi="Times New Roman" w:cs="Times New Roman"/>
        </w:rPr>
        <w:t>e-digitalization</w:t>
      </w:r>
      <w:r w:rsidRPr="00E6619E">
        <w:rPr>
          <w:rFonts w:ascii="Times New Roman" w:hAnsi="Times New Roman" w:cs="Times New Roman"/>
        </w:rPr>
        <w:t xml:space="preserve"> bandpass filters, these artifacts may manifest as sharp voltage transients during active ultrasound pulses, appearing as abrupt gain changes and slow signal drifts resembling Direct Current (DC-coupling) artifacts. In our </w:t>
      </w:r>
      <w:r>
        <w:rPr>
          <w:rFonts w:ascii="Times New Roman" w:hAnsi="Times New Roman" w:cs="Times New Roman"/>
        </w:rPr>
        <w:t>experiments</w:t>
      </w:r>
      <w:r w:rsidRPr="00E6619E">
        <w:rPr>
          <w:rFonts w:ascii="Times New Roman" w:hAnsi="Times New Roman" w:cs="Times New Roman"/>
        </w:rPr>
        <w:t xml:space="preserve">, using the </w:t>
      </w:r>
      <w:proofErr w:type="spellStart"/>
      <w:r w:rsidRPr="00E6619E">
        <w:rPr>
          <w:rFonts w:ascii="Times New Roman" w:hAnsi="Times New Roman" w:cs="Times New Roman"/>
        </w:rPr>
        <w:t>actiCHamp</w:t>
      </w:r>
      <w:proofErr w:type="spellEnd"/>
      <w:r w:rsidRPr="00E6619E">
        <w:rPr>
          <w:rFonts w:ascii="Times New Roman" w:hAnsi="Times New Roman" w:cs="Times New Roman"/>
        </w:rPr>
        <w:t xml:space="preserve"> amplifier with a 0.</w:t>
      </w:r>
      <w:r>
        <w:rPr>
          <w:rFonts w:ascii="Times New Roman" w:hAnsi="Times New Roman" w:cs="Times New Roman"/>
        </w:rPr>
        <w:t>016</w:t>
      </w:r>
      <w:r w:rsidRPr="00E6619E">
        <w:rPr>
          <w:rFonts w:ascii="Times New Roman" w:hAnsi="Times New Roman" w:cs="Times New Roman"/>
        </w:rPr>
        <w:t xml:space="preserve"> Hz high-pass DC-correction, slow</w:t>
      </w:r>
      <w:r>
        <w:rPr>
          <w:rFonts w:ascii="Times New Roman" w:hAnsi="Times New Roman" w:cs="Times New Roman"/>
        </w:rPr>
        <w:t xml:space="preserve"> DC</w:t>
      </w:r>
      <w:r w:rsidRPr="00E6619E">
        <w:rPr>
          <w:rFonts w:ascii="Times New Roman" w:hAnsi="Times New Roman" w:cs="Times New Roman"/>
        </w:rPr>
        <w:t xml:space="preserve"> drifts were effectively attenuated; however, spike artifacts remained prominent at the onset and offset of each ultrasound pulse. Specifically, we observed consistent, trial-to-trial spike-shaped transients corresponding to the pulse duration (one spike at the up-phase and one at the down-phase of each pulse)</w:t>
      </w:r>
      <w:r>
        <w:rPr>
          <w:rFonts w:ascii="Times New Roman" w:hAnsi="Times New Roman" w:cs="Times New Roman"/>
        </w:rPr>
        <w:t>, with near-constat amplitude across the different tested power levels.</w:t>
      </w:r>
      <w:r w:rsidRPr="00E6619E">
        <w:rPr>
          <w:rFonts w:ascii="Times New Roman" w:hAnsi="Times New Roman" w:cs="Times New Roman"/>
        </w:rPr>
        <w:t xml:space="preserve"> </w:t>
      </w:r>
    </w:p>
    <w:p w14:paraId="638D774D" w14:textId="77777777" w:rsidR="008072FE" w:rsidRDefault="008072FE" w:rsidP="008072FE">
      <w:pPr>
        <w:pStyle w:val="Textbody"/>
        <w:spacing w:line="360" w:lineRule="auto"/>
        <w:jc w:val="both"/>
        <w:rPr>
          <w:rFonts w:ascii="Times New Roman" w:hAnsi="Times New Roman" w:cs="Times New Roman"/>
        </w:rPr>
      </w:pPr>
      <w:r>
        <w:rPr>
          <w:rFonts w:ascii="Times New Roman" w:hAnsi="Times New Roman" w:cs="Times New Roman"/>
          <w:b/>
          <w:bCs/>
          <w:noProof/>
          <w:sz w:val="22"/>
          <w:szCs w:val="22"/>
        </w:rPr>
        <w:lastRenderedPageBreak/>
        <w:drawing>
          <wp:anchor distT="0" distB="0" distL="114300" distR="114300" simplePos="0" relativeHeight="251659264" behindDoc="0" locked="0" layoutInCell="1" allowOverlap="1" wp14:anchorId="77BA85B8" wp14:editId="49A8D2AA">
            <wp:simplePos x="0" y="0"/>
            <wp:positionH relativeFrom="margin">
              <wp:posOffset>-123825</wp:posOffset>
            </wp:positionH>
            <wp:positionV relativeFrom="paragraph">
              <wp:posOffset>0</wp:posOffset>
            </wp:positionV>
            <wp:extent cx="6377305" cy="9105900"/>
            <wp:effectExtent l="0" t="0" r="0" b="0"/>
            <wp:wrapTopAndBottom/>
            <wp:docPr id="2061307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77305" cy="910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6A182" w14:textId="77777777" w:rsidR="008072FE" w:rsidRDefault="008072FE" w:rsidP="008072FE">
      <w:pPr>
        <w:jc w:val="both"/>
        <w:rPr>
          <w:rFonts w:ascii="Times New Roman" w:hAnsi="Times New Roman" w:cs="Times New Roman"/>
          <w:sz w:val="22"/>
          <w:szCs w:val="22"/>
        </w:rPr>
      </w:pPr>
      <w:r>
        <w:rPr>
          <w:rFonts w:ascii="Times New Roman" w:hAnsi="Times New Roman" w:cs="Times New Roman"/>
          <w:b/>
          <w:bCs/>
          <w:sz w:val="22"/>
          <w:szCs w:val="22"/>
        </w:rPr>
        <w:lastRenderedPageBreak/>
        <w:t xml:space="preserve">Supplementary </w:t>
      </w:r>
      <w:r w:rsidRPr="001032B7">
        <w:rPr>
          <w:rFonts w:ascii="Times New Roman" w:hAnsi="Times New Roman" w:cs="Times New Roman"/>
          <w:b/>
          <w:bCs/>
          <w:sz w:val="22"/>
          <w:szCs w:val="22"/>
        </w:rPr>
        <w:t xml:space="preserve">Figure </w:t>
      </w:r>
      <w:r w:rsidRPr="001A3959">
        <w:rPr>
          <w:rFonts w:ascii="Times New Roman" w:hAnsi="Times New Roman" w:cs="Times New Roman"/>
          <w:b/>
          <w:bCs/>
          <w:sz w:val="22"/>
          <w:szCs w:val="22"/>
        </w:rPr>
        <w:t>1</w:t>
      </w:r>
      <w:r w:rsidRPr="001032B7">
        <w:rPr>
          <w:rFonts w:ascii="Times New Roman" w:hAnsi="Times New Roman" w:cs="Times New Roman"/>
          <w:b/>
          <w:bCs/>
          <w:sz w:val="22"/>
          <w:szCs w:val="22"/>
        </w:rPr>
        <w:t xml:space="preserve">. Concurrent </w:t>
      </w:r>
      <w:proofErr w:type="spellStart"/>
      <w:r w:rsidRPr="001032B7">
        <w:rPr>
          <w:rFonts w:ascii="Times New Roman" w:hAnsi="Times New Roman" w:cs="Times New Roman"/>
          <w:b/>
          <w:bCs/>
          <w:sz w:val="22"/>
          <w:szCs w:val="22"/>
        </w:rPr>
        <w:t>tFUS</w:t>
      </w:r>
      <w:proofErr w:type="spellEnd"/>
      <w:r w:rsidRPr="001032B7">
        <w:rPr>
          <w:rFonts w:ascii="Times New Roman" w:hAnsi="Times New Roman" w:cs="Times New Roman"/>
          <w:b/>
          <w:bCs/>
          <w:sz w:val="22"/>
          <w:szCs w:val="22"/>
        </w:rPr>
        <w:t xml:space="preserve">-EEG setup and artifact characterization A. </w:t>
      </w:r>
      <w:proofErr w:type="spellStart"/>
      <w:r w:rsidRPr="001032B7">
        <w:rPr>
          <w:rFonts w:ascii="Times New Roman" w:hAnsi="Times New Roman" w:cs="Times New Roman"/>
          <w:b/>
          <w:bCs/>
          <w:sz w:val="22"/>
          <w:szCs w:val="22"/>
        </w:rPr>
        <w:t>tFUS</w:t>
      </w:r>
      <w:proofErr w:type="spellEnd"/>
      <w:r w:rsidRPr="001032B7">
        <w:rPr>
          <w:rFonts w:ascii="Times New Roman" w:hAnsi="Times New Roman" w:cs="Times New Roman"/>
          <w:b/>
          <w:bCs/>
          <w:sz w:val="22"/>
          <w:szCs w:val="22"/>
        </w:rPr>
        <w:t>-EEG setup. A.1</w:t>
      </w:r>
      <w:r w:rsidRPr="001032B7">
        <w:rPr>
          <w:rFonts w:ascii="Times New Roman" w:hAnsi="Times New Roman" w:cs="Times New Roman"/>
          <w:sz w:val="22"/>
          <w:szCs w:val="22"/>
        </w:rPr>
        <w:t xml:space="preserve"> Schematic simplified diagram of the setup for concurrent </w:t>
      </w:r>
      <w:proofErr w:type="spellStart"/>
      <w:r w:rsidRPr="001032B7">
        <w:rPr>
          <w:rFonts w:ascii="Times New Roman" w:hAnsi="Times New Roman" w:cs="Times New Roman"/>
          <w:sz w:val="22"/>
          <w:szCs w:val="22"/>
        </w:rPr>
        <w:t>tFUS</w:t>
      </w:r>
      <w:proofErr w:type="spellEnd"/>
      <w:r w:rsidRPr="001032B7">
        <w:rPr>
          <w:rFonts w:ascii="Times New Roman" w:hAnsi="Times New Roman" w:cs="Times New Roman"/>
          <w:sz w:val="22"/>
          <w:szCs w:val="22"/>
        </w:rPr>
        <w:t xml:space="preserve">-EEG. EEG signals are recorded in real time using a dedicated computer. </w:t>
      </w:r>
      <w:proofErr w:type="spellStart"/>
      <w:r>
        <w:rPr>
          <w:rFonts w:ascii="Times New Roman" w:hAnsi="Times New Roman" w:cs="Times New Roman"/>
          <w:sz w:val="22"/>
          <w:szCs w:val="22"/>
        </w:rPr>
        <w:t>t</w:t>
      </w:r>
      <w:r w:rsidRPr="001032B7">
        <w:rPr>
          <w:rFonts w:ascii="Times New Roman" w:hAnsi="Times New Roman" w:cs="Times New Roman"/>
          <w:sz w:val="22"/>
          <w:szCs w:val="22"/>
        </w:rPr>
        <w:t>FUS</w:t>
      </w:r>
      <w:proofErr w:type="spellEnd"/>
      <w:r w:rsidRPr="001032B7">
        <w:rPr>
          <w:rFonts w:ascii="Times New Roman" w:hAnsi="Times New Roman" w:cs="Times New Roman"/>
          <w:sz w:val="22"/>
          <w:szCs w:val="22"/>
        </w:rPr>
        <w:t xml:space="preserve"> can be triggered independently or informed by EEG in a brain-state-dependent manner. Both immediate and delayed evoked potentials, as well as oscillatory neural dynamics, can be captured to verify functional target engagement, map causally brain circuits, and inform neuromodulation protocols. </w:t>
      </w:r>
      <w:r w:rsidRPr="001032B7">
        <w:rPr>
          <w:rFonts w:ascii="Times New Roman" w:hAnsi="Times New Roman" w:cs="Times New Roman"/>
          <w:b/>
          <w:bCs/>
          <w:sz w:val="22"/>
          <w:szCs w:val="22"/>
        </w:rPr>
        <w:t>A.2.</w:t>
      </w:r>
      <w:r w:rsidRPr="001032B7">
        <w:rPr>
          <w:rFonts w:ascii="Times New Roman" w:hAnsi="Times New Roman" w:cs="Times New Roman"/>
          <w:sz w:val="22"/>
          <w:szCs w:val="22"/>
        </w:rPr>
        <w:t xml:space="preserve"> Phantom (top) and real-world human (bottom) concurrent </w:t>
      </w:r>
      <w:proofErr w:type="spellStart"/>
      <w:r w:rsidRPr="001032B7">
        <w:rPr>
          <w:rFonts w:ascii="Times New Roman" w:hAnsi="Times New Roman" w:cs="Times New Roman"/>
          <w:sz w:val="22"/>
          <w:szCs w:val="22"/>
        </w:rPr>
        <w:t>tFUS</w:t>
      </w:r>
      <w:proofErr w:type="spellEnd"/>
      <w:r w:rsidRPr="001032B7">
        <w:rPr>
          <w:rFonts w:ascii="Times New Roman" w:hAnsi="Times New Roman" w:cs="Times New Roman"/>
          <w:sz w:val="22"/>
          <w:szCs w:val="22"/>
        </w:rPr>
        <w:t>-EEG setup employed allowing the placement of a custom transducer-holding system with a CTX500 transducer (</w:t>
      </w:r>
      <w:proofErr w:type="spellStart"/>
      <w:r w:rsidRPr="001032B7">
        <w:rPr>
          <w:rFonts w:ascii="Times New Roman" w:hAnsi="Times New Roman" w:cs="Times New Roman"/>
          <w:sz w:val="22"/>
          <w:szCs w:val="22"/>
        </w:rPr>
        <w:t>SonicConcepts</w:t>
      </w:r>
      <w:proofErr w:type="spellEnd"/>
      <w:r w:rsidRPr="001032B7">
        <w:rPr>
          <w:rFonts w:ascii="Times New Roman" w:hAnsi="Times New Roman" w:cs="Times New Roman"/>
          <w:sz w:val="22"/>
          <w:szCs w:val="22"/>
        </w:rPr>
        <w:t xml:space="preserve"> USA), and the application of coupling media. </w:t>
      </w:r>
      <w:r w:rsidRPr="001032B7">
        <w:rPr>
          <w:rFonts w:ascii="Times New Roman" w:hAnsi="Times New Roman" w:cs="Times New Roman"/>
          <w:b/>
          <w:bCs/>
          <w:sz w:val="22"/>
          <w:szCs w:val="22"/>
        </w:rPr>
        <w:t xml:space="preserve">A.3. </w:t>
      </w:r>
      <w:r w:rsidRPr="001032B7">
        <w:rPr>
          <w:rFonts w:ascii="Times New Roman" w:hAnsi="Times New Roman" w:cs="Times New Roman"/>
          <w:sz w:val="22"/>
          <w:szCs w:val="22"/>
        </w:rPr>
        <w:t>Experimentally tested pulse regime parameters.</w:t>
      </w:r>
      <w:r w:rsidRPr="001032B7">
        <w:rPr>
          <w:rFonts w:ascii="Times New Roman" w:hAnsi="Times New Roman" w:cs="Times New Roman"/>
          <w:b/>
          <w:bCs/>
          <w:sz w:val="22"/>
          <w:szCs w:val="22"/>
        </w:rPr>
        <w:t xml:space="preserve"> </w:t>
      </w:r>
      <w:r w:rsidRPr="001032B7">
        <w:rPr>
          <w:rFonts w:ascii="Times New Roman" w:hAnsi="Times New Roman" w:cs="Times New Roman"/>
          <w:sz w:val="22"/>
          <w:szCs w:val="22"/>
        </w:rPr>
        <w:t xml:space="preserve">The top-left panel illustrates the pulsing schemes used for the </w:t>
      </w:r>
      <w:r w:rsidRPr="001032B7">
        <w:rPr>
          <w:rFonts w:ascii="Times New Roman" w:hAnsi="Times New Roman" w:cs="Times New Roman"/>
          <w:i/>
          <w:iCs/>
          <w:sz w:val="22"/>
          <w:szCs w:val="22"/>
        </w:rPr>
        <w:t>phantom 10 Hz</w:t>
      </w:r>
      <w:r w:rsidRPr="001032B7">
        <w:rPr>
          <w:rFonts w:ascii="Times New Roman" w:hAnsi="Times New Roman" w:cs="Times New Roman"/>
          <w:sz w:val="22"/>
          <w:szCs w:val="22"/>
        </w:rPr>
        <w:t xml:space="preserve"> condition, while the top-right panel shows the schemes for the </w:t>
      </w:r>
      <w:r w:rsidRPr="001032B7">
        <w:rPr>
          <w:rFonts w:ascii="Times New Roman" w:hAnsi="Times New Roman" w:cs="Times New Roman"/>
          <w:i/>
          <w:iCs/>
          <w:sz w:val="22"/>
          <w:szCs w:val="22"/>
        </w:rPr>
        <w:t>phantom 20 Hz</w:t>
      </w:r>
      <w:r w:rsidRPr="001032B7">
        <w:rPr>
          <w:rFonts w:ascii="Times New Roman" w:hAnsi="Times New Roman" w:cs="Times New Roman"/>
          <w:sz w:val="22"/>
          <w:szCs w:val="22"/>
        </w:rPr>
        <w:t xml:space="preserve"> condition. Both pulse regimes were delivered at a fixed free-water intensity of 30 W/cm² </w:t>
      </w:r>
      <w:proofErr w:type="spellStart"/>
      <w:r w:rsidRPr="001032B7">
        <w:rPr>
          <w:rFonts w:ascii="Times New Roman" w:hAnsi="Times New Roman" w:cs="Times New Roman"/>
          <w:sz w:val="22"/>
          <w:szCs w:val="22"/>
        </w:rPr>
        <w:t>Isppa</w:t>
      </w:r>
      <w:proofErr w:type="spellEnd"/>
      <w:r w:rsidRPr="001032B7">
        <w:rPr>
          <w:rFonts w:ascii="Times New Roman" w:hAnsi="Times New Roman" w:cs="Times New Roman"/>
          <w:sz w:val="22"/>
          <w:szCs w:val="22"/>
        </w:rPr>
        <w:t xml:space="preserve">. The bottom-left panel depicts the pulsing scheme employed in the </w:t>
      </w:r>
      <w:r w:rsidRPr="001032B7">
        <w:rPr>
          <w:rFonts w:ascii="Times New Roman" w:hAnsi="Times New Roman" w:cs="Times New Roman"/>
          <w:i/>
          <w:iCs/>
          <w:sz w:val="22"/>
          <w:szCs w:val="22"/>
        </w:rPr>
        <w:t>human 10 Hz</w:t>
      </w:r>
      <w:r w:rsidRPr="001032B7">
        <w:rPr>
          <w:rFonts w:ascii="Times New Roman" w:hAnsi="Times New Roman" w:cs="Times New Roman"/>
          <w:sz w:val="22"/>
          <w:szCs w:val="22"/>
        </w:rPr>
        <w:t xml:space="preserve"> condition, which was evaluated across six different </w:t>
      </w:r>
      <w:proofErr w:type="spellStart"/>
      <w:r w:rsidRPr="001032B7">
        <w:rPr>
          <w:rFonts w:ascii="Times New Roman" w:hAnsi="Times New Roman" w:cs="Times New Roman"/>
          <w:sz w:val="22"/>
          <w:szCs w:val="22"/>
        </w:rPr>
        <w:t>Isppa</w:t>
      </w:r>
      <w:proofErr w:type="spellEnd"/>
      <w:r w:rsidRPr="001032B7">
        <w:rPr>
          <w:rFonts w:ascii="Times New Roman" w:hAnsi="Times New Roman" w:cs="Times New Roman"/>
          <w:sz w:val="22"/>
          <w:szCs w:val="22"/>
        </w:rPr>
        <w:t xml:space="preserve"> intensity levels: 5, 10, 15, 20, 25 and 30W/cm² (bottom-right panel). </w:t>
      </w:r>
      <w:r w:rsidRPr="001032B7">
        <w:rPr>
          <w:rFonts w:ascii="Times New Roman" w:hAnsi="Times New Roman" w:cs="Times New Roman"/>
          <w:b/>
          <w:bCs/>
          <w:sz w:val="22"/>
          <w:szCs w:val="22"/>
        </w:rPr>
        <w:t xml:space="preserve">B. Characterization of artifacts. </w:t>
      </w:r>
      <w:r w:rsidRPr="001032B7">
        <w:rPr>
          <w:rFonts w:ascii="Times New Roman" w:hAnsi="Times New Roman" w:cs="Times New Roman"/>
          <w:sz w:val="22"/>
          <w:szCs w:val="22"/>
        </w:rPr>
        <w:t xml:space="preserve">Raw </w:t>
      </w:r>
      <w:proofErr w:type="spellStart"/>
      <w:r w:rsidRPr="001032B7">
        <w:rPr>
          <w:rFonts w:ascii="Times New Roman" w:hAnsi="Times New Roman" w:cs="Times New Roman"/>
          <w:sz w:val="22"/>
          <w:szCs w:val="22"/>
        </w:rPr>
        <w:t>artifacted</w:t>
      </w:r>
      <w:proofErr w:type="spellEnd"/>
      <w:r w:rsidRPr="001032B7">
        <w:rPr>
          <w:rFonts w:ascii="Times New Roman" w:hAnsi="Times New Roman" w:cs="Times New Roman"/>
          <w:sz w:val="22"/>
          <w:szCs w:val="22"/>
        </w:rPr>
        <w:t xml:space="preserve"> EEG (</w:t>
      </w:r>
      <w:proofErr w:type="spellStart"/>
      <w:r w:rsidRPr="001032B7">
        <w:rPr>
          <w:rFonts w:ascii="Times New Roman" w:hAnsi="Times New Roman" w:cs="Times New Roman"/>
          <w:sz w:val="22"/>
          <w:szCs w:val="22"/>
        </w:rPr>
        <w:t>epoched</w:t>
      </w:r>
      <w:proofErr w:type="spellEnd"/>
      <w:r w:rsidRPr="001032B7">
        <w:rPr>
          <w:rFonts w:ascii="Times New Roman" w:hAnsi="Times New Roman" w:cs="Times New Roman"/>
          <w:sz w:val="22"/>
          <w:szCs w:val="22"/>
        </w:rPr>
        <w:t xml:space="preserve"> and de-mean corrected) grand average time-series (i.e., Event Related Potentials) from the phantom 10Hz Prf. condition (</w:t>
      </w:r>
      <w:r w:rsidRPr="001032B7">
        <w:rPr>
          <w:rFonts w:ascii="Times New Roman" w:hAnsi="Times New Roman" w:cs="Times New Roman"/>
          <w:b/>
          <w:bCs/>
          <w:sz w:val="22"/>
          <w:szCs w:val="22"/>
        </w:rPr>
        <w:t>B.1</w:t>
      </w:r>
      <w:r w:rsidRPr="001032B7">
        <w:rPr>
          <w:rFonts w:ascii="Times New Roman" w:hAnsi="Times New Roman" w:cs="Times New Roman"/>
          <w:sz w:val="22"/>
          <w:szCs w:val="22"/>
        </w:rPr>
        <w:t>); the phantom 20H Prf. condition (</w:t>
      </w:r>
      <w:r w:rsidRPr="001032B7">
        <w:rPr>
          <w:rFonts w:ascii="Times New Roman" w:hAnsi="Times New Roman" w:cs="Times New Roman"/>
          <w:b/>
          <w:bCs/>
          <w:sz w:val="22"/>
          <w:szCs w:val="22"/>
        </w:rPr>
        <w:t>B.2</w:t>
      </w:r>
      <w:r w:rsidRPr="001032B7">
        <w:rPr>
          <w:rFonts w:ascii="Times New Roman" w:hAnsi="Times New Roman" w:cs="Times New Roman"/>
          <w:sz w:val="22"/>
          <w:szCs w:val="22"/>
        </w:rPr>
        <w:t>); and the human 10Hz Prf. condition (</w:t>
      </w:r>
      <w:r w:rsidRPr="001032B7">
        <w:rPr>
          <w:rFonts w:ascii="Times New Roman" w:hAnsi="Times New Roman" w:cs="Times New Roman"/>
          <w:b/>
          <w:bCs/>
          <w:sz w:val="22"/>
          <w:szCs w:val="22"/>
        </w:rPr>
        <w:t xml:space="preserve">B.3-8 </w:t>
      </w:r>
      <w:r w:rsidRPr="001032B7">
        <w:rPr>
          <w:rFonts w:ascii="Times New Roman" w:hAnsi="Times New Roman" w:cs="Times New Roman"/>
          <w:sz w:val="22"/>
          <w:szCs w:val="22"/>
        </w:rPr>
        <w:t xml:space="preserve">across the different Intensity levels) including all available sensors with the pulsing artifacts highlighted in </w:t>
      </w:r>
      <w:r w:rsidRPr="001032B7">
        <w:rPr>
          <w:rFonts w:ascii="Times New Roman" w:hAnsi="Times New Roman" w:cs="Times New Roman"/>
          <w:b/>
          <w:bCs/>
          <w:color w:val="C00000"/>
          <w:sz w:val="22"/>
          <w:szCs w:val="22"/>
        </w:rPr>
        <w:t>red</w:t>
      </w:r>
      <w:r w:rsidRPr="001032B7">
        <w:rPr>
          <w:rFonts w:ascii="Times New Roman" w:hAnsi="Times New Roman" w:cs="Times New Roman"/>
          <w:sz w:val="22"/>
          <w:szCs w:val="22"/>
        </w:rPr>
        <w:t xml:space="preserve">. Note that all conditions generated “within-pulse” artifacts, with sharp short lasting (1-1.5ms) artifacts at the up-phase (onset) and at the down-phase (offset) of each TUS pulse. Those artifacts were repeated at different frequency according to the PRF of each condition, with a 100ms latency for the 10Hz conditions and 50ms latency for the 20Hz. </w:t>
      </w:r>
      <w:r w:rsidRPr="001032B7">
        <w:rPr>
          <w:rFonts w:ascii="Times New Roman" w:hAnsi="Times New Roman" w:cs="Times New Roman"/>
          <w:b/>
          <w:bCs/>
          <w:sz w:val="22"/>
          <w:szCs w:val="22"/>
        </w:rPr>
        <w:t xml:space="preserve">C. Duty cycle (pulse repetition frequency) effects on artifacts. </w:t>
      </w:r>
      <w:r w:rsidRPr="001032B7">
        <w:rPr>
          <w:rFonts w:ascii="Times New Roman" w:hAnsi="Times New Roman" w:cs="Times New Roman"/>
          <w:sz w:val="22"/>
          <w:szCs w:val="22"/>
        </w:rPr>
        <w:t xml:space="preserve">Figure </w:t>
      </w:r>
      <w:r w:rsidRPr="001032B7">
        <w:rPr>
          <w:rFonts w:ascii="Times New Roman" w:hAnsi="Times New Roman" w:cs="Times New Roman"/>
          <w:b/>
          <w:bCs/>
          <w:sz w:val="22"/>
          <w:szCs w:val="22"/>
        </w:rPr>
        <w:t>C.1</w:t>
      </w:r>
      <w:r w:rsidRPr="001032B7">
        <w:rPr>
          <w:rFonts w:ascii="Times New Roman" w:hAnsi="Times New Roman" w:cs="Times New Roman"/>
          <w:sz w:val="22"/>
          <w:szCs w:val="22"/>
        </w:rPr>
        <w:t xml:space="preserve"> illustrates the presence of stimulation-induced artifacts across several pulse repetition frequencies (PRFs; 10, 50, and 90 Hz) on a synthetic in-silico simulated EEG signal composed of </w:t>
      </w:r>
      <w:r w:rsidRPr="001032B7">
        <w:rPr>
          <w:rFonts w:ascii="Times New Roman" w:hAnsi="Times New Roman" w:cs="Times New Roman"/>
          <w:i/>
          <w:iCs/>
          <w:sz w:val="22"/>
          <w:szCs w:val="22"/>
        </w:rPr>
        <w:t>theta</w:t>
      </w:r>
      <w:r w:rsidRPr="001032B7">
        <w:rPr>
          <w:rFonts w:ascii="Times New Roman" w:hAnsi="Times New Roman" w:cs="Times New Roman"/>
          <w:sz w:val="22"/>
          <w:szCs w:val="22"/>
        </w:rPr>
        <w:t xml:space="preserve">, </w:t>
      </w:r>
      <w:r w:rsidRPr="001032B7">
        <w:rPr>
          <w:rFonts w:ascii="Times New Roman" w:hAnsi="Times New Roman" w:cs="Times New Roman"/>
          <w:i/>
          <w:iCs/>
          <w:sz w:val="22"/>
          <w:szCs w:val="22"/>
        </w:rPr>
        <w:t>mu</w:t>
      </w:r>
      <w:r w:rsidRPr="001032B7">
        <w:rPr>
          <w:rFonts w:ascii="Times New Roman" w:hAnsi="Times New Roman" w:cs="Times New Roman"/>
          <w:sz w:val="22"/>
          <w:szCs w:val="22"/>
        </w:rPr>
        <w:t xml:space="preserve">, and </w:t>
      </w:r>
      <w:r w:rsidRPr="001032B7">
        <w:rPr>
          <w:rFonts w:ascii="Times New Roman" w:hAnsi="Times New Roman" w:cs="Times New Roman"/>
          <w:i/>
          <w:iCs/>
          <w:sz w:val="22"/>
          <w:szCs w:val="22"/>
        </w:rPr>
        <w:t>beta</w:t>
      </w:r>
      <w:r w:rsidRPr="001032B7">
        <w:rPr>
          <w:rFonts w:ascii="Times New Roman" w:hAnsi="Times New Roman" w:cs="Times New Roman"/>
          <w:sz w:val="22"/>
          <w:szCs w:val="22"/>
        </w:rPr>
        <w:t xml:space="preserve"> components, along with </w:t>
      </w:r>
      <w:r w:rsidRPr="001032B7">
        <w:rPr>
          <w:rFonts w:ascii="Times New Roman" w:hAnsi="Times New Roman" w:cs="Times New Roman"/>
          <w:i/>
          <w:iCs/>
          <w:sz w:val="22"/>
          <w:szCs w:val="22"/>
        </w:rPr>
        <w:t>1/f noise</w:t>
      </w:r>
      <w:r w:rsidRPr="001032B7">
        <w:rPr>
          <w:rFonts w:ascii="Times New Roman" w:hAnsi="Times New Roman" w:cs="Times New Roman"/>
          <w:sz w:val="22"/>
          <w:szCs w:val="22"/>
        </w:rPr>
        <w:t xml:space="preserve">.  Following, artifacts were introduced, signals were band-pass filtered (0.2-100Hz), and their power spectral density (PSD) was subsequently estimated. As shown in Figure </w:t>
      </w:r>
      <w:r w:rsidRPr="001032B7">
        <w:rPr>
          <w:rFonts w:ascii="Times New Roman" w:hAnsi="Times New Roman" w:cs="Times New Roman"/>
          <w:b/>
          <w:bCs/>
          <w:sz w:val="22"/>
          <w:szCs w:val="22"/>
        </w:rPr>
        <w:t>C.2</w:t>
      </w:r>
      <w:r w:rsidRPr="001032B7">
        <w:rPr>
          <w:rFonts w:ascii="Times New Roman" w:hAnsi="Times New Roman" w:cs="Times New Roman"/>
          <w:sz w:val="22"/>
          <w:szCs w:val="22"/>
        </w:rPr>
        <w:t xml:space="preserve">, the PSD of the artifact-contaminated and filtered signals demonstrates that stimulation artifacts systematically increase spectral power at the corresponding Prf. Although spectral power estimates may already show minor distortions at low PRFs, the magnitude of the artifact-related bias increases substantially as the Prf. becomes higher. </w:t>
      </w:r>
      <w:r w:rsidRPr="001032B7">
        <w:rPr>
          <w:rFonts w:ascii="Times New Roman" w:hAnsi="Times New Roman" w:cs="Times New Roman"/>
          <w:b/>
          <w:bCs/>
          <w:sz w:val="22"/>
          <w:szCs w:val="22"/>
        </w:rPr>
        <w:t>D.</w:t>
      </w:r>
      <w:r w:rsidRPr="001032B7">
        <w:rPr>
          <w:rFonts w:ascii="Times New Roman" w:hAnsi="Times New Roman" w:cs="Times New Roman"/>
          <w:sz w:val="22"/>
          <w:szCs w:val="22"/>
        </w:rPr>
        <w:t xml:space="preserve"> </w:t>
      </w:r>
      <w:r w:rsidRPr="001032B7">
        <w:rPr>
          <w:rFonts w:ascii="Times New Roman" w:hAnsi="Times New Roman" w:cs="Times New Roman"/>
          <w:b/>
          <w:bCs/>
          <w:sz w:val="22"/>
          <w:szCs w:val="22"/>
        </w:rPr>
        <w:t xml:space="preserve">Artifactual and Non-Artifactual experimental scenarios. </w:t>
      </w:r>
      <w:r w:rsidRPr="001032B7">
        <w:rPr>
          <w:rFonts w:ascii="Times New Roman" w:hAnsi="Times New Roman" w:cs="Times New Roman"/>
          <w:sz w:val="22"/>
          <w:szCs w:val="22"/>
        </w:rPr>
        <w:t xml:space="preserve">Illustration of experimental configurations likely to induce artifactual direct current coupling-like artifacts (when badly electrically insulated, red arrow) and non-artifactual clean EEG readouts (green arrow). Configurations in which output triggers are sent directly from the transducer driver system to the EEG amplifier for digital timestamping are highly susceptible of artifactual EEG when equipment is inadequately electrically insulated. Alternatively, a configuration where triggers are sent from an external experimental computer controlling the TPO system, and in parallel, converting the analog trigger signal to a digital timestamp in the EEG recordings likely eliminates the presence of artifactual signals. </w:t>
      </w:r>
      <w:r w:rsidRPr="001032B7">
        <w:rPr>
          <w:rFonts w:ascii="Times New Roman" w:hAnsi="Times New Roman" w:cs="Times New Roman"/>
          <w:b/>
          <w:bCs/>
          <w:sz w:val="22"/>
          <w:szCs w:val="22"/>
        </w:rPr>
        <w:t>E.</w:t>
      </w:r>
      <w:r w:rsidRPr="001032B7">
        <w:rPr>
          <w:rFonts w:ascii="Times New Roman" w:hAnsi="Times New Roman" w:cs="Times New Roman"/>
          <w:sz w:val="22"/>
          <w:szCs w:val="22"/>
        </w:rPr>
        <w:t xml:space="preserve"> </w:t>
      </w:r>
      <w:r w:rsidRPr="001032B7">
        <w:rPr>
          <w:rFonts w:ascii="Times New Roman" w:hAnsi="Times New Roman" w:cs="Times New Roman"/>
          <w:b/>
          <w:bCs/>
          <w:sz w:val="22"/>
          <w:szCs w:val="22"/>
        </w:rPr>
        <w:t xml:space="preserve">Cleaning of artifacts. </w:t>
      </w:r>
      <w:r w:rsidRPr="001032B7">
        <w:rPr>
          <w:rFonts w:ascii="Times New Roman" w:hAnsi="Times New Roman" w:cs="Times New Roman"/>
          <w:sz w:val="22"/>
          <w:szCs w:val="22"/>
        </w:rPr>
        <w:t xml:space="preserve">To provide a potential solution for EEG artifacts, we further developed a signal processing pipeline intended to clean the raw </w:t>
      </w:r>
      <w:proofErr w:type="spellStart"/>
      <w:r w:rsidRPr="001032B7">
        <w:rPr>
          <w:rFonts w:ascii="Times New Roman" w:hAnsi="Times New Roman" w:cs="Times New Roman"/>
          <w:sz w:val="22"/>
          <w:szCs w:val="22"/>
        </w:rPr>
        <w:t>tFUS</w:t>
      </w:r>
      <w:proofErr w:type="spellEnd"/>
      <w:r w:rsidRPr="001032B7">
        <w:rPr>
          <w:rFonts w:ascii="Times New Roman" w:hAnsi="Times New Roman" w:cs="Times New Roman"/>
          <w:sz w:val="22"/>
          <w:szCs w:val="22"/>
        </w:rPr>
        <w:t>-EEG signals</w:t>
      </w:r>
      <w:r w:rsidRPr="001032B7">
        <w:rPr>
          <w:rFonts w:ascii="Times New Roman" w:hAnsi="Times New Roman" w:cs="Times New Roman"/>
          <w:b/>
          <w:bCs/>
          <w:sz w:val="22"/>
          <w:szCs w:val="22"/>
        </w:rPr>
        <w:t>. E.1</w:t>
      </w:r>
      <w:r w:rsidRPr="001032B7">
        <w:rPr>
          <w:rFonts w:ascii="Times New Roman" w:hAnsi="Times New Roman" w:cs="Times New Roman"/>
          <w:sz w:val="22"/>
          <w:szCs w:val="22"/>
        </w:rPr>
        <w:t xml:space="preserve"> Signal preprocessing proposed pipeline to remove artifacts and explore a realistic EEG cleaning scenario from brain recordings. The pipeline includes minimal processing steps: (1) </w:t>
      </w:r>
      <w:proofErr w:type="spellStart"/>
      <w:r w:rsidRPr="001032B7">
        <w:rPr>
          <w:rFonts w:ascii="Times New Roman" w:hAnsi="Times New Roman" w:cs="Times New Roman"/>
          <w:sz w:val="22"/>
          <w:szCs w:val="22"/>
        </w:rPr>
        <w:t>epoching</w:t>
      </w:r>
      <w:proofErr w:type="spellEnd"/>
      <w:r w:rsidRPr="001032B7">
        <w:rPr>
          <w:rFonts w:ascii="Times New Roman" w:hAnsi="Times New Roman" w:cs="Times New Roman"/>
          <w:sz w:val="22"/>
          <w:szCs w:val="22"/>
        </w:rPr>
        <w:t xml:space="preserve"> the data (-2s to 2s) centered at the onset of the first pulse of the pulse train, (2) de-meaning, (3) segmentation of segments containing sharp artifacts (from -1.5ms to +1.5ms around each artifact) and cubic interpolation, and (4) band-pass filtering between 0.2 to 500 Hz with a 2nd order zero-phase Butterworth filter; baseline correction (-210, -10ms) and re-referencing to the average may be also considered if experimentally necessary. </w:t>
      </w:r>
      <w:r w:rsidRPr="001032B7">
        <w:rPr>
          <w:rFonts w:ascii="Times New Roman" w:hAnsi="Times New Roman" w:cs="Times New Roman"/>
          <w:b/>
          <w:bCs/>
          <w:sz w:val="22"/>
          <w:szCs w:val="22"/>
        </w:rPr>
        <w:t xml:space="preserve">E.2. </w:t>
      </w:r>
      <w:r w:rsidRPr="001032B7">
        <w:rPr>
          <w:rFonts w:ascii="Times New Roman" w:hAnsi="Times New Roman" w:cs="Times New Roman"/>
          <w:sz w:val="22"/>
          <w:szCs w:val="22"/>
        </w:rPr>
        <w:t xml:space="preserve">Validation of the processing pipeline. To assess whether the processing pipeline introduced by itself spurious effects on spectral power, a simulated EEG signal composed of </w:t>
      </w:r>
      <w:r w:rsidRPr="001032B7">
        <w:rPr>
          <w:rFonts w:ascii="Times New Roman" w:hAnsi="Times New Roman" w:cs="Times New Roman"/>
          <w:i/>
          <w:iCs/>
          <w:sz w:val="22"/>
          <w:szCs w:val="22"/>
        </w:rPr>
        <w:t>theta</w:t>
      </w:r>
      <w:r w:rsidRPr="001032B7">
        <w:rPr>
          <w:rFonts w:ascii="Times New Roman" w:hAnsi="Times New Roman" w:cs="Times New Roman"/>
          <w:sz w:val="22"/>
          <w:szCs w:val="22"/>
        </w:rPr>
        <w:t xml:space="preserve">, </w:t>
      </w:r>
      <w:r w:rsidRPr="001032B7">
        <w:rPr>
          <w:rFonts w:ascii="Times New Roman" w:hAnsi="Times New Roman" w:cs="Times New Roman"/>
          <w:i/>
          <w:iCs/>
          <w:sz w:val="22"/>
          <w:szCs w:val="22"/>
        </w:rPr>
        <w:t>mu</w:t>
      </w:r>
      <w:r w:rsidRPr="001032B7">
        <w:rPr>
          <w:rFonts w:ascii="Times New Roman" w:hAnsi="Times New Roman" w:cs="Times New Roman"/>
          <w:sz w:val="22"/>
          <w:szCs w:val="22"/>
        </w:rPr>
        <w:t xml:space="preserve">, and </w:t>
      </w:r>
      <w:r w:rsidRPr="001032B7">
        <w:rPr>
          <w:rFonts w:ascii="Times New Roman" w:hAnsi="Times New Roman" w:cs="Times New Roman"/>
          <w:i/>
          <w:iCs/>
          <w:sz w:val="22"/>
          <w:szCs w:val="22"/>
        </w:rPr>
        <w:t>beta</w:t>
      </w:r>
      <w:r w:rsidRPr="001032B7">
        <w:rPr>
          <w:rFonts w:ascii="Times New Roman" w:hAnsi="Times New Roman" w:cs="Times New Roman"/>
          <w:sz w:val="22"/>
          <w:szCs w:val="22"/>
        </w:rPr>
        <w:t xml:space="preserve"> components, along with </w:t>
      </w:r>
      <w:r w:rsidRPr="001032B7">
        <w:rPr>
          <w:rFonts w:ascii="Times New Roman" w:hAnsi="Times New Roman" w:cs="Times New Roman"/>
          <w:i/>
          <w:iCs/>
          <w:sz w:val="22"/>
          <w:szCs w:val="22"/>
        </w:rPr>
        <w:t>1/f noise</w:t>
      </w:r>
      <w:r w:rsidRPr="001032B7">
        <w:rPr>
          <w:rFonts w:ascii="Times New Roman" w:hAnsi="Times New Roman" w:cs="Times New Roman"/>
          <w:sz w:val="22"/>
          <w:szCs w:val="22"/>
        </w:rPr>
        <w:t xml:space="preserve">, was processed through the same pipeline. The top panel shows the simulated EEG signal, while the bottom panel displays the Welch spectral power density of the signal before and after processing, demonstrating no alteration in spectral power attributable to the pipeline. </w:t>
      </w:r>
      <w:r w:rsidRPr="001032B7">
        <w:rPr>
          <w:rFonts w:ascii="Times New Roman" w:hAnsi="Times New Roman" w:cs="Times New Roman"/>
          <w:b/>
          <w:bCs/>
          <w:sz w:val="22"/>
          <w:szCs w:val="22"/>
        </w:rPr>
        <w:t xml:space="preserve">E.3. </w:t>
      </w:r>
      <w:r w:rsidRPr="001032B7">
        <w:rPr>
          <w:rFonts w:ascii="Times New Roman" w:hAnsi="Times New Roman" w:cs="Times New Roman"/>
          <w:sz w:val="22"/>
          <w:szCs w:val="22"/>
        </w:rPr>
        <w:t xml:space="preserve">Effects of the cleaning pipeline on artifact-contaminated human </w:t>
      </w:r>
      <w:proofErr w:type="spellStart"/>
      <w:r w:rsidRPr="001032B7">
        <w:rPr>
          <w:rFonts w:ascii="Times New Roman" w:hAnsi="Times New Roman" w:cs="Times New Roman"/>
          <w:sz w:val="22"/>
          <w:szCs w:val="22"/>
        </w:rPr>
        <w:t>tFUS</w:t>
      </w:r>
      <w:proofErr w:type="spellEnd"/>
      <w:r w:rsidRPr="001032B7">
        <w:rPr>
          <w:rFonts w:ascii="Times New Roman" w:hAnsi="Times New Roman" w:cs="Times New Roman"/>
          <w:sz w:val="22"/>
          <w:szCs w:val="22"/>
        </w:rPr>
        <w:t>-EEG data. The grand average time-series (ERP) comparison between pre- and post- signal processing for the human experimental 30W/cm² condition (</w:t>
      </w:r>
      <w:r w:rsidRPr="001032B7">
        <w:rPr>
          <w:rFonts w:ascii="Times New Roman" w:hAnsi="Times New Roman" w:cs="Times New Roman"/>
          <w:color w:val="C00000"/>
          <w:sz w:val="22"/>
          <w:szCs w:val="22"/>
        </w:rPr>
        <w:t>-</w:t>
      </w:r>
      <w:r w:rsidRPr="001032B7">
        <w:rPr>
          <w:rFonts w:ascii="Times New Roman" w:hAnsi="Times New Roman" w:cs="Times New Roman"/>
          <w:b/>
          <w:bCs/>
          <w:i/>
          <w:iCs/>
          <w:color w:val="C00000"/>
          <w:sz w:val="22"/>
          <w:szCs w:val="22"/>
        </w:rPr>
        <w:t>Pre</w:t>
      </w:r>
      <w:r w:rsidRPr="001032B7">
        <w:rPr>
          <w:rFonts w:ascii="Times New Roman" w:hAnsi="Times New Roman" w:cs="Times New Roman"/>
          <w:color w:val="C00000"/>
          <w:sz w:val="22"/>
          <w:szCs w:val="22"/>
        </w:rPr>
        <w:t xml:space="preserve"> </w:t>
      </w:r>
      <w:r w:rsidRPr="001032B7">
        <w:rPr>
          <w:rFonts w:ascii="Times New Roman" w:hAnsi="Times New Roman" w:cs="Times New Roman"/>
          <w:sz w:val="22"/>
          <w:szCs w:val="22"/>
        </w:rPr>
        <w:t>(</w:t>
      </w:r>
      <w:r w:rsidRPr="001032B7">
        <w:rPr>
          <w:rFonts w:ascii="Times New Roman" w:hAnsi="Times New Roman" w:cs="Times New Roman"/>
          <w:b/>
          <w:bCs/>
          <w:color w:val="C00000"/>
          <w:sz w:val="22"/>
          <w:szCs w:val="22"/>
        </w:rPr>
        <w:t>red</w:t>
      </w:r>
      <w:r w:rsidRPr="001032B7">
        <w:rPr>
          <w:rFonts w:ascii="Times New Roman" w:hAnsi="Times New Roman" w:cs="Times New Roman"/>
          <w:color w:val="C00000"/>
          <w:sz w:val="22"/>
          <w:szCs w:val="22"/>
        </w:rPr>
        <w:t xml:space="preserve"> </w:t>
      </w:r>
      <w:r w:rsidRPr="001032B7">
        <w:rPr>
          <w:rFonts w:ascii="Times New Roman" w:hAnsi="Times New Roman" w:cs="Times New Roman"/>
          <w:sz w:val="22"/>
          <w:szCs w:val="22"/>
        </w:rPr>
        <w:t>trace time-series) -</w:t>
      </w:r>
      <w:r w:rsidRPr="001032B7">
        <w:rPr>
          <w:rFonts w:ascii="Times New Roman" w:hAnsi="Times New Roman" w:cs="Times New Roman"/>
          <w:b/>
          <w:bCs/>
          <w:i/>
          <w:iCs/>
          <w:color w:val="002060"/>
          <w:sz w:val="22"/>
          <w:szCs w:val="22"/>
        </w:rPr>
        <w:t>Post</w:t>
      </w:r>
      <w:r w:rsidRPr="001032B7">
        <w:rPr>
          <w:rFonts w:ascii="Times New Roman" w:hAnsi="Times New Roman" w:cs="Times New Roman"/>
          <w:color w:val="002060"/>
          <w:sz w:val="22"/>
          <w:szCs w:val="22"/>
        </w:rPr>
        <w:t xml:space="preserve"> </w:t>
      </w:r>
      <w:r w:rsidRPr="001032B7">
        <w:rPr>
          <w:rFonts w:ascii="Times New Roman" w:hAnsi="Times New Roman" w:cs="Times New Roman"/>
          <w:sz w:val="22"/>
          <w:szCs w:val="22"/>
        </w:rPr>
        <w:t>(</w:t>
      </w:r>
      <w:r w:rsidRPr="001032B7">
        <w:rPr>
          <w:rFonts w:ascii="Times New Roman" w:hAnsi="Times New Roman" w:cs="Times New Roman"/>
          <w:b/>
          <w:bCs/>
          <w:color w:val="002060"/>
          <w:sz w:val="22"/>
          <w:szCs w:val="22"/>
        </w:rPr>
        <w:t>blue</w:t>
      </w:r>
      <w:r w:rsidRPr="001032B7">
        <w:rPr>
          <w:rFonts w:ascii="Times New Roman" w:hAnsi="Times New Roman" w:cs="Times New Roman"/>
          <w:color w:val="002060"/>
          <w:sz w:val="22"/>
          <w:szCs w:val="22"/>
        </w:rPr>
        <w:t xml:space="preserve"> </w:t>
      </w:r>
      <w:r w:rsidRPr="001032B7">
        <w:rPr>
          <w:rFonts w:ascii="Times New Roman" w:hAnsi="Times New Roman" w:cs="Times New Roman"/>
          <w:sz w:val="22"/>
          <w:szCs w:val="22"/>
        </w:rPr>
        <w:t xml:space="preserve">trace time-series)), suggesting that a minimal processing pipeline is necessary and sufficient to effectively remove the DC coupling-like artifacts. Depending on the experimental scenarios, additional processing steps to remove ocular, muscular, motion or other artifacts may be required. All signal processing and analyses were conducted using custom MATLAB (The MathWorks Inc., Natick, USA) scripts, employing functions from </w:t>
      </w:r>
      <w:proofErr w:type="spellStart"/>
      <w:r w:rsidRPr="001032B7">
        <w:rPr>
          <w:rFonts w:ascii="Times New Roman" w:hAnsi="Times New Roman" w:cs="Times New Roman"/>
          <w:i/>
          <w:iCs/>
          <w:sz w:val="22"/>
          <w:szCs w:val="22"/>
        </w:rPr>
        <w:t>EEGlab</w:t>
      </w:r>
      <w:proofErr w:type="spellEnd"/>
      <w:r w:rsidRPr="001032B7">
        <w:rPr>
          <w:rFonts w:ascii="Times New Roman" w:hAnsi="Times New Roman" w:cs="Times New Roman"/>
          <w:sz w:val="22"/>
          <w:szCs w:val="22"/>
        </w:rPr>
        <w:t xml:space="preserve"> (UC San Diego, USA) and </w:t>
      </w:r>
      <w:proofErr w:type="spellStart"/>
      <w:r w:rsidRPr="001032B7">
        <w:rPr>
          <w:rFonts w:ascii="Times New Roman" w:hAnsi="Times New Roman" w:cs="Times New Roman"/>
          <w:i/>
          <w:iCs/>
          <w:sz w:val="22"/>
          <w:szCs w:val="22"/>
        </w:rPr>
        <w:t>FieldTrip</w:t>
      </w:r>
      <w:proofErr w:type="spellEnd"/>
      <w:r w:rsidRPr="001032B7">
        <w:rPr>
          <w:rFonts w:ascii="Times New Roman" w:hAnsi="Times New Roman" w:cs="Times New Roman"/>
          <w:sz w:val="22"/>
          <w:szCs w:val="22"/>
        </w:rPr>
        <w:t xml:space="preserve"> (</w:t>
      </w:r>
      <w:hyperlink r:id="rId5" w:history="1">
        <w:r w:rsidRPr="001032B7">
          <w:rPr>
            <w:rFonts w:ascii="Times New Roman" w:hAnsi="Times New Roman" w:cs="Times New Roman"/>
            <w:sz w:val="22"/>
            <w:szCs w:val="22"/>
          </w:rPr>
          <w:t>Radboud University</w:t>
        </w:r>
      </w:hyperlink>
      <w:r w:rsidRPr="001032B7">
        <w:rPr>
          <w:rFonts w:ascii="Times New Roman" w:hAnsi="Times New Roman" w:cs="Times New Roman"/>
          <w:sz w:val="22"/>
          <w:szCs w:val="22"/>
        </w:rPr>
        <w:t xml:space="preserve">, Netherlands) toolbox. Example scripts for TUS-EEG processing are available at the permanent link: </w:t>
      </w:r>
      <w:hyperlink r:id="rId6" w:history="1">
        <w:r w:rsidRPr="001032B7">
          <w:rPr>
            <w:rStyle w:val="Hyperlink"/>
            <w:rFonts w:ascii="Times New Roman" w:hAnsi="Times New Roman" w:cs="Times New Roman"/>
            <w:sz w:val="22"/>
            <w:szCs w:val="22"/>
          </w:rPr>
          <w:t>https://github.com/XavierCorominas/SAFE-FUS</w:t>
        </w:r>
      </w:hyperlink>
      <w:r w:rsidRPr="001032B7">
        <w:rPr>
          <w:rFonts w:ascii="Times New Roman" w:hAnsi="Times New Roman" w:cs="Times New Roman"/>
          <w:sz w:val="22"/>
          <w:szCs w:val="22"/>
        </w:rPr>
        <w:t xml:space="preserve">. </w:t>
      </w:r>
    </w:p>
    <w:p w14:paraId="760EDE93" w14:textId="77777777" w:rsidR="008072FE" w:rsidRDefault="008072FE" w:rsidP="008072FE">
      <w:pPr>
        <w:jc w:val="both"/>
        <w:rPr>
          <w:rFonts w:ascii="Times New Roman" w:hAnsi="Times New Roman" w:cs="Times New Roman"/>
          <w:sz w:val="22"/>
          <w:szCs w:val="22"/>
        </w:rPr>
      </w:pPr>
    </w:p>
    <w:p w14:paraId="337DB240" w14:textId="77777777" w:rsidR="008072FE" w:rsidRDefault="008072FE" w:rsidP="008072FE">
      <w:pPr>
        <w:jc w:val="both"/>
        <w:rPr>
          <w:rFonts w:ascii="Times New Roman" w:hAnsi="Times New Roman" w:cs="Times New Roman"/>
          <w:sz w:val="22"/>
          <w:szCs w:val="22"/>
        </w:rPr>
      </w:pPr>
    </w:p>
    <w:p w14:paraId="782C1D09" w14:textId="77777777" w:rsidR="008072FE" w:rsidRDefault="008072FE" w:rsidP="008072FE">
      <w:pPr>
        <w:pStyle w:val="Heading1"/>
      </w:pPr>
      <w:bookmarkStart w:id="6" w:name="_Toc227447452"/>
      <w:r>
        <w:lastRenderedPageBreak/>
        <w:t>Supplementary table 1</w:t>
      </w:r>
      <w:bookmarkEnd w:id="6"/>
    </w:p>
    <w:p w14:paraId="4F62CFAA" w14:textId="77777777" w:rsidR="008072FE" w:rsidRDefault="008072FE" w:rsidP="008072FE">
      <w:pPr>
        <w:jc w:val="both"/>
        <w:rPr>
          <w:rFonts w:ascii="Times New Roman" w:hAnsi="Times New Roman" w:cs="Times New Roman"/>
          <w:sz w:val="22"/>
          <w:szCs w:val="22"/>
        </w:rPr>
      </w:pPr>
    </w:p>
    <w:tbl>
      <w:tblPr>
        <w:tblW w:w="9982" w:type="dxa"/>
        <w:tblInd w:w="-10" w:type="dxa"/>
        <w:tblLayout w:type="fixed"/>
        <w:tblCellMar>
          <w:left w:w="10" w:type="dxa"/>
          <w:right w:w="10" w:type="dxa"/>
        </w:tblCellMar>
        <w:tblLook w:val="0000" w:firstRow="0" w:lastRow="0" w:firstColumn="0" w:lastColumn="0" w:noHBand="0" w:noVBand="0"/>
      </w:tblPr>
      <w:tblGrid>
        <w:gridCol w:w="10"/>
        <w:gridCol w:w="1276"/>
        <w:gridCol w:w="1701"/>
        <w:gridCol w:w="1295"/>
        <w:gridCol w:w="1425"/>
        <w:gridCol w:w="1425"/>
        <w:gridCol w:w="1383"/>
        <w:gridCol w:w="1467"/>
      </w:tblGrid>
      <w:tr w:rsidR="008072FE" w:rsidRPr="003634F8" w14:paraId="01EAE9A6" w14:textId="77777777" w:rsidTr="00A55016">
        <w:trPr>
          <w:gridBefore w:val="1"/>
          <w:wBefore w:w="10" w:type="dxa"/>
          <w:trHeight w:val="673"/>
        </w:trPr>
        <w:tc>
          <w:tcPr>
            <w:tcW w:w="1276" w:type="dxa"/>
            <w:tcBorders>
              <w:bottom w:val="single" w:sz="4" w:space="0" w:color="auto"/>
            </w:tcBorders>
            <w:tcMar>
              <w:top w:w="0" w:type="dxa"/>
              <w:left w:w="108" w:type="dxa"/>
              <w:bottom w:w="0" w:type="dxa"/>
              <w:right w:w="108" w:type="dxa"/>
            </w:tcMar>
          </w:tcPr>
          <w:p w14:paraId="1CC58E18" w14:textId="77777777" w:rsidR="008072FE" w:rsidRPr="003634F8" w:rsidRDefault="008072FE" w:rsidP="00A55016">
            <w:pPr>
              <w:pStyle w:val="TableContents"/>
              <w:rPr>
                <w:rFonts w:ascii="Times New Roman" w:hAnsi="Times New Roman" w:cs="Times New Roman"/>
                <w:b/>
                <w:bCs/>
                <w:sz w:val="18"/>
                <w:szCs w:val="18"/>
              </w:rPr>
            </w:pPr>
          </w:p>
          <w:p w14:paraId="61E8E052" w14:textId="77777777" w:rsidR="008072FE" w:rsidRPr="003634F8" w:rsidRDefault="008072FE" w:rsidP="00A55016">
            <w:pPr>
              <w:pStyle w:val="TableContents"/>
              <w:jc w:val="center"/>
              <w:rPr>
                <w:rFonts w:ascii="Times New Roman" w:hAnsi="Times New Roman" w:cs="Times New Roman"/>
                <w:b/>
                <w:bCs/>
                <w:sz w:val="18"/>
                <w:szCs w:val="18"/>
              </w:rPr>
            </w:pPr>
            <w:r w:rsidRPr="003634F8">
              <w:rPr>
                <w:rFonts w:ascii="Times New Roman" w:hAnsi="Times New Roman" w:cs="Times New Roman"/>
                <w:b/>
                <w:bCs/>
                <w:sz w:val="18"/>
                <w:szCs w:val="18"/>
              </w:rPr>
              <w:t>Study</w:t>
            </w:r>
          </w:p>
        </w:tc>
        <w:tc>
          <w:tcPr>
            <w:tcW w:w="1701" w:type="dxa"/>
            <w:tcBorders>
              <w:bottom w:val="single" w:sz="4" w:space="0" w:color="auto"/>
            </w:tcBorders>
            <w:tcMar>
              <w:top w:w="0" w:type="dxa"/>
              <w:left w:w="108" w:type="dxa"/>
              <w:bottom w:w="0" w:type="dxa"/>
              <w:right w:w="108" w:type="dxa"/>
            </w:tcMar>
          </w:tcPr>
          <w:p w14:paraId="3DF28D12" w14:textId="77777777" w:rsidR="008072FE" w:rsidRPr="003634F8" w:rsidRDefault="008072FE" w:rsidP="00A55016">
            <w:pPr>
              <w:pStyle w:val="Standard"/>
              <w:jc w:val="center"/>
              <w:rPr>
                <w:rFonts w:ascii="Times New Roman" w:hAnsi="Times New Roman" w:cs="Times New Roman"/>
                <w:b/>
                <w:bCs/>
                <w:sz w:val="18"/>
                <w:szCs w:val="18"/>
              </w:rPr>
            </w:pPr>
          </w:p>
          <w:p w14:paraId="1D1AB8DE" w14:textId="77777777" w:rsidR="008072FE" w:rsidRPr="003634F8" w:rsidRDefault="008072FE" w:rsidP="00A55016">
            <w:pPr>
              <w:pStyle w:val="Standard"/>
              <w:jc w:val="center"/>
              <w:rPr>
                <w:rFonts w:ascii="Times New Roman" w:hAnsi="Times New Roman" w:cs="Times New Roman"/>
                <w:b/>
                <w:bCs/>
                <w:sz w:val="18"/>
                <w:szCs w:val="18"/>
              </w:rPr>
            </w:pPr>
            <w:r w:rsidRPr="003634F8">
              <w:rPr>
                <w:rFonts w:ascii="Times New Roman" w:hAnsi="Times New Roman" w:cs="Times New Roman"/>
                <w:b/>
                <w:bCs/>
                <w:sz w:val="18"/>
                <w:szCs w:val="18"/>
              </w:rPr>
              <w:t>Etiology</w:t>
            </w:r>
          </w:p>
        </w:tc>
        <w:tc>
          <w:tcPr>
            <w:tcW w:w="1295" w:type="dxa"/>
            <w:tcBorders>
              <w:bottom w:val="single" w:sz="4" w:space="0" w:color="auto"/>
            </w:tcBorders>
            <w:tcMar>
              <w:top w:w="0" w:type="dxa"/>
              <w:left w:w="108" w:type="dxa"/>
              <w:bottom w:w="0" w:type="dxa"/>
              <w:right w:w="108" w:type="dxa"/>
            </w:tcMar>
          </w:tcPr>
          <w:p w14:paraId="2532E182" w14:textId="77777777" w:rsidR="008072FE" w:rsidRPr="003634F8" w:rsidRDefault="008072FE" w:rsidP="00A55016">
            <w:pPr>
              <w:pStyle w:val="Standard"/>
              <w:jc w:val="center"/>
              <w:rPr>
                <w:rFonts w:ascii="Times New Roman" w:hAnsi="Times New Roman" w:cs="Times New Roman"/>
                <w:b/>
                <w:bCs/>
                <w:sz w:val="18"/>
                <w:szCs w:val="18"/>
              </w:rPr>
            </w:pPr>
          </w:p>
          <w:p w14:paraId="2C020F4B" w14:textId="77777777" w:rsidR="008072FE" w:rsidRPr="003634F8" w:rsidRDefault="008072FE" w:rsidP="00A55016">
            <w:pPr>
              <w:pStyle w:val="Standard"/>
              <w:jc w:val="center"/>
              <w:rPr>
                <w:rFonts w:ascii="Times New Roman" w:hAnsi="Times New Roman" w:cs="Times New Roman"/>
                <w:b/>
                <w:bCs/>
                <w:sz w:val="18"/>
                <w:szCs w:val="18"/>
              </w:rPr>
            </w:pPr>
            <w:r w:rsidRPr="003634F8">
              <w:rPr>
                <w:rFonts w:ascii="Times New Roman" w:hAnsi="Times New Roman" w:cs="Times New Roman"/>
                <w:b/>
                <w:bCs/>
                <w:sz w:val="18"/>
                <w:szCs w:val="18"/>
              </w:rPr>
              <w:t>Indication</w:t>
            </w:r>
          </w:p>
        </w:tc>
        <w:tc>
          <w:tcPr>
            <w:tcW w:w="1425" w:type="dxa"/>
            <w:tcBorders>
              <w:bottom w:val="single" w:sz="4" w:space="0" w:color="auto"/>
            </w:tcBorders>
            <w:tcMar>
              <w:top w:w="0" w:type="dxa"/>
              <w:left w:w="108" w:type="dxa"/>
              <w:bottom w:w="0" w:type="dxa"/>
              <w:right w:w="108" w:type="dxa"/>
            </w:tcMar>
          </w:tcPr>
          <w:p w14:paraId="66118CA1" w14:textId="77777777" w:rsidR="008072FE" w:rsidRPr="003634F8" w:rsidRDefault="008072FE" w:rsidP="00A55016">
            <w:pPr>
              <w:pStyle w:val="Standard"/>
              <w:jc w:val="center"/>
              <w:rPr>
                <w:rFonts w:ascii="Times New Roman" w:hAnsi="Times New Roman" w:cs="Times New Roman"/>
                <w:b/>
                <w:bCs/>
                <w:sz w:val="18"/>
                <w:szCs w:val="18"/>
              </w:rPr>
            </w:pPr>
          </w:p>
          <w:p w14:paraId="4A4CFB44" w14:textId="77777777" w:rsidR="008072FE" w:rsidRPr="003634F8" w:rsidRDefault="008072FE" w:rsidP="00A55016">
            <w:pPr>
              <w:pStyle w:val="Standard"/>
              <w:jc w:val="center"/>
              <w:rPr>
                <w:rFonts w:ascii="Times New Roman" w:hAnsi="Times New Roman" w:cs="Times New Roman"/>
                <w:b/>
                <w:bCs/>
                <w:sz w:val="18"/>
                <w:szCs w:val="18"/>
              </w:rPr>
            </w:pPr>
            <w:r w:rsidRPr="003634F8">
              <w:rPr>
                <w:rFonts w:ascii="Times New Roman" w:hAnsi="Times New Roman" w:cs="Times New Roman"/>
                <w:b/>
                <w:bCs/>
                <w:sz w:val="18"/>
                <w:szCs w:val="18"/>
              </w:rPr>
              <w:t>Target</w:t>
            </w:r>
          </w:p>
        </w:tc>
        <w:tc>
          <w:tcPr>
            <w:tcW w:w="1425" w:type="dxa"/>
            <w:tcBorders>
              <w:bottom w:val="single" w:sz="4" w:space="0" w:color="auto"/>
            </w:tcBorders>
            <w:tcMar>
              <w:top w:w="0" w:type="dxa"/>
              <w:left w:w="108" w:type="dxa"/>
              <w:bottom w:w="0" w:type="dxa"/>
              <w:right w:w="108" w:type="dxa"/>
            </w:tcMar>
          </w:tcPr>
          <w:p w14:paraId="0650466F" w14:textId="77777777" w:rsidR="008072FE" w:rsidRPr="003634F8" w:rsidRDefault="008072FE" w:rsidP="00A55016">
            <w:pPr>
              <w:pStyle w:val="Standard"/>
              <w:jc w:val="center"/>
              <w:rPr>
                <w:rFonts w:ascii="Times New Roman" w:hAnsi="Times New Roman" w:cs="Times New Roman"/>
                <w:b/>
                <w:bCs/>
                <w:sz w:val="18"/>
                <w:szCs w:val="18"/>
              </w:rPr>
            </w:pPr>
            <w:r w:rsidRPr="003634F8">
              <w:rPr>
                <w:rFonts w:ascii="Times New Roman" w:hAnsi="Times New Roman" w:cs="Times New Roman"/>
                <w:b/>
                <w:bCs/>
                <w:sz w:val="18"/>
                <w:szCs w:val="18"/>
              </w:rPr>
              <w:t>Clinical evaluation</w:t>
            </w:r>
          </w:p>
        </w:tc>
        <w:tc>
          <w:tcPr>
            <w:tcW w:w="1383" w:type="dxa"/>
            <w:tcBorders>
              <w:bottom w:val="single" w:sz="4" w:space="0" w:color="auto"/>
            </w:tcBorders>
            <w:tcMar>
              <w:top w:w="0" w:type="dxa"/>
              <w:left w:w="108" w:type="dxa"/>
              <w:bottom w:w="0" w:type="dxa"/>
              <w:right w:w="108" w:type="dxa"/>
            </w:tcMar>
          </w:tcPr>
          <w:p w14:paraId="50AAC4EC" w14:textId="77777777" w:rsidR="008072FE" w:rsidRPr="003634F8" w:rsidRDefault="008072FE" w:rsidP="00A55016">
            <w:pPr>
              <w:pStyle w:val="Standard"/>
              <w:jc w:val="center"/>
              <w:rPr>
                <w:rFonts w:ascii="Times New Roman" w:hAnsi="Times New Roman" w:cs="Times New Roman"/>
                <w:b/>
                <w:bCs/>
                <w:sz w:val="18"/>
                <w:szCs w:val="18"/>
              </w:rPr>
            </w:pPr>
          </w:p>
          <w:p w14:paraId="42517F34" w14:textId="77777777" w:rsidR="008072FE" w:rsidRPr="003634F8" w:rsidRDefault="008072FE" w:rsidP="00A55016">
            <w:pPr>
              <w:pStyle w:val="Standard"/>
              <w:jc w:val="center"/>
              <w:rPr>
                <w:rFonts w:ascii="Times New Roman" w:hAnsi="Times New Roman" w:cs="Times New Roman"/>
                <w:b/>
                <w:bCs/>
                <w:sz w:val="18"/>
                <w:szCs w:val="18"/>
              </w:rPr>
            </w:pPr>
            <w:r w:rsidRPr="003634F8">
              <w:rPr>
                <w:rFonts w:ascii="Times New Roman" w:hAnsi="Times New Roman" w:cs="Times New Roman"/>
                <w:b/>
                <w:bCs/>
                <w:sz w:val="18"/>
                <w:szCs w:val="18"/>
              </w:rPr>
              <w:t>Outcomes</w:t>
            </w:r>
          </w:p>
        </w:tc>
        <w:tc>
          <w:tcPr>
            <w:tcW w:w="1467" w:type="dxa"/>
            <w:tcBorders>
              <w:bottom w:val="single" w:sz="4" w:space="0" w:color="auto"/>
            </w:tcBorders>
            <w:tcMar>
              <w:top w:w="0" w:type="dxa"/>
              <w:left w:w="108" w:type="dxa"/>
              <w:bottom w:w="0" w:type="dxa"/>
              <w:right w:w="108" w:type="dxa"/>
            </w:tcMar>
          </w:tcPr>
          <w:p w14:paraId="4B89D631" w14:textId="77777777" w:rsidR="008072FE" w:rsidRPr="003634F8" w:rsidRDefault="008072FE" w:rsidP="00A55016">
            <w:pPr>
              <w:pStyle w:val="Standard"/>
              <w:jc w:val="center"/>
              <w:rPr>
                <w:rFonts w:ascii="Times New Roman" w:hAnsi="Times New Roman" w:cs="Times New Roman"/>
                <w:b/>
                <w:bCs/>
                <w:sz w:val="18"/>
                <w:szCs w:val="18"/>
              </w:rPr>
            </w:pPr>
            <w:r w:rsidRPr="003634F8">
              <w:rPr>
                <w:rFonts w:ascii="Times New Roman" w:hAnsi="Times New Roman" w:cs="Times New Roman"/>
                <w:b/>
                <w:bCs/>
                <w:sz w:val="18"/>
                <w:szCs w:val="18"/>
              </w:rPr>
              <w:t>Numb. Of participants</w:t>
            </w:r>
          </w:p>
        </w:tc>
      </w:tr>
      <w:tr w:rsidR="008072FE" w:rsidRPr="003634F8" w14:paraId="3E9C4717" w14:textId="77777777" w:rsidTr="00A55016">
        <w:trPr>
          <w:gridBefore w:val="1"/>
          <w:wBefore w:w="10" w:type="dxa"/>
          <w:trHeight w:val="510"/>
        </w:trPr>
        <w:tc>
          <w:tcPr>
            <w:tcW w:w="1276" w:type="dxa"/>
            <w:tcBorders>
              <w:top w:val="single" w:sz="4" w:space="0" w:color="auto"/>
              <w:bottom w:val="single" w:sz="4" w:space="0" w:color="auto"/>
            </w:tcBorders>
            <w:tcMar>
              <w:top w:w="0" w:type="dxa"/>
              <w:left w:w="108" w:type="dxa"/>
              <w:bottom w:w="0" w:type="dxa"/>
              <w:right w:w="108" w:type="dxa"/>
            </w:tcMar>
          </w:tcPr>
          <w:p w14:paraId="2C124299" w14:textId="77777777" w:rsidR="008072FE" w:rsidRPr="003634F8" w:rsidRDefault="008072FE" w:rsidP="00A55016">
            <w:pPr>
              <w:pStyle w:val="TableContents"/>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(Sokal et al., 2015)</w:t>
            </w:r>
            <w:r>
              <w:rPr>
                <w:rFonts w:ascii="Times New Roman" w:hAnsi="Times New Roman" w:cs="Times New Roman"/>
                <w:b/>
                <w:bCs/>
                <w:color w:val="000000"/>
                <w:sz w:val="18"/>
                <w:szCs w:val="18"/>
                <w:lang w:val="da-DK"/>
              </w:rPr>
              <w:t xml:space="preserve"> [1]</w:t>
            </w:r>
          </w:p>
        </w:tc>
        <w:tc>
          <w:tcPr>
            <w:tcW w:w="1701" w:type="dxa"/>
            <w:tcBorders>
              <w:top w:val="single" w:sz="4" w:space="0" w:color="auto"/>
              <w:bottom w:val="single" w:sz="4" w:space="0" w:color="auto"/>
            </w:tcBorders>
            <w:tcMar>
              <w:top w:w="0" w:type="dxa"/>
              <w:left w:w="108" w:type="dxa"/>
              <w:bottom w:w="0" w:type="dxa"/>
              <w:right w:w="108" w:type="dxa"/>
            </w:tcMar>
          </w:tcPr>
          <w:p w14:paraId="5391B163" w14:textId="77777777" w:rsidR="008072FE" w:rsidRPr="003634F8" w:rsidRDefault="008072FE" w:rsidP="00A55016">
            <w:pPr>
              <w:pStyle w:val="TableContents"/>
              <w:rPr>
                <w:rFonts w:ascii="Times New Roman" w:hAnsi="Times New Roman" w:cs="Times New Roman"/>
                <w:sz w:val="18"/>
                <w:szCs w:val="18"/>
              </w:rPr>
            </w:pPr>
            <w:r w:rsidRPr="003634F8">
              <w:rPr>
                <w:rFonts w:ascii="Times New Roman" w:hAnsi="Times New Roman" w:cs="Times New Roman"/>
                <w:sz w:val="18"/>
                <w:szCs w:val="18"/>
              </w:rPr>
              <w:t>Cerebral palsy</w:t>
            </w:r>
          </w:p>
        </w:tc>
        <w:tc>
          <w:tcPr>
            <w:tcW w:w="1295" w:type="dxa"/>
            <w:tcBorders>
              <w:top w:val="single" w:sz="4" w:space="0" w:color="auto"/>
              <w:bottom w:val="single" w:sz="4" w:space="0" w:color="auto"/>
            </w:tcBorders>
            <w:tcMar>
              <w:top w:w="0" w:type="dxa"/>
              <w:left w:w="108" w:type="dxa"/>
              <w:bottom w:w="0" w:type="dxa"/>
              <w:right w:w="108" w:type="dxa"/>
            </w:tcMar>
          </w:tcPr>
          <w:p w14:paraId="174F1096" w14:textId="77777777" w:rsidR="008072FE" w:rsidRPr="003634F8" w:rsidRDefault="008072FE" w:rsidP="00A55016">
            <w:pPr>
              <w:pStyle w:val="TableContents"/>
              <w:rPr>
                <w:rFonts w:ascii="Times New Roman" w:hAnsi="Times New Roman" w:cs="Times New Roman"/>
                <w:sz w:val="18"/>
                <w:szCs w:val="18"/>
              </w:rPr>
            </w:pPr>
            <w:r w:rsidRPr="003634F8">
              <w:rPr>
                <w:rFonts w:ascii="Times New Roman" w:hAnsi="Times New Roman" w:cs="Times New Roman"/>
                <w:sz w:val="18"/>
                <w:szCs w:val="18"/>
              </w:rPr>
              <w:t>Dystonia</w:t>
            </w:r>
          </w:p>
        </w:tc>
        <w:tc>
          <w:tcPr>
            <w:tcW w:w="1425" w:type="dxa"/>
            <w:tcBorders>
              <w:top w:val="single" w:sz="4" w:space="0" w:color="auto"/>
              <w:bottom w:val="single" w:sz="4" w:space="0" w:color="auto"/>
            </w:tcBorders>
            <w:tcMar>
              <w:top w:w="0" w:type="dxa"/>
              <w:left w:w="108" w:type="dxa"/>
              <w:bottom w:w="0" w:type="dxa"/>
              <w:right w:w="108" w:type="dxa"/>
            </w:tcMar>
          </w:tcPr>
          <w:p w14:paraId="4F3C1A5D" w14:textId="77777777" w:rsidR="008072FE" w:rsidRPr="003634F8" w:rsidRDefault="008072FE" w:rsidP="00A55016">
            <w:pPr>
              <w:pStyle w:val="TableContents"/>
              <w:rPr>
                <w:rFonts w:ascii="Times New Roman" w:hAnsi="Times New Roman" w:cs="Times New Roman"/>
                <w:sz w:val="18"/>
                <w:szCs w:val="18"/>
              </w:rPr>
            </w:pPr>
            <w:r w:rsidRPr="003634F8">
              <w:rPr>
                <w:rFonts w:ascii="Times New Roman" w:hAnsi="Times New Roman" w:cs="Times New Roman"/>
                <w:sz w:val="18"/>
                <w:szCs w:val="18"/>
              </w:rPr>
              <w:t>Bilateral DN</w:t>
            </w:r>
          </w:p>
        </w:tc>
        <w:tc>
          <w:tcPr>
            <w:tcW w:w="1425" w:type="dxa"/>
            <w:tcBorders>
              <w:top w:val="single" w:sz="4" w:space="0" w:color="auto"/>
              <w:bottom w:val="single" w:sz="4" w:space="0" w:color="auto"/>
            </w:tcBorders>
            <w:tcMar>
              <w:top w:w="0" w:type="dxa"/>
              <w:left w:w="108" w:type="dxa"/>
              <w:bottom w:w="0" w:type="dxa"/>
              <w:right w:w="108" w:type="dxa"/>
            </w:tcMar>
          </w:tcPr>
          <w:p w14:paraId="4FCC53C0" w14:textId="77777777" w:rsidR="008072FE" w:rsidRPr="003634F8" w:rsidRDefault="008072FE" w:rsidP="00A55016">
            <w:pPr>
              <w:pStyle w:val="TableContents"/>
              <w:rPr>
                <w:rFonts w:ascii="Times New Roman" w:hAnsi="Times New Roman" w:cs="Times New Roman"/>
                <w:sz w:val="18"/>
                <w:szCs w:val="18"/>
              </w:rPr>
            </w:pPr>
            <w:r w:rsidRPr="003634F8">
              <w:rPr>
                <w:rFonts w:ascii="Times New Roman" w:hAnsi="Times New Roman" w:cs="Times New Roman"/>
                <w:sz w:val="18"/>
                <w:szCs w:val="18"/>
              </w:rPr>
              <w:t>Ashworth, VAS, UDRS</w:t>
            </w:r>
          </w:p>
        </w:tc>
        <w:tc>
          <w:tcPr>
            <w:tcW w:w="1383" w:type="dxa"/>
            <w:tcBorders>
              <w:top w:val="single" w:sz="4" w:space="0" w:color="auto"/>
              <w:bottom w:val="single" w:sz="4" w:space="0" w:color="auto"/>
            </w:tcBorders>
            <w:tcMar>
              <w:top w:w="0" w:type="dxa"/>
              <w:left w:w="108" w:type="dxa"/>
              <w:bottom w:w="0" w:type="dxa"/>
              <w:right w:w="108" w:type="dxa"/>
            </w:tcMar>
          </w:tcPr>
          <w:p w14:paraId="6CB5D127" w14:textId="77777777" w:rsidR="008072FE" w:rsidRPr="003634F8" w:rsidRDefault="008072FE" w:rsidP="00A55016">
            <w:pPr>
              <w:pStyle w:val="TableContents"/>
              <w:rPr>
                <w:rFonts w:ascii="Times New Roman" w:hAnsi="Times New Roman" w:cs="Times New Roman"/>
                <w:sz w:val="18"/>
                <w:szCs w:val="18"/>
              </w:rPr>
            </w:pPr>
            <w:r w:rsidRPr="003634F8">
              <w:rPr>
                <w:rFonts w:ascii="Times New Roman" w:hAnsi="Times New Roman" w:cs="Times New Roman"/>
                <w:sz w:val="18"/>
                <w:szCs w:val="18"/>
              </w:rPr>
              <w:t>Decrease of spasticity and dystonia</w:t>
            </w:r>
          </w:p>
        </w:tc>
        <w:tc>
          <w:tcPr>
            <w:tcW w:w="1467" w:type="dxa"/>
            <w:tcBorders>
              <w:top w:val="single" w:sz="4" w:space="0" w:color="auto"/>
              <w:bottom w:val="single" w:sz="4" w:space="0" w:color="auto"/>
            </w:tcBorders>
            <w:tcMar>
              <w:top w:w="0" w:type="dxa"/>
              <w:left w:w="108" w:type="dxa"/>
              <w:bottom w:w="0" w:type="dxa"/>
              <w:right w:w="108" w:type="dxa"/>
            </w:tcMar>
          </w:tcPr>
          <w:p w14:paraId="1625AE4C" w14:textId="77777777" w:rsidR="008072FE" w:rsidRPr="003634F8" w:rsidRDefault="008072FE" w:rsidP="00A55016">
            <w:pPr>
              <w:pStyle w:val="TableContents"/>
              <w:rPr>
                <w:rFonts w:ascii="Times New Roman" w:hAnsi="Times New Roman" w:cs="Times New Roman"/>
                <w:sz w:val="18"/>
                <w:szCs w:val="18"/>
              </w:rPr>
            </w:pPr>
            <w:r w:rsidRPr="003634F8">
              <w:rPr>
                <w:rFonts w:ascii="Times New Roman" w:hAnsi="Times New Roman" w:cs="Times New Roman"/>
                <w:sz w:val="18"/>
                <w:szCs w:val="18"/>
              </w:rPr>
              <w:t>13</w:t>
            </w:r>
          </w:p>
        </w:tc>
      </w:tr>
      <w:tr w:rsidR="008072FE" w:rsidRPr="003634F8" w14:paraId="0902DF4F"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0C602103" w14:textId="77777777" w:rsidR="008072FE" w:rsidRPr="003634F8" w:rsidRDefault="008072FE" w:rsidP="00A55016">
            <w:pPr>
              <w:pStyle w:val="TableContents"/>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(Teixeira et al., 2015)</w:t>
            </w:r>
            <w:r>
              <w:rPr>
                <w:rFonts w:ascii="Times New Roman" w:hAnsi="Times New Roman" w:cs="Times New Roman"/>
                <w:b/>
                <w:bCs/>
                <w:color w:val="000000"/>
                <w:sz w:val="18"/>
                <w:szCs w:val="18"/>
                <w:lang w:val="da-DK"/>
              </w:rPr>
              <w:t xml:space="preserve"> [2]</w:t>
            </w:r>
          </w:p>
        </w:tc>
        <w:tc>
          <w:tcPr>
            <w:tcW w:w="1701" w:type="dxa"/>
            <w:tcBorders>
              <w:top w:val="single" w:sz="4" w:space="0" w:color="auto"/>
              <w:bottom w:val="single" w:sz="4" w:space="0" w:color="auto"/>
            </w:tcBorders>
            <w:tcMar>
              <w:top w:w="0" w:type="dxa"/>
              <w:left w:w="108" w:type="dxa"/>
              <w:bottom w:w="0" w:type="dxa"/>
              <w:right w:w="108" w:type="dxa"/>
            </w:tcMar>
          </w:tcPr>
          <w:p w14:paraId="5EDF39E5"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Stroke</w:t>
            </w:r>
          </w:p>
        </w:tc>
        <w:tc>
          <w:tcPr>
            <w:tcW w:w="1295" w:type="dxa"/>
            <w:tcBorders>
              <w:top w:val="single" w:sz="4" w:space="0" w:color="auto"/>
              <w:bottom w:val="single" w:sz="4" w:space="0" w:color="auto"/>
            </w:tcBorders>
            <w:tcMar>
              <w:top w:w="0" w:type="dxa"/>
              <w:left w:w="108" w:type="dxa"/>
              <w:bottom w:w="0" w:type="dxa"/>
              <w:right w:w="108" w:type="dxa"/>
            </w:tcMar>
          </w:tcPr>
          <w:p w14:paraId="34BCDCCF"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Dystonia, Ataxia</w:t>
            </w:r>
          </w:p>
        </w:tc>
        <w:tc>
          <w:tcPr>
            <w:tcW w:w="1425" w:type="dxa"/>
            <w:tcBorders>
              <w:top w:val="single" w:sz="4" w:space="0" w:color="auto"/>
              <w:bottom w:val="single" w:sz="4" w:space="0" w:color="auto"/>
            </w:tcBorders>
            <w:tcMar>
              <w:top w:w="0" w:type="dxa"/>
              <w:left w:w="108" w:type="dxa"/>
              <w:bottom w:w="0" w:type="dxa"/>
              <w:right w:w="108" w:type="dxa"/>
            </w:tcMar>
          </w:tcPr>
          <w:p w14:paraId="4C6FCA23"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Bilateral DN</w:t>
            </w:r>
          </w:p>
        </w:tc>
        <w:tc>
          <w:tcPr>
            <w:tcW w:w="1425" w:type="dxa"/>
            <w:tcBorders>
              <w:top w:val="single" w:sz="4" w:space="0" w:color="auto"/>
              <w:bottom w:val="single" w:sz="4" w:space="0" w:color="auto"/>
            </w:tcBorders>
            <w:tcMar>
              <w:top w:w="0" w:type="dxa"/>
              <w:left w:w="108" w:type="dxa"/>
              <w:bottom w:w="0" w:type="dxa"/>
              <w:right w:w="108" w:type="dxa"/>
            </w:tcMar>
          </w:tcPr>
          <w:p w14:paraId="77AA91DA" w14:textId="77777777" w:rsidR="008072FE" w:rsidRPr="003634F8" w:rsidRDefault="008072FE" w:rsidP="00A55016">
            <w:pPr>
              <w:pStyle w:val="Standard"/>
              <w:rPr>
                <w:rFonts w:ascii="Times New Roman" w:hAnsi="Times New Roman" w:cs="Times New Roman"/>
                <w:b/>
                <w:bCs/>
                <w:sz w:val="18"/>
                <w:szCs w:val="18"/>
                <w:lang w:val="de-DE"/>
              </w:rPr>
            </w:pPr>
            <w:r w:rsidRPr="003634F8">
              <w:rPr>
                <w:rFonts w:ascii="Times New Roman" w:hAnsi="Times New Roman" w:cs="Times New Roman"/>
                <w:sz w:val="18"/>
                <w:szCs w:val="18"/>
                <w:lang w:val="de-DE"/>
              </w:rPr>
              <w:t>F-T-M-RS, SARA, UDRS</w:t>
            </w:r>
          </w:p>
        </w:tc>
        <w:tc>
          <w:tcPr>
            <w:tcW w:w="1383" w:type="dxa"/>
            <w:tcBorders>
              <w:top w:val="single" w:sz="4" w:space="0" w:color="auto"/>
              <w:bottom w:val="single" w:sz="4" w:space="0" w:color="auto"/>
            </w:tcBorders>
            <w:tcMar>
              <w:top w:w="0" w:type="dxa"/>
              <w:left w:w="108" w:type="dxa"/>
              <w:bottom w:w="0" w:type="dxa"/>
              <w:right w:w="108" w:type="dxa"/>
            </w:tcMar>
          </w:tcPr>
          <w:p w14:paraId="65AA6309"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Decrease of tremor, ataxia</w:t>
            </w:r>
          </w:p>
        </w:tc>
        <w:tc>
          <w:tcPr>
            <w:tcW w:w="1467" w:type="dxa"/>
            <w:tcBorders>
              <w:top w:val="single" w:sz="4" w:space="0" w:color="auto"/>
              <w:bottom w:val="single" w:sz="4" w:space="0" w:color="auto"/>
            </w:tcBorders>
            <w:tcMar>
              <w:top w:w="0" w:type="dxa"/>
              <w:left w:w="108" w:type="dxa"/>
              <w:bottom w:w="0" w:type="dxa"/>
              <w:right w:w="108" w:type="dxa"/>
            </w:tcMar>
          </w:tcPr>
          <w:p w14:paraId="54A64070"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1</w:t>
            </w:r>
          </w:p>
        </w:tc>
      </w:tr>
      <w:tr w:rsidR="008072FE" w:rsidRPr="003634F8" w14:paraId="752BA005"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4E3D8C46" w14:textId="77777777" w:rsidR="008072FE" w:rsidRPr="003634F8" w:rsidRDefault="008072FE" w:rsidP="00A55016">
            <w:pPr>
              <w:pStyle w:val="TableContents"/>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(Cury, França, Barbosa, et al., 2019)</w:t>
            </w:r>
            <w:r>
              <w:rPr>
                <w:rFonts w:ascii="Times New Roman" w:hAnsi="Times New Roman" w:cs="Times New Roman"/>
                <w:b/>
                <w:bCs/>
                <w:color w:val="000000"/>
                <w:sz w:val="18"/>
                <w:szCs w:val="18"/>
                <w:lang w:val="da-DK"/>
              </w:rPr>
              <w:t xml:space="preserve"> [3]</w:t>
            </w:r>
          </w:p>
        </w:tc>
        <w:tc>
          <w:tcPr>
            <w:tcW w:w="1701" w:type="dxa"/>
            <w:tcBorders>
              <w:top w:val="single" w:sz="4" w:space="0" w:color="auto"/>
              <w:bottom w:val="single" w:sz="4" w:space="0" w:color="auto"/>
            </w:tcBorders>
            <w:tcMar>
              <w:top w:w="0" w:type="dxa"/>
              <w:left w:w="108" w:type="dxa"/>
              <w:bottom w:w="0" w:type="dxa"/>
              <w:right w:w="108" w:type="dxa"/>
            </w:tcMar>
          </w:tcPr>
          <w:p w14:paraId="2A3B4A93"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Stroke</w:t>
            </w:r>
          </w:p>
        </w:tc>
        <w:tc>
          <w:tcPr>
            <w:tcW w:w="1295" w:type="dxa"/>
            <w:tcBorders>
              <w:top w:val="single" w:sz="4" w:space="0" w:color="auto"/>
              <w:bottom w:val="single" w:sz="4" w:space="0" w:color="auto"/>
            </w:tcBorders>
            <w:tcMar>
              <w:top w:w="0" w:type="dxa"/>
              <w:left w:w="108" w:type="dxa"/>
              <w:bottom w:w="0" w:type="dxa"/>
              <w:right w:w="108" w:type="dxa"/>
            </w:tcMar>
          </w:tcPr>
          <w:p w14:paraId="3FA8A785"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Tremor, Ataxia</w:t>
            </w:r>
          </w:p>
        </w:tc>
        <w:tc>
          <w:tcPr>
            <w:tcW w:w="1425" w:type="dxa"/>
            <w:tcBorders>
              <w:top w:val="single" w:sz="4" w:space="0" w:color="auto"/>
              <w:bottom w:val="single" w:sz="4" w:space="0" w:color="auto"/>
            </w:tcBorders>
            <w:tcMar>
              <w:top w:w="0" w:type="dxa"/>
              <w:left w:w="108" w:type="dxa"/>
              <w:bottom w:w="0" w:type="dxa"/>
              <w:right w:w="108" w:type="dxa"/>
            </w:tcMar>
          </w:tcPr>
          <w:p w14:paraId="442F630C" w14:textId="77777777" w:rsidR="008072FE" w:rsidRPr="003634F8" w:rsidRDefault="008072FE" w:rsidP="00A55016">
            <w:pPr>
              <w:pStyle w:val="TableContents"/>
              <w:rPr>
                <w:rFonts w:ascii="Times New Roman" w:hAnsi="Times New Roman" w:cs="Times New Roman"/>
                <w:sz w:val="18"/>
                <w:szCs w:val="18"/>
              </w:rPr>
            </w:pPr>
            <w:r w:rsidRPr="003634F8">
              <w:rPr>
                <w:rFonts w:ascii="Times New Roman" w:hAnsi="Times New Roman" w:cs="Times New Roman"/>
                <w:sz w:val="18"/>
                <w:szCs w:val="18"/>
              </w:rPr>
              <w:t>Unilateral DN</w:t>
            </w:r>
          </w:p>
          <w:p w14:paraId="68F79302"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(contralateral to stroke hemisphere)</w:t>
            </w:r>
          </w:p>
        </w:tc>
        <w:tc>
          <w:tcPr>
            <w:tcW w:w="1425" w:type="dxa"/>
            <w:tcBorders>
              <w:top w:val="single" w:sz="4" w:space="0" w:color="auto"/>
              <w:bottom w:val="single" w:sz="4" w:space="0" w:color="auto"/>
            </w:tcBorders>
            <w:tcMar>
              <w:top w:w="0" w:type="dxa"/>
              <w:left w:w="108" w:type="dxa"/>
              <w:bottom w:w="0" w:type="dxa"/>
              <w:right w:w="108" w:type="dxa"/>
            </w:tcMar>
          </w:tcPr>
          <w:p w14:paraId="7CCF90C9"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F-T-M-RS, SARA</w:t>
            </w:r>
          </w:p>
        </w:tc>
        <w:tc>
          <w:tcPr>
            <w:tcW w:w="1383" w:type="dxa"/>
            <w:tcBorders>
              <w:top w:val="single" w:sz="4" w:space="0" w:color="auto"/>
              <w:bottom w:val="single" w:sz="4" w:space="0" w:color="auto"/>
            </w:tcBorders>
            <w:tcMar>
              <w:top w:w="0" w:type="dxa"/>
              <w:left w:w="108" w:type="dxa"/>
              <w:bottom w:w="0" w:type="dxa"/>
              <w:right w:w="108" w:type="dxa"/>
            </w:tcMar>
          </w:tcPr>
          <w:p w14:paraId="41F25FC9"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Decrease of tremor, ataxia</w:t>
            </w:r>
          </w:p>
        </w:tc>
        <w:tc>
          <w:tcPr>
            <w:tcW w:w="1467" w:type="dxa"/>
            <w:tcBorders>
              <w:top w:val="single" w:sz="4" w:space="0" w:color="auto"/>
              <w:bottom w:val="single" w:sz="4" w:space="0" w:color="auto"/>
            </w:tcBorders>
            <w:tcMar>
              <w:top w:w="0" w:type="dxa"/>
              <w:left w:w="108" w:type="dxa"/>
              <w:bottom w:w="0" w:type="dxa"/>
              <w:right w:w="108" w:type="dxa"/>
            </w:tcMar>
          </w:tcPr>
          <w:p w14:paraId="0A518A19"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1</w:t>
            </w:r>
          </w:p>
        </w:tc>
      </w:tr>
      <w:tr w:rsidR="008072FE" w:rsidRPr="003634F8" w14:paraId="651CF194"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25A6CFD6" w14:textId="77777777" w:rsidR="008072FE" w:rsidRPr="003634F8" w:rsidRDefault="008072FE" w:rsidP="00A55016">
            <w:pPr>
              <w:pStyle w:val="TableContents"/>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(Cury, França, Silva, et al., 2019)</w:t>
            </w:r>
            <w:r>
              <w:rPr>
                <w:rFonts w:ascii="Times New Roman" w:hAnsi="Times New Roman" w:cs="Times New Roman"/>
                <w:b/>
                <w:bCs/>
                <w:color w:val="000000"/>
                <w:sz w:val="18"/>
                <w:szCs w:val="18"/>
                <w:lang w:val="da-DK"/>
              </w:rPr>
              <w:t xml:space="preserve"> [4]</w:t>
            </w:r>
          </w:p>
        </w:tc>
        <w:tc>
          <w:tcPr>
            <w:tcW w:w="1701" w:type="dxa"/>
            <w:tcBorders>
              <w:top w:val="single" w:sz="4" w:space="0" w:color="auto"/>
              <w:bottom w:val="single" w:sz="4" w:space="0" w:color="auto"/>
            </w:tcBorders>
            <w:tcMar>
              <w:top w:w="0" w:type="dxa"/>
              <w:left w:w="108" w:type="dxa"/>
              <w:bottom w:w="0" w:type="dxa"/>
              <w:right w:w="108" w:type="dxa"/>
            </w:tcMar>
          </w:tcPr>
          <w:p w14:paraId="0B800D80"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Spinocerebellar ataxia</w:t>
            </w:r>
          </w:p>
        </w:tc>
        <w:tc>
          <w:tcPr>
            <w:tcW w:w="1295" w:type="dxa"/>
            <w:tcBorders>
              <w:top w:val="single" w:sz="4" w:space="0" w:color="auto"/>
              <w:bottom w:val="single" w:sz="4" w:space="0" w:color="auto"/>
            </w:tcBorders>
            <w:tcMar>
              <w:top w:w="0" w:type="dxa"/>
              <w:left w:w="108" w:type="dxa"/>
              <w:bottom w:w="0" w:type="dxa"/>
              <w:right w:w="108" w:type="dxa"/>
            </w:tcMar>
          </w:tcPr>
          <w:p w14:paraId="4A92A949"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Ataxia</w:t>
            </w:r>
          </w:p>
        </w:tc>
        <w:tc>
          <w:tcPr>
            <w:tcW w:w="1425" w:type="dxa"/>
            <w:tcBorders>
              <w:top w:val="single" w:sz="4" w:space="0" w:color="auto"/>
              <w:bottom w:val="single" w:sz="4" w:space="0" w:color="auto"/>
            </w:tcBorders>
            <w:tcMar>
              <w:top w:w="0" w:type="dxa"/>
              <w:left w:w="108" w:type="dxa"/>
              <w:bottom w:w="0" w:type="dxa"/>
              <w:right w:w="108" w:type="dxa"/>
            </w:tcMar>
          </w:tcPr>
          <w:p w14:paraId="777541CA"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Bilateral DN</w:t>
            </w:r>
          </w:p>
        </w:tc>
        <w:tc>
          <w:tcPr>
            <w:tcW w:w="1425" w:type="dxa"/>
            <w:tcBorders>
              <w:top w:val="single" w:sz="4" w:space="0" w:color="auto"/>
              <w:bottom w:val="single" w:sz="4" w:space="0" w:color="auto"/>
            </w:tcBorders>
            <w:tcMar>
              <w:top w:w="0" w:type="dxa"/>
              <w:left w:w="108" w:type="dxa"/>
              <w:bottom w:w="0" w:type="dxa"/>
              <w:right w:w="108" w:type="dxa"/>
            </w:tcMar>
          </w:tcPr>
          <w:p w14:paraId="6869CE47"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F-T-M-RS, SARA</w:t>
            </w:r>
          </w:p>
        </w:tc>
        <w:tc>
          <w:tcPr>
            <w:tcW w:w="1383" w:type="dxa"/>
            <w:tcBorders>
              <w:top w:val="single" w:sz="4" w:space="0" w:color="auto"/>
              <w:bottom w:val="single" w:sz="4" w:space="0" w:color="auto"/>
            </w:tcBorders>
            <w:tcMar>
              <w:top w:w="0" w:type="dxa"/>
              <w:left w:w="108" w:type="dxa"/>
              <w:bottom w:w="0" w:type="dxa"/>
              <w:right w:w="108" w:type="dxa"/>
            </w:tcMar>
          </w:tcPr>
          <w:p w14:paraId="3E1B6936"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Decrease of ataxia and tremor</w:t>
            </w:r>
          </w:p>
        </w:tc>
        <w:tc>
          <w:tcPr>
            <w:tcW w:w="1467" w:type="dxa"/>
            <w:tcBorders>
              <w:top w:val="single" w:sz="4" w:space="0" w:color="auto"/>
              <w:bottom w:val="single" w:sz="4" w:space="0" w:color="auto"/>
            </w:tcBorders>
            <w:tcMar>
              <w:top w:w="0" w:type="dxa"/>
              <w:left w:w="108" w:type="dxa"/>
              <w:bottom w:w="0" w:type="dxa"/>
              <w:right w:w="108" w:type="dxa"/>
            </w:tcMar>
          </w:tcPr>
          <w:p w14:paraId="3CA01A47"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1</w:t>
            </w:r>
          </w:p>
        </w:tc>
      </w:tr>
      <w:tr w:rsidR="008072FE" w:rsidRPr="003634F8" w14:paraId="562F800D"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226CA82A" w14:textId="77777777" w:rsidR="008072FE" w:rsidRPr="003634F8" w:rsidRDefault="008072FE" w:rsidP="00A55016">
            <w:pPr>
              <w:pStyle w:val="TableContents"/>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(Brown et al., 2020)</w:t>
            </w:r>
            <w:r>
              <w:rPr>
                <w:rFonts w:ascii="Times New Roman" w:hAnsi="Times New Roman" w:cs="Times New Roman"/>
                <w:b/>
                <w:bCs/>
                <w:color w:val="000000"/>
                <w:sz w:val="18"/>
                <w:szCs w:val="18"/>
                <w:lang w:val="da-DK"/>
              </w:rPr>
              <w:t xml:space="preserve"> [5]</w:t>
            </w:r>
          </w:p>
        </w:tc>
        <w:tc>
          <w:tcPr>
            <w:tcW w:w="1701" w:type="dxa"/>
            <w:tcBorders>
              <w:top w:val="single" w:sz="4" w:space="0" w:color="auto"/>
              <w:bottom w:val="single" w:sz="4" w:space="0" w:color="auto"/>
            </w:tcBorders>
            <w:tcMar>
              <w:top w:w="0" w:type="dxa"/>
              <w:left w:w="108" w:type="dxa"/>
              <w:bottom w:w="0" w:type="dxa"/>
              <w:right w:w="108" w:type="dxa"/>
            </w:tcMar>
          </w:tcPr>
          <w:p w14:paraId="3D7C0E3A"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Infant stroke</w:t>
            </w:r>
          </w:p>
        </w:tc>
        <w:tc>
          <w:tcPr>
            <w:tcW w:w="1295" w:type="dxa"/>
            <w:tcBorders>
              <w:top w:val="single" w:sz="4" w:space="0" w:color="auto"/>
              <w:bottom w:val="single" w:sz="4" w:space="0" w:color="auto"/>
            </w:tcBorders>
            <w:tcMar>
              <w:top w:w="0" w:type="dxa"/>
              <w:left w:w="108" w:type="dxa"/>
              <w:bottom w:w="0" w:type="dxa"/>
              <w:right w:w="108" w:type="dxa"/>
            </w:tcMar>
          </w:tcPr>
          <w:p w14:paraId="5B3A9F09"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Dystonia</w:t>
            </w:r>
          </w:p>
        </w:tc>
        <w:tc>
          <w:tcPr>
            <w:tcW w:w="1425" w:type="dxa"/>
            <w:tcBorders>
              <w:top w:val="single" w:sz="4" w:space="0" w:color="auto"/>
              <w:bottom w:val="single" w:sz="4" w:space="0" w:color="auto"/>
            </w:tcBorders>
            <w:tcMar>
              <w:top w:w="0" w:type="dxa"/>
              <w:left w:w="108" w:type="dxa"/>
              <w:bottom w:w="0" w:type="dxa"/>
              <w:right w:w="108" w:type="dxa"/>
            </w:tcMar>
          </w:tcPr>
          <w:p w14:paraId="72F3FF8C"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Bilateral DN</w:t>
            </w:r>
          </w:p>
        </w:tc>
        <w:tc>
          <w:tcPr>
            <w:tcW w:w="1425" w:type="dxa"/>
            <w:tcBorders>
              <w:top w:val="single" w:sz="4" w:space="0" w:color="auto"/>
              <w:bottom w:val="single" w:sz="4" w:space="0" w:color="auto"/>
            </w:tcBorders>
            <w:tcMar>
              <w:top w:w="0" w:type="dxa"/>
              <w:left w:w="108" w:type="dxa"/>
              <w:bottom w:w="0" w:type="dxa"/>
              <w:right w:w="108" w:type="dxa"/>
            </w:tcMar>
          </w:tcPr>
          <w:p w14:paraId="159F918D"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BFMDRS</w:t>
            </w:r>
          </w:p>
        </w:tc>
        <w:tc>
          <w:tcPr>
            <w:tcW w:w="1383" w:type="dxa"/>
            <w:tcBorders>
              <w:top w:val="single" w:sz="4" w:space="0" w:color="auto"/>
              <w:bottom w:val="single" w:sz="4" w:space="0" w:color="auto"/>
            </w:tcBorders>
            <w:tcMar>
              <w:top w:w="0" w:type="dxa"/>
              <w:left w:w="108" w:type="dxa"/>
              <w:bottom w:w="0" w:type="dxa"/>
              <w:right w:w="108" w:type="dxa"/>
            </w:tcMar>
          </w:tcPr>
          <w:p w14:paraId="259F9315"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Decrease of dystonia</w:t>
            </w:r>
          </w:p>
        </w:tc>
        <w:tc>
          <w:tcPr>
            <w:tcW w:w="1467" w:type="dxa"/>
            <w:tcBorders>
              <w:top w:val="single" w:sz="4" w:space="0" w:color="auto"/>
              <w:bottom w:val="single" w:sz="4" w:space="0" w:color="auto"/>
            </w:tcBorders>
            <w:tcMar>
              <w:top w:w="0" w:type="dxa"/>
              <w:left w:w="108" w:type="dxa"/>
              <w:bottom w:w="0" w:type="dxa"/>
              <w:right w:w="108" w:type="dxa"/>
            </w:tcMar>
          </w:tcPr>
          <w:p w14:paraId="75DA63B1"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1</w:t>
            </w:r>
          </w:p>
        </w:tc>
      </w:tr>
      <w:tr w:rsidR="008072FE" w:rsidRPr="003634F8" w14:paraId="02A55D03"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77504B36" w14:textId="77777777" w:rsidR="008072FE" w:rsidRPr="003634F8" w:rsidRDefault="008072FE" w:rsidP="00A55016">
            <w:pPr>
              <w:pStyle w:val="TableContents"/>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(Horisawa et al., 2020)</w:t>
            </w:r>
            <w:r>
              <w:rPr>
                <w:rFonts w:ascii="Times New Roman" w:hAnsi="Times New Roman" w:cs="Times New Roman"/>
                <w:b/>
                <w:bCs/>
                <w:color w:val="000000"/>
                <w:sz w:val="18"/>
                <w:szCs w:val="18"/>
                <w:lang w:val="da-DK"/>
              </w:rPr>
              <w:t xml:space="preserve"> [6]</w:t>
            </w:r>
          </w:p>
        </w:tc>
        <w:tc>
          <w:tcPr>
            <w:tcW w:w="1701" w:type="dxa"/>
            <w:tcBorders>
              <w:top w:val="single" w:sz="4" w:space="0" w:color="auto"/>
              <w:bottom w:val="single" w:sz="4" w:space="0" w:color="auto"/>
            </w:tcBorders>
            <w:tcMar>
              <w:top w:w="0" w:type="dxa"/>
              <w:left w:w="108" w:type="dxa"/>
              <w:bottom w:w="0" w:type="dxa"/>
              <w:right w:w="108" w:type="dxa"/>
            </w:tcMar>
          </w:tcPr>
          <w:p w14:paraId="5E624450"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Unknown</w:t>
            </w:r>
          </w:p>
        </w:tc>
        <w:tc>
          <w:tcPr>
            <w:tcW w:w="1295" w:type="dxa"/>
            <w:tcBorders>
              <w:top w:val="single" w:sz="4" w:space="0" w:color="auto"/>
              <w:bottom w:val="single" w:sz="4" w:space="0" w:color="auto"/>
            </w:tcBorders>
            <w:tcMar>
              <w:top w:w="0" w:type="dxa"/>
              <w:left w:w="108" w:type="dxa"/>
              <w:bottom w:w="0" w:type="dxa"/>
              <w:right w:w="108" w:type="dxa"/>
            </w:tcMar>
          </w:tcPr>
          <w:p w14:paraId="7AE387E7"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Dystonia</w:t>
            </w:r>
          </w:p>
        </w:tc>
        <w:tc>
          <w:tcPr>
            <w:tcW w:w="1425" w:type="dxa"/>
            <w:tcBorders>
              <w:top w:val="single" w:sz="4" w:space="0" w:color="auto"/>
              <w:bottom w:val="single" w:sz="4" w:space="0" w:color="auto"/>
            </w:tcBorders>
            <w:tcMar>
              <w:top w:w="0" w:type="dxa"/>
              <w:left w:w="108" w:type="dxa"/>
              <w:bottom w:w="0" w:type="dxa"/>
              <w:right w:w="108" w:type="dxa"/>
            </w:tcMar>
          </w:tcPr>
          <w:p w14:paraId="05E196C4"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Bilateral SCPs and bilateral DN</w:t>
            </w:r>
          </w:p>
        </w:tc>
        <w:tc>
          <w:tcPr>
            <w:tcW w:w="1425" w:type="dxa"/>
            <w:tcBorders>
              <w:top w:val="single" w:sz="4" w:space="0" w:color="auto"/>
              <w:bottom w:val="single" w:sz="4" w:space="0" w:color="auto"/>
            </w:tcBorders>
            <w:tcMar>
              <w:top w:w="0" w:type="dxa"/>
              <w:left w:w="108" w:type="dxa"/>
              <w:bottom w:w="0" w:type="dxa"/>
              <w:right w:w="108" w:type="dxa"/>
            </w:tcMar>
          </w:tcPr>
          <w:p w14:paraId="3A619BC5"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BADS, Ashworth, VAS</w:t>
            </w:r>
          </w:p>
        </w:tc>
        <w:tc>
          <w:tcPr>
            <w:tcW w:w="1383" w:type="dxa"/>
            <w:tcBorders>
              <w:top w:val="single" w:sz="4" w:space="0" w:color="auto"/>
              <w:bottom w:val="single" w:sz="4" w:space="0" w:color="auto"/>
            </w:tcBorders>
            <w:tcMar>
              <w:top w:w="0" w:type="dxa"/>
              <w:left w:w="108" w:type="dxa"/>
              <w:bottom w:w="0" w:type="dxa"/>
              <w:right w:w="108" w:type="dxa"/>
            </w:tcMar>
          </w:tcPr>
          <w:p w14:paraId="4DA1A1BE"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Decrease of spasticity, dystonia and pain</w:t>
            </w:r>
          </w:p>
        </w:tc>
        <w:tc>
          <w:tcPr>
            <w:tcW w:w="1467" w:type="dxa"/>
            <w:tcBorders>
              <w:top w:val="single" w:sz="4" w:space="0" w:color="auto"/>
              <w:bottom w:val="single" w:sz="4" w:space="0" w:color="auto"/>
            </w:tcBorders>
            <w:tcMar>
              <w:top w:w="0" w:type="dxa"/>
              <w:left w:w="108" w:type="dxa"/>
              <w:bottom w:w="0" w:type="dxa"/>
              <w:right w:w="108" w:type="dxa"/>
            </w:tcMar>
          </w:tcPr>
          <w:p w14:paraId="4CC6D34F"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1</w:t>
            </w:r>
          </w:p>
        </w:tc>
      </w:tr>
      <w:tr w:rsidR="008072FE" w:rsidRPr="003634F8" w14:paraId="03FD05BC"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1CEDF15E" w14:textId="77777777" w:rsidR="008072FE" w:rsidRPr="003634F8" w:rsidRDefault="008072FE" w:rsidP="00A55016">
            <w:pPr>
              <w:pStyle w:val="TableContents"/>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(Lin et al., 2020)</w:t>
            </w:r>
            <w:r>
              <w:rPr>
                <w:rFonts w:ascii="Times New Roman" w:hAnsi="Times New Roman" w:cs="Times New Roman"/>
                <w:b/>
                <w:bCs/>
                <w:color w:val="000000"/>
                <w:sz w:val="18"/>
                <w:szCs w:val="18"/>
                <w:lang w:val="da-DK"/>
              </w:rPr>
              <w:t xml:space="preserve"> [7]</w:t>
            </w:r>
          </w:p>
        </w:tc>
        <w:tc>
          <w:tcPr>
            <w:tcW w:w="1701" w:type="dxa"/>
            <w:tcBorders>
              <w:top w:val="single" w:sz="4" w:space="0" w:color="auto"/>
              <w:bottom w:val="single" w:sz="4" w:space="0" w:color="auto"/>
            </w:tcBorders>
            <w:tcMar>
              <w:top w:w="0" w:type="dxa"/>
              <w:left w:w="108" w:type="dxa"/>
              <w:bottom w:w="0" w:type="dxa"/>
              <w:right w:w="108" w:type="dxa"/>
            </w:tcMar>
          </w:tcPr>
          <w:p w14:paraId="6F515C3E"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Cerebral palsy</w:t>
            </w:r>
          </w:p>
        </w:tc>
        <w:tc>
          <w:tcPr>
            <w:tcW w:w="1295" w:type="dxa"/>
            <w:tcBorders>
              <w:top w:val="single" w:sz="4" w:space="0" w:color="auto"/>
              <w:bottom w:val="single" w:sz="4" w:space="0" w:color="auto"/>
            </w:tcBorders>
            <w:tcMar>
              <w:top w:w="0" w:type="dxa"/>
              <w:left w:w="108" w:type="dxa"/>
              <w:bottom w:w="0" w:type="dxa"/>
              <w:right w:w="108" w:type="dxa"/>
            </w:tcMar>
          </w:tcPr>
          <w:p w14:paraId="1F4CB71A"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Dystonia</w:t>
            </w:r>
          </w:p>
        </w:tc>
        <w:tc>
          <w:tcPr>
            <w:tcW w:w="1425" w:type="dxa"/>
            <w:tcBorders>
              <w:top w:val="single" w:sz="4" w:space="0" w:color="auto"/>
              <w:bottom w:val="single" w:sz="4" w:space="0" w:color="auto"/>
            </w:tcBorders>
            <w:tcMar>
              <w:top w:w="0" w:type="dxa"/>
              <w:left w:w="108" w:type="dxa"/>
              <w:bottom w:w="0" w:type="dxa"/>
              <w:right w:w="108" w:type="dxa"/>
            </w:tcMar>
          </w:tcPr>
          <w:p w14:paraId="5D192E98"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Bilateral DN</w:t>
            </w:r>
          </w:p>
        </w:tc>
        <w:tc>
          <w:tcPr>
            <w:tcW w:w="1425" w:type="dxa"/>
            <w:tcBorders>
              <w:top w:val="single" w:sz="4" w:space="0" w:color="auto"/>
              <w:bottom w:val="single" w:sz="4" w:space="0" w:color="auto"/>
            </w:tcBorders>
            <w:tcMar>
              <w:top w:w="0" w:type="dxa"/>
              <w:left w:w="108" w:type="dxa"/>
              <w:bottom w:w="0" w:type="dxa"/>
              <w:right w:w="108" w:type="dxa"/>
            </w:tcMar>
          </w:tcPr>
          <w:p w14:paraId="2A1D685E"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BFMDRS, Ashworth</w:t>
            </w:r>
          </w:p>
        </w:tc>
        <w:tc>
          <w:tcPr>
            <w:tcW w:w="1383" w:type="dxa"/>
            <w:tcBorders>
              <w:top w:val="single" w:sz="4" w:space="0" w:color="auto"/>
              <w:bottom w:val="single" w:sz="4" w:space="0" w:color="auto"/>
            </w:tcBorders>
            <w:tcMar>
              <w:top w:w="0" w:type="dxa"/>
              <w:left w:w="108" w:type="dxa"/>
              <w:bottom w:w="0" w:type="dxa"/>
              <w:right w:w="108" w:type="dxa"/>
            </w:tcMar>
          </w:tcPr>
          <w:p w14:paraId="4539AE3F"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Decrease of spasticity, dystonia and pain</w:t>
            </w:r>
          </w:p>
        </w:tc>
        <w:tc>
          <w:tcPr>
            <w:tcW w:w="1467" w:type="dxa"/>
            <w:tcBorders>
              <w:top w:val="single" w:sz="4" w:space="0" w:color="auto"/>
              <w:bottom w:val="single" w:sz="4" w:space="0" w:color="auto"/>
            </w:tcBorders>
            <w:tcMar>
              <w:top w:w="0" w:type="dxa"/>
              <w:left w:w="108" w:type="dxa"/>
              <w:bottom w:w="0" w:type="dxa"/>
              <w:right w:w="108" w:type="dxa"/>
            </w:tcMar>
          </w:tcPr>
          <w:p w14:paraId="50DE8765"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1</w:t>
            </w:r>
          </w:p>
        </w:tc>
      </w:tr>
      <w:tr w:rsidR="008072FE" w:rsidRPr="003634F8" w14:paraId="3C19B5CF"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1CD1C12F" w14:textId="77777777" w:rsidR="008072FE" w:rsidRPr="003634F8" w:rsidRDefault="008072FE" w:rsidP="00A55016">
            <w:pPr>
              <w:pStyle w:val="TableContents"/>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(Horisawa et al., 2021)</w:t>
            </w:r>
            <w:r>
              <w:rPr>
                <w:rFonts w:ascii="Times New Roman" w:hAnsi="Times New Roman" w:cs="Times New Roman"/>
                <w:b/>
                <w:bCs/>
                <w:color w:val="000000"/>
                <w:sz w:val="18"/>
                <w:szCs w:val="18"/>
                <w:lang w:val="da-DK"/>
              </w:rPr>
              <w:t xml:space="preserve"> [8]</w:t>
            </w:r>
          </w:p>
        </w:tc>
        <w:tc>
          <w:tcPr>
            <w:tcW w:w="1701" w:type="dxa"/>
            <w:tcBorders>
              <w:top w:val="single" w:sz="4" w:space="0" w:color="auto"/>
              <w:bottom w:val="single" w:sz="4" w:space="0" w:color="auto"/>
            </w:tcBorders>
            <w:tcMar>
              <w:top w:w="0" w:type="dxa"/>
              <w:left w:w="108" w:type="dxa"/>
              <w:bottom w:w="0" w:type="dxa"/>
              <w:right w:w="108" w:type="dxa"/>
            </w:tcMar>
          </w:tcPr>
          <w:p w14:paraId="35ECF148"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Unknown</w:t>
            </w:r>
          </w:p>
        </w:tc>
        <w:tc>
          <w:tcPr>
            <w:tcW w:w="1295" w:type="dxa"/>
            <w:tcBorders>
              <w:top w:val="single" w:sz="4" w:space="0" w:color="auto"/>
              <w:bottom w:val="single" w:sz="4" w:space="0" w:color="auto"/>
            </w:tcBorders>
            <w:tcMar>
              <w:top w:w="0" w:type="dxa"/>
              <w:left w:w="108" w:type="dxa"/>
              <w:bottom w:w="0" w:type="dxa"/>
              <w:right w:w="108" w:type="dxa"/>
            </w:tcMar>
          </w:tcPr>
          <w:p w14:paraId="5DF11C63"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Tremor, Dystonia</w:t>
            </w:r>
          </w:p>
        </w:tc>
        <w:tc>
          <w:tcPr>
            <w:tcW w:w="1425" w:type="dxa"/>
            <w:tcBorders>
              <w:top w:val="single" w:sz="4" w:space="0" w:color="auto"/>
              <w:bottom w:val="single" w:sz="4" w:space="0" w:color="auto"/>
            </w:tcBorders>
            <w:tcMar>
              <w:top w:w="0" w:type="dxa"/>
              <w:left w:w="108" w:type="dxa"/>
              <w:bottom w:w="0" w:type="dxa"/>
              <w:right w:w="108" w:type="dxa"/>
            </w:tcMar>
          </w:tcPr>
          <w:p w14:paraId="05DAFBE1"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Bilateral DN</w:t>
            </w:r>
          </w:p>
        </w:tc>
        <w:tc>
          <w:tcPr>
            <w:tcW w:w="1425" w:type="dxa"/>
            <w:tcBorders>
              <w:top w:val="single" w:sz="4" w:space="0" w:color="auto"/>
              <w:bottom w:val="single" w:sz="4" w:space="0" w:color="auto"/>
            </w:tcBorders>
            <w:tcMar>
              <w:top w:w="0" w:type="dxa"/>
              <w:left w:w="108" w:type="dxa"/>
              <w:bottom w:w="0" w:type="dxa"/>
              <w:right w:w="108" w:type="dxa"/>
            </w:tcMar>
          </w:tcPr>
          <w:p w14:paraId="3CFD8828" w14:textId="77777777" w:rsidR="008072FE" w:rsidRPr="003634F8" w:rsidRDefault="008072FE" w:rsidP="00A55016">
            <w:pPr>
              <w:pStyle w:val="Standard"/>
              <w:rPr>
                <w:rFonts w:ascii="Times New Roman" w:hAnsi="Times New Roman" w:cs="Times New Roman"/>
                <w:b/>
                <w:bCs/>
                <w:sz w:val="18"/>
                <w:szCs w:val="18"/>
                <w:lang w:val="de-DE"/>
              </w:rPr>
            </w:pPr>
            <w:r w:rsidRPr="003634F8">
              <w:rPr>
                <w:rFonts w:ascii="Times New Roman" w:hAnsi="Times New Roman" w:cs="Times New Roman"/>
                <w:sz w:val="18"/>
                <w:szCs w:val="18"/>
                <w:lang w:val="de-DE"/>
              </w:rPr>
              <w:t>F-T-M-RS, BFMDRS-MS</w:t>
            </w:r>
          </w:p>
        </w:tc>
        <w:tc>
          <w:tcPr>
            <w:tcW w:w="1383" w:type="dxa"/>
            <w:tcBorders>
              <w:top w:val="single" w:sz="4" w:space="0" w:color="auto"/>
              <w:bottom w:val="single" w:sz="4" w:space="0" w:color="auto"/>
            </w:tcBorders>
            <w:tcMar>
              <w:top w:w="0" w:type="dxa"/>
              <w:left w:w="108" w:type="dxa"/>
              <w:bottom w:w="0" w:type="dxa"/>
              <w:right w:w="108" w:type="dxa"/>
            </w:tcMar>
          </w:tcPr>
          <w:p w14:paraId="655D40D1"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Decrease of tremor, dystonia</w:t>
            </w:r>
          </w:p>
        </w:tc>
        <w:tc>
          <w:tcPr>
            <w:tcW w:w="1467" w:type="dxa"/>
            <w:tcBorders>
              <w:top w:val="single" w:sz="4" w:space="0" w:color="auto"/>
              <w:bottom w:val="single" w:sz="4" w:space="0" w:color="auto"/>
            </w:tcBorders>
            <w:tcMar>
              <w:top w:w="0" w:type="dxa"/>
              <w:left w:w="108" w:type="dxa"/>
              <w:bottom w:w="0" w:type="dxa"/>
              <w:right w:w="108" w:type="dxa"/>
            </w:tcMar>
          </w:tcPr>
          <w:p w14:paraId="458C8D68"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1</w:t>
            </w:r>
          </w:p>
        </w:tc>
      </w:tr>
      <w:tr w:rsidR="008072FE" w:rsidRPr="003634F8" w14:paraId="0098F4D8"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416096AC" w14:textId="77777777" w:rsidR="008072FE" w:rsidRPr="003634F8" w:rsidRDefault="008072FE" w:rsidP="00A55016">
            <w:pPr>
              <w:pStyle w:val="TableContents"/>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(Paraguay et al., 2021)</w:t>
            </w:r>
            <w:r>
              <w:rPr>
                <w:rFonts w:ascii="Times New Roman" w:hAnsi="Times New Roman" w:cs="Times New Roman"/>
                <w:b/>
                <w:bCs/>
                <w:color w:val="000000"/>
                <w:sz w:val="18"/>
                <w:szCs w:val="18"/>
                <w:lang w:val="da-DK"/>
              </w:rPr>
              <w:t xml:space="preserve"> [9]</w:t>
            </w:r>
          </w:p>
        </w:tc>
        <w:tc>
          <w:tcPr>
            <w:tcW w:w="1701" w:type="dxa"/>
            <w:tcBorders>
              <w:top w:val="single" w:sz="4" w:space="0" w:color="auto"/>
              <w:bottom w:val="single" w:sz="4" w:space="0" w:color="auto"/>
            </w:tcBorders>
            <w:tcMar>
              <w:top w:w="0" w:type="dxa"/>
              <w:left w:w="108" w:type="dxa"/>
              <w:bottom w:w="0" w:type="dxa"/>
              <w:right w:w="108" w:type="dxa"/>
            </w:tcMar>
          </w:tcPr>
          <w:p w14:paraId="31812179"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Essential tremor</w:t>
            </w:r>
          </w:p>
        </w:tc>
        <w:tc>
          <w:tcPr>
            <w:tcW w:w="1295" w:type="dxa"/>
            <w:tcBorders>
              <w:top w:val="single" w:sz="4" w:space="0" w:color="auto"/>
              <w:bottom w:val="single" w:sz="4" w:space="0" w:color="auto"/>
            </w:tcBorders>
            <w:tcMar>
              <w:top w:w="0" w:type="dxa"/>
              <w:left w:w="108" w:type="dxa"/>
              <w:bottom w:w="0" w:type="dxa"/>
              <w:right w:w="108" w:type="dxa"/>
            </w:tcMar>
          </w:tcPr>
          <w:p w14:paraId="41EDE265"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Tremor</w:t>
            </w:r>
          </w:p>
        </w:tc>
        <w:tc>
          <w:tcPr>
            <w:tcW w:w="1425" w:type="dxa"/>
            <w:tcBorders>
              <w:top w:val="single" w:sz="4" w:space="0" w:color="auto"/>
              <w:bottom w:val="single" w:sz="4" w:space="0" w:color="auto"/>
            </w:tcBorders>
            <w:tcMar>
              <w:top w:w="0" w:type="dxa"/>
              <w:left w:w="108" w:type="dxa"/>
              <w:bottom w:w="0" w:type="dxa"/>
              <w:right w:w="108" w:type="dxa"/>
            </w:tcMar>
          </w:tcPr>
          <w:p w14:paraId="5E130273"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Bilateral DN</w:t>
            </w:r>
          </w:p>
        </w:tc>
        <w:tc>
          <w:tcPr>
            <w:tcW w:w="1425" w:type="dxa"/>
            <w:tcBorders>
              <w:top w:val="single" w:sz="4" w:space="0" w:color="auto"/>
              <w:bottom w:val="single" w:sz="4" w:space="0" w:color="auto"/>
            </w:tcBorders>
            <w:tcMar>
              <w:top w:w="0" w:type="dxa"/>
              <w:left w:w="108" w:type="dxa"/>
              <w:bottom w:w="0" w:type="dxa"/>
              <w:right w:w="108" w:type="dxa"/>
            </w:tcMar>
          </w:tcPr>
          <w:p w14:paraId="1A51D3BD"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F-T-M-RS</w:t>
            </w:r>
          </w:p>
        </w:tc>
        <w:tc>
          <w:tcPr>
            <w:tcW w:w="1383" w:type="dxa"/>
            <w:tcBorders>
              <w:top w:val="single" w:sz="4" w:space="0" w:color="auto"/>
              <w:bottom w:val="single" w:sz="4" w:space="0" w:color="auto"/>
            </w:tcBorders>
            <w:tcMar>
              <w:top w:w="0" w:type="dxa"/>
              <w:left w:w="108" w:type="dxa"/>
              <w:bottom w:w="0" w:type="dxa"/>
              <w:right w:w="108" w:type="dxa"/>
            </w:tcMar>
          </w:tcPr>
          <w:p w14:paraId="5034CAF5"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Decrease of tremor</w:t>
            </w:r>
          </w:p>
        </w:tc>
        <w:tc>
          <w:tcPr>
            <w:tcW w:w="1467" w:type="dxa"/>
            <w:tcBorders>
              <w:top w:val="single" w:sz="4" w:space="0" w:color="auto"/>
              <w:bottom w:val="single" w:sz="4" w:space="0" w:color="auto"/>
            </w:tcBorders>
            <w:tcMar>
              <w:top w:w="0" w:type="dxa"/>
              <w:left w:w="108" w:type="dxa"/>
              <w:bottom w:w="0" w:type="dxa"/>
              <w:right w:w="108" w:type="dxa"/>
            </w:tcMar>
          </w:tcPr>
          <w:p w14:paraId="145AF5EB"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1</w:t>
            </w:r>
          </w:p>
        </w:tc>
      </w:tr>
      <w:tr w:rsidR="008072FE" w:rsidRPr="003634F8" w14:paraId="362FBA44"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06F5A5FD" w14:textId="77777777" w:rsidR="008072FE" w:rsidRPr="003634F8" w:rsidRDefault="008072FE" w:rsidP="00A55016">
            <w:pPr>
              <w:pStyle w:val="TableContents"/>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(Cury et al., 2022)</w:t>
            </w:r>
            <w:r>
              <w:rPr>
                <w:rFonts w:ascii="Times New Roman" w:hAnsi="Times New Roman" w:cs="Times New Roman"/>
                <w:b/>
                <w:bCs/>
                <w:color w:val="000000"/>
                <w:sz w:val="18"/>
                <w:szCs w:val="18"/>
                <w:lang w:val="da-DK"/>
              </w:rPr>
              <w:t xml:space="preserve"> [10]</w:t>
            </w:r>
          </w:p>
        </w:tc>
        <w:tc>
          <w:tcPr>
            <w:tcW w:w="1701" w:type="dxa"/>
            <w:tcBorders>
              <w:top w:val="single" w:sz="4" w:space="0" w:color="auto"/>
              <w:bottom w:val="single" w:sz="4" w:space="0" w:color="auto"/>
            </w:tcBorders>
            <w:tcMar>
              <w:top w:w="0" w:type="dxa"/>
              <w:left w:w="108" w:type="dxa"/>
              <w:bottom w:w="0" w:type="dxa"/>
              <w:right w:w="108" w:type="dxa"/>
            </w:tcMar>
          </w:tcPr>
          <w:p w14:paraId="18ED9223"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Spinocerebellar ataxia (n=2), Stroke (n=2), cerebral palsy (n=1)</w:t>
            </w:r>
          </w:p>
        </w:tc>
        <w:tc>
          <w:tcPr>
            <w:tcW w:w="1295" w:type="dxa"/>
            <w:tcBorders>
              <w:top w:val="single" w:sz="4" w:space="0" w:color="auto"/>
              <w:bottom w:val="single" w:sz="4" w:space="0" w:color="auto"/>
            </w:tcBorders>
            <w:tcMar>
              <w:top w:w="0" w:type="dxa"/>
              <w:left w:w="108" w:type="dxa"/>
              <w:bottom w:w="0" w:type="dxa"/>
              <w:right w:w="108" w:type="dxa"/>
            </w:tcMar>
          </w:tcPr>
          <w:p w14:paraId="6D0C02AB"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Ataxia</w:t>
            </w:r>
          </w:p>
        </w:tc>
        <w:tc>
          <w:tcPr>
            <w:tcW w:w="1425" w:type="dxa"/>
            <w:tcBorders>
              <w:top w:val="single" w:sz="4" w:space="0" w:color="auto"/>
              <w:bottom w:val="single" w:sz="4" w:space="0" w:color="auto"/>
            </w:tcBorders>
            <w:tcMar>
              <w:top w:w="0" w:type="dxa"/>
              <w:left w:w="108" w:type="dxa"/>
              <w:bottom w:w="0" w:type="dxa"/>
              <w:right w:w="108" w:type="dxa"/>
            </w:tcMar>
          </w:tcPr>
          <w:p w14:paraId="00CF5A4A"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Bilateral DN</w:t>
            </w:r>
          </w:p>
        </w:tc>
        <w:tc>
          <w:tcPr>
            <w:tcW w:w="1425" w:type="dxa"/>
            <w:tcBorders>
              <w:top w:val="single" w:sz="4" w:space="0" w:color="auto"/>
              <w:bottom w:val="single" w:sz="4" w:space="0" w:color="auto"/>
            </w:tcBorders>
            <w:tcMar>
              <w:top w:w="0" w:type="dxa"/>
              <w:left w:w="108" w:type="dxa"/>
              <w:bottom w:w="0" w:type="dxa"/>
              <w:right w:w="108" w:type="dxa"/>
            </w:tcMar>
          </w:tcPr>
          <w:p w14:paraId="2DC78401"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F-T-M-RS, SARA</w:t>
            </w:r>
          </w:p>
        </w:tc>
        <w:tc>
          <w:tcPr>
            <w:tcW w:w="1383" w:type="dxa"/>
            <w:tcBorders>
              <w:top w:val="single" w:sz="4" w:space="0" w:color="auto"/>
              <w:bottom w:val="single" w:sz="4" w:space="0" w:color="auto"/>
            </w:tcBorders>
            <w:tcMar>
              <w:top w:w="0" w:type="dxa"/>
              <w:left w:w="108" w:type="dxa"/>
              <w:bottom w:w="0" w:type="dxa"/>
              <w:right w:w="108" w:type="dxa"/>
            </w:tcMar>
          </w:tcPr>
          <w:p w14:paraId="5A1FD9E7"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Decrease of ataxia</w:t>
            </w:r>
          </w:p>
        </w:tc>
        <w:tc>
          <w:tcPr>
            <w:tcW w:w="1467" w:type="dxa"/>
            <w:tcBorders>
              <w:top w:val="single" w:sz="4" w:space="0" w:color="auto"/>
              <w:bottom w:val="single" w:sz="4" w:space="0" w:color="auto"/>
            </w:tcBorders>
            <w:tcMar>
              <w:top w:w="0" w:type="dxa"/>
              <w:left w:w="108" w:type="dxa"/>
              <w:bottom w:w="0" w:type="dxa"/>
              <w:right w:w="108" w:type="dxa"/>
            </w:tcMar>
          </w:tcPr>
          <w:p w14:paraId="12F75976"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5</w:t>
            </w:r>
          </w:p>
        </w:tc>
      </w:tr>
      <w:tr w:rsidR="008072FE" w:rsidRPr="003634F8" w14:paraId="31F18418"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60099798" w14:textId="77777777" w:rsidR="008072FE" w:rsidRPr="003634F8" w:rsidRDefault="008072FE" w:rsidP="00A55016">
            <w:pPr>
              <w:pStyle w:val="TableContents"/>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(Cui et al., 2023)</w:t>
            </w:r>
            <w:r>
              <w:rPr>
                <w:rFonts w:ascii="Times New Roman" w:hAnsi="Times New Roman" w:cs="Times New Roman"/>
                <w:b/>
                <w:bCs/>
                <w:color w:val="000000"/>
                <w:sz w:val="18"/>
                <w:szCs w:val="18"/>
                <w:lang w:val="da-DK"/>
              </w:rPr>
              <w:t xml:space="preserve"> [11]</w:t>
            </w:r>
          </w:p>
        </w:tc>
        <w:tc>
          <w:tcPr>
            <w:tcW w:w="1701" w:type="dxa"/>
            <w:tcBorders>
              <w:top w:val="single" w:sz="4" w:space="0" w:color="auto"/>
              <w:bottom w:val="single" w:sz="4" w:space="0" w:color="auto"/>
            </w:tcBorders>
            <w:tcMar>
              <w:top w:w="0" w:type="dxa"/>
              <w:left w:w="108" w:type="dxa"/>
              <w:bottom w:w="0" w:type="dxa"/>
              <w:right w:w="108" w:type="dxa"/>
            </w:tcMar>
          </w:tcPr>
          <w:p w14:paraId="6B099AB3"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Spinocerebellar ataxia</w:t>
            </w:r>
          </w:p>
        </w:tc>
        <w:tc>
          <w:tcPr>
            <w:tcW w:w="1295" w:type="dxa"/>
            <w:tcBorders>
              <w:top w:val="single" w:sz="4" w:space="0" w:color="auto"/>
              <w:bottom w:val="single" w:sz="4" w:space="0" w:color="auto"/>
            </w:tcBorders>
            <w:tcMar>
              <w:top w:w="0" w:type="dxa"/>
              <w:left w:w="108" w:type="dxa"/>
              <w:bottom w:w="0" w:type="dxa"/>
              <w:right w:w="108" w:type="dxa"/>
            </w:tcMar>
          </w:tcPr>
          <w:p w14:paraId="6A80C839"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Dystonia, Ataxia</w:t>
            </w:r>
          </w:p>
        </w:tc>
        <w:tc>
          <w:tcPr>
            <w:tcW w:w="1425" w:type="dxa"/>
            <w:tcBorders>
              <w:top w:val="single" w:sz="4" w:space="0" w:color="auto"/>
              <w:bottom w:val="single" w:sz="4" w:space="0" w:color="auto"/>
            </w:tcBorders>
            <w:tcMar>
              <w:top w:w="0" w:type="dxa"/>
              <w:left w:w="108" w:type="dxa"/>
              <w:bottom w:w="0" w:type="dxa"/>
              <w:right w:w="108" w:type="dxa"/>
            </w:tcMar>
          </w:tcPr>
          <w:p w14:paraId="698E3501"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 xml:space="preserve">Bilateral DN and </w:t>
            </w:r>
            <w:proofErr w:type="spellStart"/>
            <w:r w:rsidRPr="003634F8">
              <w:rPr>
                <w:rFonts w:ascii="Times New Roman" w:hAnsi="Times New Roman" w:cs="Times New Roman"/>
                <w:sz w:val="18"/>
                <w:szCs w:val="18"/>
              </w:rPr>
              <w:t>GPi</w:t>
            </w:r>
            <w:proofErr w:type="spellEnd"/>
          </w:p>
        </w:tc>
        <w:tc>
          <w:tcPr>
            <w:tcW w:w="1425" w:type="dxa"/>
            <w:tcBorders>
              <w:top w:val="single" w:sz="4" w:space="0" w:color="auto"/>
              <w:bottom w:val="single" w:sz="4" w:space="0" w:color="auto"/>
            </w:tcBorders>
            <w:tcMar>
              <w:top w:w="0" w:type="dxa"/>
              <w:left w:w="108" w:type="dxa"/>
              <w:bottom w:w="0" w:type="dxa"/>
              <w:right w:w="108" w:type="dxa"/>
            </w:tcMar>
          </w:tcPr>
          <w:p w14:paraId="0F9462B3" w14:textId="77777777" w:rsidR="008072FE" w:rsidRPr="003634F8" w:rsidRDefault="008072FE" w:rsidP="00A55016">
            <w:pPr>
              <w:pStyle w:val="Standard"/>
              <w:rPr>
                <w:rFonts w:ascii="Times New Roman" w:hAnsi="Times New Roman" w:cs="Times New Roman"/>
                <w:b/>
                <w:bCs/>
                <w:sz w:val="18"/>
                <w:szCs w:val="18"/>
                <w:lang w:val="de-DE"/>
              </w:rPr>
            </w:pPr>
            <w:r w:rsidRPr="003634F8">
              <w:rPr>
                <w:rFonts w:ascii="Times New Roman" w:hAnsi="Times New Roman" w:cs="Times New Roman"/>
                <w:sz w:val="18"/>
                <w:szCs w:val="18"/>
                <w:lang w:val="de-DE"/>
              </w:rPr>
              <w:t>F-T-M-RS, SARA, BFMDRS</w:t>
            </w:r>
          </w:p>
        </w:tc>
        <w:tc>
          <w:tcPr>
            <w:tcW w:w="1383" w:type="dxa"/>
            <w:tcBorders>
              <w:top w:val="single" w:sz="4" w:space="0" w:color="auto"/>
              <w:bottom w:val="single" w:sz="4" w:space="0" w:color="auto"/>
            </w:tcBorders>
            <w:tcMar>
              <w:top w:w="0" w:type="dxa"/>
              <w:left w:w="108" w:type="dxa"/>
              <w:bottom w:w="0" w:type="dxa"/>
              <w:right w:w="108" w:type="dxa"/>
            </w:tcMar>
          </w:tcPr>
          <w:p w14:paraId="4A9B1FC1" w14:textId="77777777" w:rsidR="008072FE" w:rsidRPr="003634F8" w:rsidRDefault="008072FE" w:rsidP="00A55016">
            <w:pPr>
              <w:pStyle w:val="TableContents"/>
              <w:rPr>
                <w:rFonts w:ascii="Times New Roman" w:hAnsi="Times New Roman" w:cs="Times New Roman"/>
                <w:sz w:val="18"/>
                <w:szCs w:val="18"/>
              </w:rPr>
            </w:pPr>
            <w:proofErr w:type="spellStart"/>
            <w:r w:rsidRPr="003634F8">
              <w:rPr>
                <w:rFonts w:ascii="Times New Roman" w:hAnsi="Times New Roman" w:cs="Times New Roman"/>
                <w:sz w:val="18"/>
                <w:szCs w:val="18"/>
              </w:rPr>
              <w:t>GPi</w:t>
            </w:r>
            <w:proofErr w:type="spellEnd"/>
            <w:r w:rsidRPr="003634F8">
              <w:rPr>
                <w:rFonts w:ascii="Times New Roman" w:hAnsi="Times New Roman" w:cs="Times New Roman"/>
                <w:sz w:val="18"/>
                <w:szCs w:val="18"/>
              </w:rPr>
              <w:t xml:space="preserve"> alone - decrease of dystonia and small improvement in ataxia.</w:t>
            </w:r>
          </w:p>
          <w:p w14:paraId="3C1E07D4"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 xml:space="preserve">DN alone - decrease of ataxia axial </w:t>
            </w:r>
          </w:p>
        </w:tc>
        <w:tc>
          <w:tcPr>
            <w:tcW w:w="1467" w:type="dxa"/>
            <w:tcBorders>
              <w:top w:val="single" w:sz="4" w:space="0" w:color="auto"/>
              <w:bottom w:val="single" w:sz="4" w:space="0" w:color="auto"/>
            </w:tcBorders>
            <w:tcMar>
              <w:top w:w="0" w:type="dxa"/>
              <w:left w:w="108" w:type="dxa"/>
              <w:bottom w:w="0" w:type="dxa"/>
              <w:right w:w="108" w:type="dxa"/>
            </w:tcMar>
          </w:tcPr>
          <w:p w14:paraId="671F2C40"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1</w:t>
            </w:r>
          </w:p>
        </w:tc>
      </w:tr>
      <w:tr w:rsidR="008072FE" w:rsidRPr="003634F8" w14:paraId="78525BD2"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19655554" w14:textId="77777777" w:rsidR="008072FE" w:rsidRPr="003634F8" w:rsidRDefault="008072FE" w:rsidP="00A55016">
            <w:pPr>
              <w:pStyle w:val="TableContents"/>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(Cajigas et al., 2023)</w:t>
            </w:r>
            <w:r>
              <w:rPr>
                <w:rFonts w:ascii="Times New Roman" w:hAnsi="Times New Roman" w:cs="Times New Roman"/>
                <w:b/>
                <w:bCs/>
                <w:color w:val="000000"/>
                <w:sz w:val="18"/>
                <w:szCs w:val="18"/>
                <w:lang w:val="da-DK"/>
              </w:rPr>
              <w:t xml:space="preserve"> [12]</w:t>
            </w:r>
          </w:p>
        </w:tc>
        <w:tc>
          <w:tcPr>
            <w:tcW w:w="1701" w:type="dxa"/>
            <w:tcBorders>
              <w:top w:val="single" w:sz="4" w:space="0" w:color="auto"/>
              <w:bottom w:val="single" w:sz="4" w:space="0" w:color="auto"/>
            </w:tcBorders>
            <w:tcMar>
              <w:top w:w="0" w:type="dxa"/>
              <w:left w:w="108" w:type="dxa"/>
              <w:bottom w:w="0" w:type="dxa"/>
              <w:right w:w="108" w:type="dxa"/>
            </w:tcMar>
          </w:tcPr>
          <w:p w14:paraId="5F872B5D"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Cerebral palsy</w:t>
            </w:r>
          </w:p>
        </w:tc>
        <w:tc>
          <w:tcPr>
            <w:tcW w:w="1295" w:type="dxa"/>
            <w:tcBorders>
              <w:top w:val="single" w:sz="4" w:space="0" w:color="auto"/>
              <w:bottom w:val="single" w:sz="4" w:space="0" w:color="auto"/>
            </w:tcBorders>
            <w:tcMar>
              <w:top w:w="0" w:type="dxa"/>
              <w:left w:w="108" w:type="dxa"/>
              <w:bottom w:w="0" w:type="dxa"/>
              <w:right w:w="108" w:type="dxa"/>
            </w:tcMar>
          </w:tcPr>
          <w:p w14:paraId="5F97834C"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Dystonia</w:t>
            </w:r>
          </w:p>
        </w:tc>
        <w:tc>
          <w:tcPr>
            <w:tcW w:w="1425" w:type="dxa"/>
            <w:tcBorders>
              <w:top w:val="single" w:sz="4" w:space="0" w:color="auto"/>
              <w:bottom w:val="single" w:sz="4" w:space="0" w:color="auto"/>
            </w:tcBorders>
            <w:tcMar>
              <w:top w:w="0" w:type="dxa"/>
              <w:left w:w="108" w:type="dxa"/>
              <w:bottom w:w="0" w:type="dxa"/>
              <w:right w:w="108" w:type="dxa"/>
            </w:tcMar>
          </w:tcPr>
          <w:p w14:paraId="5294E5C2"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Bilateral DN</w:t>
            </w:r>
          </w:p>
        </w:tc>
        <w:tc>
          <w:tcPr>
            <w:tcW w:w="1425" w:type="dxa"/>
            <w:tcBorders>
              <w:top w:val="single" w:sz="4" w:space="0" w:color="auto"/>
              <w:bottom w:val="single" w:sz="4" w:space="0" w:color="auto"/>
            </w:tcBorders>
            <w:tcMar>
              <w:top w:w="0" w:type="dxa"/>
              <w:left w:w="108" w:type="dxa"/>
              <w:bottom w:w="0" w:type="dxa"/>
              <w:right w:w="108" w:type="dxa"/>
            </w:tcMar>
          </w:tcPr>
          <w:p w14:paraId="353F1393"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BFMDRS</w:t>
            </w:r>
          </w:p>
        </w:tc>
        <w:tc>
          <w:tcPr>
            <w:tcW w:w="1383" w:type="dxa"/>
            <w:tcBorders>
              <w:top w:val="single" w:sz="4" w:space="0" w:color="auto"/>
              <w:bottom w:val="single" w:sz="4" w:space="0" w:color="auto"/>
            </w:tcBorders>
            <w:tcMar>
              <w:top w:w="0" w:type="dxa"/>
              <w:left w:w="108" w:type="dxa"/>
              <w:bottom w:w="0" w:type="dxa"/>
              <w:right w:w="108" w:type="dxa"/>
            </w:tcMar>
          </w:tcPr>
          <w:p w14:paraId="4FDECEE9"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Decrease of dystonia</w:t>
            </w:r>
          </w:p>
        </w:tc>
        <w:tc>
          <w:tcPr>
            <w:tcW w:w="1467" w:type="dxa"/>
            <w:tcBorders>
              <w:top w:val="single" w:sz="4" w:space="0" w:color="auto"/>
              <w:bottom w:val="single" w:sz="4" w:space="0" w:color="auto"/>
            </w:tcBorders>
            <w:tcMar>
              <w:top w:w="0" w:type="dxa"/>
              <w:left w:w="108" w:type="dxa"/>
              <w:bottom w:w="0" w:type="dxa"/>
              <w:right w:w="108" w:type="dxa"/>
            </w:tcMar>
          </w:tcPr>
          <w:p w14:paraId="31B498B0"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3</w:t>
            </w:r>
          </w:p>
        </w:tc>
      </w:tr>
      <w:tr w:rsidR="008072FE" w:rsidRPr="003634F8" w14:paraId="30DA87D8"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0A9976DC" w14:textId="77777777" w:rsidR="008072FE" w:rsidRPr="003634F8" w:rsidRDefault="008072FE" w:rsidP="00A55016">
            <w:pPr>
              <w:pStyle w:val="TableContents"/>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(Baker et al., 2023)</w:t>
            </w:r>
            <w:r>
              <w:rPr>
                <w:rFonts w:ascii="Times New Roman" w:hAnsi="Times New Roman" w:cs="Times New Roman"/>
                <w:b/>
                <w:bCs/>
                <w:color w:val="000000"/>
                <w:sz w:val="18"/>
                <w:szCs w:val="18"/>
                <w:lang w:val="da-DK"/>
              </w:rPr>
              <w:t xml:space="preserve"> [13]</w:t>
            </w:r>
          </w:p>
        </w:tc>
        <w:tc>
          <w:tcPr>
            <w:tcW w:w="1701" w:type="dxa"/>
            <w:tcBorders>
              <w:top w:val="single" w:sz="4" w:space="0" w:color="auto"/>
              <w:bottom w:val="single" w:sz="4" w:space="0" w:color="auto"/>
            </w:tcBorders>
            <w:tcMar>
              <w:top w:w="0" w:type="dxa"/>
              <w:left w:w="108" w:type="dxa"/>
              <w:bottom w:w="0" w:type="dxa"/>
              <w:right w:w="108" w:type="dxa"/>
            </w:tcMar>
          </w:tcPr>
          <w:p w14:paraId="3C719B3B"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Stroke</w:t>
            </w:r>
          </w:p>
        </w:tc>
        <w:tc>
          <w:tcPr>
            <w:tcW w:w="1295" w:type="dxa"/>
            <w:tcBorders>
              <w:top w:val="single" w:sz="4" w:space="0" w:color="auto"/>
              <w:bottom w:val="single" w:sz="4" w:space="0" w:color="auto"/>
            </w:tcBorders>
            <w:tcMar>
              <w:top w:w="0" w:type="dxa"/>
              <w:left w:w="108" w:type="dxa"/>
              <w:bottom w:w="0" w:type="dxa"/>
              <w:right w:w="108" w:type="dxa"/>
            </w:tcMar>
          </w:tcPr>
          <w:p w14:paraId="6D5D00F2"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Hemiplegia</w:t>
            </w:r>
          </w:p>
        </w:tc>
        <w:tc>
          <w:tcPr>
            <w:tcW w:w="1425" w:type="dxa"/>
            <w:tcBorders>
              <w:top w:val="single" w:sz="4" w:space="0" w:color="auto"/>
              <w:bottom w:val="single" w:sz="4" w:space="0" w:color="auto"/>
            </w:tcBorders>
            <w:tcMar>
              <w:top w:w="0" w:type="dxa"/>
              <w:left w:w="108" w:type="dxa"/>
              <w:bottom w:w="0" w:type="dxa"/>
              <w:right w:w="108" w:type="dxa"/>
            </w:tcMar>
          </w:tcPr>
          <w:p w14:paraId="23FA2DF1" w14:textId="77777777" w:rsidR="008072FE" w:rsidRPr="003634F8" w:rsidRDefault="008072FE" w:rsidP="00A55016">
            <w:pPr>
              <w:pStyle w:val="TableContents"/>
              <w:rPr>
                <w:rFonts w:ascii="Times New Roman" w:hAnsi="Times New Roman" w:cs="Times New Roman"/>
                <w:sz w:val="18"/>
                <w:szCs w:val="18"/>
              </w:rPr>
            </w:pPr>
            <w:r w:rsidRPr="003634F8">
              <w:rPr>
                <w:rFonts w:ascii="Times New Roman" w:hAnsi="Times New Roman" w:cs="Times New Roman"/>
                <w:sz w:val="18"/>
                <w:szCs w:val="18"/>
              </w:rPr>
              <w:t>Unilateral DN</w:t>
            </w:r>
          </w:p>
          <w:p w14:paraId="4FC12AED"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(contralateral to stroke hemisphere)</w:t>
            </w:r>
          </w:p>
        </w:tc>
        <w:tc>
          <w:tcPr>
            <w:tcW w:w="1425" w:type="dxa"/>
            <w:tcBorders>
              <w:top w:val="single" w:sz="4" w:space="0" w:color="auto"/>
              <w:bottom w:val="single" w:sz="4" w:space="0" w:color="auto"/>
            </w:tcBorders>
            <w:tcMar>
              <w:top w:w="0" w:type="dxa"/>
              <w:left w:w="108" w:type="dxa"/>
              <w:bottom w:w="0" w:type="dxa"/>
              <w:right w:w="108" w:type="dxa"/>
            </w:tcMar>
          </w:tcPr>
          <w:p w14:paraId="40989EAA"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FMA-UE, AMAT</w:t>
            </w:r>
          </w:p>
        </w:tc>
        <w:tc>
          <w:tcPr>
            <w:tcW w:w="1383" w:type="dxa"/>
            <w:tcBorders>
              <w:top w:val="single" w:sz="4" w:space="0" w:color="auto"/>
              <w:bottom w:val="single" w:sz="4" w:space="0" w:color="auto"/>
            </w:tcBorders>
            <w:tcMar>
              <w:top w:w="0" w:type="dxa"/>
              <w:left w:w="108" w:type="dxa"/>
              <w:bottom w:w="0" w:type="dxa"/>
              <w:right w:w="108" w:type="dxa"/>
            </w:tcMar>
          </w:tcPr>
          <w:p w14:paraId="3A0BAE0F"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Increase of upper extremity functional mobility and corticospinal excitability</w:t>
            </w:r>
          </w:p>
        </w:tc>
        <w:tc>
          <w:tcPr>
            <w:tcW w:w="1467" w:type="dxa"/>
            <w:tcBorders>
              <w:top w:val="single" w:sz="4" w:space="0" w:color="auto"/>
              <w:bottom w:val="single" w:sz="4" w:space="0" w:color="auto"/>
            </w:tcBorders>
            <w:tcMar>
              <w:top w:w="0" w:type="dxa"/>
              <w:left w:w="108" w:type="dxa"/>
              <w:bottom w:w="0" w:type="dxa"/>
              <w:right w:w="108" w:type="dxa"/>
            </w:tcMar>
          </w:tcPr>
          <w:p w14:paraId="6D21482B" w14:textId="77777777" w:rsidR="008072FE" w:rsidRPr="003634F8" w:rsidRDefault="008072FE" w:rsidP="00A55016">
            <w:pPr>
              <w:pStyle w:val="Standard"/>
              <w:rPr>
                <w:rFonts w:ascii="Times New Roman" w:hAnsi="Times New Roman" w:cs="Times New Roman"/>
                <w:b/>
                <w:bCs/>
                <w:sz w:val="18"/>
                <w:szCs w:val="18"/>
              </w:rPr>
            </w:pPr>
            <w:r w:rsidRPr="003634F8">
              <w:rPr>
                <w:rFonts w:ascii="Times New Roman" w:hAnsi="Times New Roman" w:cs="Times New Roman"/>
                <w:sz w:val="18"/>
                <w:szCs w:val="18"/>
              </w:rPr>
              <w:t>12</w:t>
            </w:r>
          </w:p>
        </w:tc>
      </w:tr>
      <w:tr w:rsidR="008072FE" w:rsidRPr="003634F8" w14:paraId="14A2C793" w14:textId="77777777" w:rsidTr="00A55016">
        <w:trPr>
          <w:gridBefore w:val="1"/>
          <w:wBefore w:w="10" w:type="dxa"/>
        </w:trPr>
        <w:tc>
          <w:tcPr>
            <w:tcW w:w="1276" w:type="dxa"/>
            <w:tcBorders>
              <w:top w:val="single" w:sz="4" w:space="0" w:color="auto"/>
              <w:bottom w:val="single" w:sz="4" w:space="0" w:color="7F7F7F"/>
            </w:tcBorders>
            <w:tcMar>
              <w:top w:w="0" w:type="dxa"/>
              <w:left w:w="108" w:type="dxa"/>
              <w:bottom w:w="0" w:type="dxa"/>
              <w:right w:w="108" w:type="dxa"/>
            </w:tcMar>
          </w:tcPr>
          <w:p w14:paraId="4A9A2470" w14:textId="77777777" w:rsidR="008072FE" w:rsidRPr="003634F8" w:rsidRDefault="008072FE" w:rsidP="00A55016">
            <w:pPr>
              <w:pStyle w:val="TableContents"/>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(Zhao et al., 2025)</w:t>
            </w:r>
            <w:r>
              <w:rPr>
                <w:rFonts w:ascii="Times New Roman" w:hAnsi="Times New Roman" w:cs="Times New Roman"/>
                <w:b/>
                <w:bCs/>
                <w:color w:val="000000"/>
                <w:sz w:val="18"/>
                <w:szCs w:val="18"/>
                <w:lang w:val="da-DK"/>
              </w:rPr>
              <w:t xml:space="preserve"> [14]</w:t>
            </w:r>
          </w:p>
        </w:tc>
        <w:tc>
          <w:tcPr>
            <w:tcW w:w="1701" w:type="dxa"/>
            <w:tcBorders>
              <w:top w:val="single" w:sz="4" w:space="0" w:color="auto"/>
              <w:bottom w:val="single" w:sz="4" w:space="0" w:color="7F7F7F"/>
            </w:tcBorders>
            <w:tcMar>
              <w:top w:w="0" w:type="dxa"/>
              <w:left w:w="108" w:type="dxa"/>
              <w:bottom w:w="0" w:type="dxa"/>
              <w:right w:w="108" w:type="dxa"/>
            </w:tcMar>
          </w:tcPr>
          <w:p w14:paraId="1674B4A8"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Spinocerebellar ataxia</w:t>
            </w:r>
          </w:p>
        </w:tc>
        <w:tc>
          <w:tcPr>
            <w:tcW w:w="1295" w:type="dxa"/>
            <w:tcBorders>
              <w:top w:val="single" w:sz="4" w:space="0" w:color="auto"/>
              <w:bottom w:val="single" w:sz="4" w:space="0" w:color="7F7F7F"/>
            </w:tcBorders>
            <w:tcMar>
              <w:top w:w="0" w:type="dxa"/>
              <w:left w:w="108" w:type="dxa"/>
              <w:bottom w:w="0" w:type="dxa"/>
              <w:right w:w="108" w:type="dxa"/>
            </w:tcMar>
          </w:tcPr>
          <w:p w14:paraId="16434DF3"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Ataxia</w:t>
            </w:r>
          </w:p>
        </w:tc>
        <w:tc>
          <w:tcPr>
            <w:tcW w:w="1425" w:type="dxa"/>
            <w:tcBorders>
              <w:top w:val="single" w:sz="4" w:space="0" w:color="auto"/>
              <w:bottom w:val="single" w:sz="4" w:space="0" w:color="7F7F7F"/>
            </w:tcBorders>
            <w:tcMar>
              <w:top w:w="0" w:type="dxa"/>
              <w:left w:w="108" w:type="dxa"/>
              <w:bottom w:w="0" w:type="dxa"/>
              <w:right w:w="108" w:type="dxa"/>
            </w:tcMar>
          </w:tcPr>
          <w:p w14:paraId="2F12309B" w14:textId="77777777" w:rsidR="008072FE" w:rsidRPr="003634F8" w:rsidRDefault="008072FE" w:rsidP="00A55016">
            <w:pPr>
              <w:pStyle w:val="TableContents"/>
              <w:rPr>
                <w:rFonts w:ascii="Times New Roman" w:hAnsi="Times New Roman" w:cs="Times New Roman"/>
                <w:sz w:val="18"/>
                <w:szCs w:val="18"/>
              </w:rPr>
            </w:pPr>
            <w:r w:rsidRPr="003634F8">
              <w:rPr>
                <w:rFonts w:ascii="Times New Roman" w:hAnsi="Times New Roman" w:cs="Times New Roman"/>
                <w:sz w:val="18"/>
                <w:szCs w:val="18"/>
              </w:rPr>
              <w:t>Bilateral DN</w:t>
            </w:r>
          </w:p>
        </w:tc>
        <w:tc>
          <w:tcPr>
            <w:tcW w:w="1425" w:type="dxa"/>
            <w:tcBorders>
              <w:top w:val="single" w:sz="4" w:space="0" w:color="auto"/>
              <w:bottom w:val="single" w:sz="4" w:space="0" w:color="7F7F7F"/>
            </w:tcBorders>
            <w:tcMar>
              <w:top w:w="0" w:type="dxa"/>
              <w:left w:w="108" w:type="dxa"/>
              <w:bottom w:w="0" w:type="dxa"/>
              <w:right w:w="108" w:type="dxa"/>
            </w:tcMar>
          </w:tcPr>
          <w:p w14:paraId="67DF6F2A"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SARA, ICARS</w:t>
            </w:r>
          </w:p>
        </w:tc>
        <w:tc>
          <w:tcPr>
            <w:tcW w:w="1383" w:type="dxa"/>
            <w:tcBorders>
              <w:top w:val="single" w:sz="4" w:space="0" w:color="auto"/>
              <w:bottom w:val="single" w:sz="4" w:space="0" w:color="7F7F7F"/>
            </w:tcBorders>
            <w:tcMar>
              <w:top w:w="0" w:type="dxa"/>
              <w:left w:w="108" w:type="dxa"/>
              <w:bottom w:w="0" w:type="dxa"/>
              <w:right w:w="108" w:type="dxa"/>
            </w:tcMar>
          </w:tcPr>
          <w:p w14:paraId="01B89BB1"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Decrease of ataxia</w:t>
            </w:r>
          </w:p>
        </w:tc>
        <w:tc>
          <w:tcPr>
            <w:tcW w:w="1467" w:type="dxa"/>
            <w:tcBorders>
              <w:top w:val="single" w:sz="4" w:space="0" w:color="auto"/>
              <w:bottom w:val="single" w:sz="4" w:space="0" w:color="7F7F7F"/>
            </w:tcBorders>
            <w:tcMar>
              <w:top w:w="0" w:type="dxa"/>
              <w:left w:w="108" w:type="dxa"/>
              <w:bottom w:w="0" w:type="dxa"/>
              <w:right w:w="108" w:type="dxa"/>
            </w:tcMar>
          </w:tcPr>
          <w:p w14:paraId="22398B54"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6</w:t>
            </w:r>
          </w:p>
        </w:tc>
      </w:tr>
      <w:tr w:rsidR="008072FE" w:rsidRPr="003634F8" w14:paraId="7B82A124" w14:textId="77777777" w:rsidTr="00A55016">
        <w:trPr>
          <w:trHeight w:val="690"/>
        </w:trPr>
        <w:tc>
          <w:tcPr>
            <w:tcW w:w="9982" w:type="dxa"/>
            <w:gridSpan w:val="8"/>
            <w:tcMar>
              <w:top w:w="0" w:type="dxa"/>
              <w:left w:w="108" w:type="dxa"/>
              <w:bottom w:w="0" w:type="dxa"/>
              <w:right w:w="108" w:type="dxa"/>
            </w:tcMar>
          </w:tcPr>
          <w:p w14:paraId="43CF0368" w14:textId="77777777" w:rsidR="008072FE" w:rsidRPr="003634F8" w:rsidRDefault="008072FE" w:rsidP="00A55016">
            <w:pPr>
              <w:pStyle w:val="Textbody"/>
              <w:spacing w:after="0" w:line="240" w:lineRule="auto"/>
              <w:jc w:val="both"/>
              <w:rPr>
                <w:sz w:val="18"/>
                <w:szCs w:val="18"/>
              </w:rPr>
            </w:pPr>
            <w:r>
              <w:rPr>
                <w:rFonts w:ascii="Times New Roman" w:hAnsi="Times New Roman"/>
                <w:b/>
                <w:bCs/>
                <w:color w:val="000000"/>
                <w:sz w:val="18"/>
                <w:szCs w:val="18"/>
              </w:rPr>
              <w:t xml:space="preserve">Supplementary </w:t>
            </w:r>
            <w:r w:rsidRPr="003634F8">
              <w:rPr>
                <w:rFonts w:ascii="Times New Roman" w:hAnsi="Times New Roman"/>
                <w:b/>
                <w:bCs/>
                <w:color w:val="000000"/>
                <w:sz w:val="18"/>
                <w:szCs w:val="18"/>
              </w:rPr>
              <w:t>Table 1.</w:t>
            </w:r>
            <w:r w:rsidRPr="003634F8">
              <w:rPr>
                <w:rFonts w:ascii="Times New Roman" w:hAnsi="Times New Roman"/>
                <w:color w:val="000000"/>
                <w:sz w:val="18"/>
                <w:szCs w:val="18"/>
              </w:rPr>
              <w:t xml:space="preserve"> </w:t>
            </w:r>
            <w:r w:rsidRPr="000B5EF6">
              <w:rPr>
                <w:rFonts w:ascii="Times New Roman" w:hAnsi="Times New Roman"/>
                <w:b/>
                <w:bCs/>
                <w:color w:val="000000"/>
                <w:sz w:val="18"/>
                <w:szCs w:val="18"/>
              </w:rPr>
              <w:t>Summary of human studies investigating the effects of deep brain stimulation (DBS) in the deep cerebellar nuclei.</w:t>
            </w:r>
            <w:r w:rsidRPr="003634F8">
              <w:rPr>
                <w:rFonts w:ascii="Times New Roman" w:hAnsi="Times New Roman"/>
                <w:color w:val="000000"/>
                <w:sz w:val="18"/>
                <w:szCs w:val="18"/>
              </w:rPr>
              <w:t xml:space="preserve"> Studies are organized chronologically by year of publication, from earliest (top) to most recent (bottom). Note that several complementary studies followed the investigation by </w:t>
            </w:r>
            <w:r w:rsidRPr="003634F8">
              <w:rPr>
                <w:rFonts w:ascii="Times New Roman" w:hAnsi="Times New Roman"/>
                <w:i/>
                <w:iCs/>
                <w:color w:val="000000"/>
                <w:sz w:val="18"/>
                <w:szCs w:val="18"/>
              </w:rPr>
              <w:t>Baker, K. B., et al. (2023)</w:t>
            </w:r>
            <w:r w:rsidRPr="003634F8">
              <w:rPr>
                <w:rFonts w:ascii="Times New Roman" w:hAnsi="Times New Roman"/>
                <w:color w:val="000000"/>
                <w:sz w:val="18"/>
                <w:szCs w:val="18"/>
              </w:rPr>
              <w:t>; however, they are not included in this table as they examined the same cohort of implanted patients. VAS: Visual Analog pain Scale; Ashworth: Ashworth Spasticity Scale; URDS: Unified Dystonia Rating Scale; BADS: Barry-Albright Dystonia Rating Scale; F-T-M-RS: Fahn, Tolosa, Marin Tremor Rating Scale; SARA: Scale for the Assessment and Rating of Ataxia; ICARS: International Cooperative Ataxia Rating Scale; FMA-UE: Fugl-Meyer Upper-Extremity; AMAT: Arm Motor Ability Test; SCPs: superior cerebellar peduncles; DN: Dentate Nuclei.</w:t>
            </w:r>
          </w:p>
          <w:p w14:paraId="77C27EAD" w14:textId="77777777" w:rsidR="008072FE" w:rsidRPr="003634F8" w:rsidRDefault="008072FE" w:rsidP="00A55016">
            <w:pPr>
              <w:pStyle w:val="TableContents"/>
              <w:rPr>
                <w:rFonts w:ascii="Times New Roman" w:hAnsi="Times New Roman" w:cs="Times New Roman"/>
                <w:sz w:val="18"/>
                <w:szCs w:val="18"/>
              </w:rPr>
            </w:pPr>
          </w:p>
        </w:tc>
      </w:tr>
    </w:tbl>
    <w:p w14:paraId="5D6CCA4D" w14:textId="77777777" w:rsidR="008072FE" w:rsidRDefault="008072FE" w:rsidP="008072FE">
      <w:pPr>
        <w:jc w:val="both"/>
        <w:rPr>
          <w:rFonts w:ascii="Times New Roman" w:hAnsi="Times New Roman" w:cs="Times New Roman"/>
          <w:sz w:val="22"/>
          <w:szCs w:val="22"/>
        </w:rPr>
      </w:pPr>
    </w:p>
    <w:p w14:paraId="3199DF4A" w14:textId="77777777" w:rsidR="008072FE" w:rsidRDefault="008072FE" w:rsidP="008072FE">
      <w:pPr>
        <w:jc w:val="both"/>
        <w:rPr>
          <w:rFonts w:ascii="Times New Roman" w:hAnsi="Times New Roman" w:cs="Times New Roman"/>
          <w:sz w:val="22"/>
          <w:szCs w:val="22"/>
        </w:rPr>
      </w:pPr>
    </w:p>
    <w:p w14:paraId="7717E243" w14:textId="77777777" w:rsidR="008072FE" w:rsidRPr="00575D0A" w:rsidRDefault="008072FE" w:rsidP="008072FE">
      <w:pPr>
        <w:jc w:val="both"/>
        <w:rPr>
          <w:rFonts w:ascii="Times New Roman" w:hAnsi="Times New Roman" w:cs="Times New Roman"/>
          <w:b/>
          <w:bCs/>
          <w:i/>
          <w:iCs/>
          <w:u w:val="single"/>
        </w:rPr>
      </w:pPr>
      <w:r>
        <w:rPr>
          <w:rFonts w:ascii="Times New Roman" w:hAnsi="Times New Roman" w:cs="Times New Roman"/>
          <w:b/>
          <w:bCs/>
          <w:i/>
          <w:iCs/>
          <w:u w:val="single"/>
        </w:rPr>
        <w:t xml:space="preserve">Supplementary </w:t>
      </w:r>
      <w:r w:rsidRPr="00575D0A">
        <w:rPr>
          <w:rFonts w:ascii="Times New Roman" w:hAnsi="Times New Roman" w:cs="Times New Roman"/>
          <w:b/>
          <w:bCs/>
          <w:i/>
          <w:iCs/>
          <w:u w:val="single"/>
        </w:rPr>
        <w:t>Table</w:t>
      </w:r>
      <w:r>
        <w:rPr>
          <w:rFonts w:ascii="Times New Roman" w:hAnsi="Times New Roman" w:cs="Times New Roman"/>
          <w:b/>
          <w:bCs/>
          <w:i/>
          <w:iCs/>
          <w:u w:val="single"/>
        </w:rPr>
        <w:t xml:space="preserve"> 1</w:t>
      </w:r>
      <w:r w:rsidRPr="00575D0A">
        <w:rPr>
          <w:rFonts w:ascii="Times New Roman" w:hAnsi="Times New Roman" w:cs="Times New Roman"/>
          <w:b/>
          <w:bCs/>
          <w:i/>
          <w:iCs/>
          <w:u w:val="single"/>
        </w:rPr>
        <w:t xml:space="preserve"> references</w:t>
      </w:r>
    </w:p>
    <w:p w14:paraId="6A501002" w14:textId="77777777" w:rsidR="008072FE" w:rsidRPr="00575D0A" w:rsidRDefault="008072FE" w:rsidP="008072FE">
      <w:pPr>
        <w:jc w:val="both"/>
        <w:rPr>
          <w:rFonts w:ascii="Times New Roman" w:hAnsi="Times New Roman" w:cs="Times New Roman"/>
          <w:b/>
          <w:bCs/>
          <w:sz w:val="22"/>
          <w:szCs w:val="22"/>
        </w:rPr>
      </w:pPr>
    </w:p>
    <w:p w14:paraId="1C831DAE" w14:textId="77777777" w:rsidR="008072FE" w:rsidRPr="00575D0A" w:rsidRDefault="008072FE" w:rsidP="008072FE">
      <w:pPr>
        <w:autoSpaceDE w:val="0"/>
        <w:ind w:hanging="640"/>
        <w:jc w:val="both"/>
        <w:rPr>
          <w:rFonts w:ascii="Times New Roman" w:eastAsia="Times New Roman" w:hAnsi="Times New Roman" w:cs="Times New Roman"/>
          <w:color w:val="000000"/>
          <w:kern w:val="0"/>
          <w:sz w:val="22"/>
          <w:szCs w:val="22"/>
        </w:rPr>
      </w:pPr>
      <w:r w:rsidRPr="00575D0A">
        <w:rPr>
          <w:rFonts w:ascii="Times New Roman" w:eastAsia="Times New Roman" w:hAnsi="Times New Roman" w:cs="Times New Roman"/>
          <w:color w:val="000000"/>
          <w:sz w:val="22"/>
          <w:szCs w:val="22"/>
        </w:rPr>
        <w:t>[1]</w:t>
      </w:r>
      <w:r w:rsidRPr="00575D0A">
        <w:rPr>
          <w:rFonts w:ascii="Times New Roman" w:eastAsia="Times New Roman" w:hAnsi="Times New Roman" w:cs="Times New Roman"/>
          <w:color w:val="000000"/>
          <w:sz w:val="22"/>
          <w:szCs w:val="22"/>
        </w:rPr>
        <w:tab/>
        <w:t xml:space="preserve">Sokal P, </w:t>
      </w:r>
      <w:proofErr w:type="spellStart"/>
      <w:r w:rsidRPr="00575D0A">
        <w:rPr>
          <w:rFonts w:ascii="Times New Roman" w:eastAsia="Times New Roman" w:hAnsi="Times New Roman" w:cs="Times New Roman"/>
          <w:color w:val="000000"/>
          <w:sz w:val="22"/>
          <w:szCs w:val="22"/>
        </w:rPr>
        <w:t>Rudaś</w:t>
      </w:r>
      <w:proofErr w:type="spellEnd"/>
      <w:r w:rsidRPr="00575D0A">
        <w:rPr>
          <w:rFonts w:ascii="Times New Roman" w:eastAsia="Times New Roman" w:hAnsi="Times New Roman" w:cs="Times New Roman"/>
          <w:color w:val="000000"/>
          <w:sz w:val="22"/>
          <w:szCs w:val="22"/>
        </w:rPr>
        <w:t xml:space="preserve"> M, Harat M, </w:t>
      </w:r>
      <w:proofErr w:type="spellStart"/>
      <w:r w:rsidRPr="00575D0A">
        <w:rPr>
          <w:rFonts w:ascii="Times New Roman" w:eastAsia="Times New Roman" w:hAnsi="Times New Roman" w:cs="Times New Roman"/>
          <w:color w:val="000000"/>
          <w:sz w:val="22"/>
          <w:szCs w:val="22"/>
        </w:rPr>
        <w:t>Szylberg</w:t>
      </w:r>
      <w:proofErr w:type="spellEnd"/>
      <w:r w:rsidRPr="00575D0A">
        <w:rPr>
          <w:rFonts w:ascii="Times New Roman" w:eastAsia="Times New Roman" w:hAnsi="Times New Roman" w:cs="Times New Roman"/>
          <w:color w:val="000000"/>
          <w:sz w:val="22"/>
          <w:szCs w:val="22"/>
        </w:rPr>
        <w:t xml:space="preserve"> Ł, Zieliński P. Deep anterior cerebellar stimulation reduces symptoms of secondary dystonia in patients with cerebral palsy treated due to spasticity. Clin Neurol </w:t>
      </w:r>
      <w:proofErr w:type="spellStart"/>
      <w:r w:rsidRPr="00575D0A">
        <w:rPr>
          <w:rFonts w:ascii="Times New Roman" w:eastAsia="Times New Roman" w:hAnsi="Times New Roman" w:cs="Times New Roman"/>
          <w:color w:val="000000"/>
          <w:sz w:val="22"/>
          <w:szCs w:val="22"/>
        </w:rPr>
        <w:t>Neurosurg</w:t>
      </w:r>
      <w:proofErr w:type="spellEnd"/>
      <w:r w:rsidRPr="00575D0A">
        <w:rPr>
          <w:rFonts w:ascii="Times New Roman" w:eastAsia="Times New Roman" w:hAnsi="Times New Roman" w:cs="Times New Roman"/>
          <w:color w:val="000000"/>
          <w:sz w:val="22"/>
          <w:szCs w:val="22"/>
        </w:rPr>
        <w:t xml:space="preserve"> 2015;135:62–8. https://doi.org/https://doi.org/10.1016/j.clineuro.2015.05.017.</w:t>
      </w:r>
    </w:p>
    <w:p w14:paraId="6D1666D6" w14:textId="77777777" w:rsidR="008072FE" w:rsidRPr="00575D0A" w:rsidRDefault="008072FE" w:rsidP="008072FE">
      <w:pPr>
        <w:autoSpaceDE w:val="0"/>
        <w:ind w:hanging="640"/>
        <w:jc w:val="both"/>
        <w:rPr>
          <w:rFonts w:ascii="Times New Roman" w:eastAsia="Times New Roman" w:hAnsi="Times New Roman" w:cs="Times New Roman"/>
          <w:color w:val="000000"/>
          <w:sz w:val="22"/>
          <w:szCs w:val="22"/>
          <w:lang w:val="da-DK"/>
        </w:rPr>
      </w:pPr>
      <w:r w:rsidRPr="00575D0A">
        <w:rPr>
          <w:rFonts w:ascii="Times New Roman" w:eastAsia="Times New Roman" w:hAnsi="Times New Roman" w:cs="Times New Roman"/>
          <w:color w:val="000000"/>
          <w:sz w:val="22"/>
          <w:szCs w:val="22"/>
        </w:rPr>
        <w:t>[2]</w:t>
      </w:r>
      <w:r w:rsidRPr="00575D0A">
        <w:rPr>
          <w:rFonts w:ascii="Times New Roman" w:eastAsia="Times New Roman" w:hAnsi="Times New Roman" w:cs="Times New Roman"/>
          <w:color w:val="000000"/>
          <w:sz w:val="22"/>
          <w:szCs w:val="22"/>
        </w:rPr>
        <w:tab/>
        <w:t xml:space="preserve">Teixeira MJ, Cury RG, </w:t>
      </w:r>
      <w:proofErr w:type="spellStart"/>
      <w:r w:rsidRPr="00575D0A">
        <w:rPr>
          <w:rFonts w:ascii="Times New Roman" w:eastAsia="Times New Roman" w:hAnsi="Times New Roman" w:cs="Times New Roman"/>
          <w:color w:val="000000"/>
          <w:sz w:val="22"/>
          <w:szCs w:val="22"/>
        </w:rPr>
        <w:t>Galhardoni</w:t>
      </w:r>
      <w:proofErr w:type="spellEnd"/>
      <w:r w:rsidRPr="00575D0A">
        <w:rPr>
          <w:rFonts w:ascii="Times New Roman" w:eastAsia="Times New Roman" w:hAnsi="Times New Roman" w:cs="Times New Roman"/>
          <w:color w:val="000000"/>
          <w:sz w:val="22"/>
          <w:szCs w:val="22"/>
        </w:rPr>
        <w:t xml:space="preserve"> R, Barboza VR, </w:t>
      </w:r>
      <w:proofErr w:type="spellStart"/>
      <w:r w:rsidRPr="00575D0A">
        <w:rPr>
          <w:rFonts w:ascii="Times New Roman" w:eastAsia="Times New Roman" w:hAnsi="Times New Roman" w:cs="Times New Roman"/>
          <w:color w:val="000000"/>
          <w:sz w:val="22"/>
          <w:szCs w:val="22"/>
        </w:rPr>
        <w:t>Brunoni</w:t>
      </w:r>
      <w:proofErr w:type="spellEnd"/>
      <w:r w:rsidRPr="00575D0A">
        <w:rPr>
          <w:rFonts w:ascii="Times New Roman" w:eastAsia="Times New Roman" w:hAnsi="Times New Roman" w:cs="Times New Roman"/>
          <w:color w:val="000000"/>
          <w:sz w:val="22"/>
          <w:szCs w:val="22"/>
        </w:rPr>
        <w:t xml:space="preserve"> AR, Alho E, et al. Deep brain stimulation of the dentate nucleus improves cerebellar ataxia after cerebellar stroke. </w:t>
      </w:r>
      <w:r w:rsidRPr="00575D0A">
        <w:rPr>
          <w:rFonts w:ascii="Times New Roman" w:eastAsia="Times New Roman" w:hAnsi="Times New Roman" w:cs="Times New Roman"/>
          <w:color w:val="000000"/>
          <w:sz w:val="22"/>
          <w:szCs w:val="22"/>
          <w:lang w:val="da-DK"/>
        </w:rPr>
        <w:t>Neurology 2015;85:2075–6. https://doi.org/10.1212/WNL.0000000000002204.</w:t>
      </w:r>
    </w:p>
    <w:p w14:paraId="0F741CA7" w14:textId="77777777" w:rsidR="008072FE" w:rsidRPr="00BE7A85" w:rsidRDefault="008072FE" w:rsidP="008072FE">
      <w:pPr>
        <w:autoSpaceDE w:val="0"/>
        <w:ind w:hanging="640"/>
        <w:jc w:val="both"/>
        <w:rPr>
          <w:rFonts w:ascii="Times New Roman" w:eastAsia="Times New Roman" w:hAnsi="Times New Roman" w:cs="Times New Roman"/>
          <w:color w:val="000000"/>
          <w:sz w:val="22"/>
          <w:szCs w:val="22"/>
          <w:lang w:val="da-DK"/>
        </w:rPr>
      </w:pPr>
      <w:r w:rsidRPr="00575D0A">
        <w:rPr>
          <w:rFonts w:ascii="Times New Roman" w:eastAsia="Times New Roman" w:hAnsi="Times New Roman" w:cs="Times New Roman"/>
          <w:color w:val="000000"/>
          <w:sz w:val="22"/>
          <w:szCs w:val="22"/>
          <w:lang w:val="da-DK"/>
        </w:rPr>
        <w:t>[3]</w:t>
      </w:r>
      <w:r w:rsidRPr="00575D0A">
        <w:rPr>
          <w:rFonts w:ascii="Times New Roman" w:eastAsia="Times New Roman" w:hAnsi="Times New Roman" w:cs="Times New Roman"/>
          <w:color w:val="000000"/>
          <w:sz w:val="22"/>
          <w:szCs w:val="22"/>
          <w:lang w:val="da-DK"/>
        </w:rPr>
        <w:tab/>
        <w:t xml:space="preserve">Cury RG, França C, Barbosa ER, Galhardoni R, Lepski G, Teixeira MJ, et al. </w:t>
      </w:r>
      <w:r w:rsidRPr="00575D0A">
        <w:rPr>
          <w:rFonts w:ascii="Times New Roman" w:eastAsia="Times New Roman" w:hAnsi="Times New Roman" w:cs="Times New Roman"/>
          <w:color w:val="000000"/>
          <w:sz w:val="22"/>
          <w:szCs w:val="22"/>
        </w:rPr>
        <w:t xml:space="preserve">Dentate nucleus stimulation in a patient with cerebellar ataxia and tremor after cerebellar stroke: A long-term follow-up. </w:t>
      </w:r>
      <w:r w:rsidRPr="00BE7A85">
        <w:rPr>
          <w:rFonts w:ascii="Times New Roman" w:eastAsia="Times New Roman" w:hAnsi="Times New Roman" w:cs="Times New Roman"/>
          <w:color w:val="000000"/>
          <w:sz w:val="22"/>
          <w:szCs w:val="22"/>
          <w:lang w:val="da-DK"/>
        </w:rPr>
        <w:t>Parkinsonism Relat Disord 2019;60:173–5. https://doi.org/https://doi.org/10.1016/j.parkreldis.2018.10.001.</w:t>
      </w:r>
    </w:p>
    <w:p w14:paraId="747BDE59" w14:textId="77777777" w:rsidR="008072FE" w:rsidRPr="00575D0A" w:rsidRDefault="008072FE" w:rsidP="008072FE">
      <w:pPr>
        <w:autoSpaceDE w:val="0"/>
        <w:ind w:hanging="640"/>
        <w:jc w:val="both"/>
        <w:rPr>
          <w:rFonts w:ascii="Times New Roman" w:eastAsia="Times New Roman" w:hAnsi="Times New Roman" w:cs="Times New Roman"/>
          <w:color w:val="000000"/>
          <w:sz w:val="22"/>
          <w:szCs w:val="22"/>
        </w:rPr>
      </w:pPr>
      <w:r w:rsidRPr="00575D0A">
        <w:rPr>
          <w:rFonts w:ascii="Times New Roman" w:eastAsia="Times New Roman" w:hAnsi="Times New Roman" w:cs="Times New Roman"/>
          <w:color w:val="000000"/>
          <w:sz w:val="22"/>
          <w:szCs w:val="22"/>
          <w:lang w:val="da-DK"/>
        </w:rPr>
        <w:t>[4]</w:t>
      </w:r>
      <w:r w:rsidRPr="00575D0A">
        <w:rPr>
          <w:rFonts w:ascii="Times New Roman" w:eastAsia="Times New Roman" w:hAnsi="Times New Roman" w:cs="Times New Roman"/>
          <w:color w:val="000000"/>
          <w:sz w:val="22"/>
          <w:szCs w:val="22"/>
          <w:lang w:val="da-DK"/>
        </w:rPr>
        <w:tab/>
        <w:t xml:space="preserve">Cury RG, França C, Silva V, Barbosa ER, Capato TTC, Lepski G, et al. </w:t>
      </w:r>
      <w:r w:rsidRPr="00575D0A">
        <w:rPr>
          <w:rFonts w:ascii="Times New Roman" w:eastAsia="Times New Roman" w:hAnsi="Times New Roman" w:cs="Times New Roman"/>
          <w:color w:val="000000"/>
          <w:sz w:val="22"/>
          <w:szCs w:val="22"/>
        </w:rPr>
        <w:t xml:space="preserve">Effects of dentate nucleus stimulation in spinocerebellar ataxia type 3. Parkinsonism </w:t>
      </w:r>
      <w:proofErr w:type="spellStart"/>
      <w:r w:rsidRPr="00575D0A">
        <w:rPr>
          <w:rFonts w:ascii="Times New Roman" w:eastAsia="Times New Roman" w:hAnsi="Times New Roman" w:cs="Times New Roman"/>
          <w:color w:val="000000"/>
          <w:sz w:val="22"/>
          <w:szCs w:val="22"/>
        </w:rPr>
        <w:t>Relat</w:t>
      </w:r>
      <w:proofErr w:type="spellEnd"/>
      <w:r w:rsidRPr="00575D0A">
        <w:rPr>
          <w:rFonts w:ascii="Times New Roman" w:eastAsia="Times New Roman" w:hAnsi="Times New Roman" w:cs="Times New Roman"/>
          <w:color w:val="000000"/>
          <w:sz w:val="22"/>
          <w:szCs w:val="22"/>
        </w:rPr>
        <w:t xml:space="preserve"> </w:t>
      </w:r>
      <w:proofErr w:type="spellStart"/>
      <w:r w:rsidRPr="00575D0A">
        <w:rPr>
          <w:rFonts w:ascii="Times New Roman" w:eastAsia="Times New Roman" w:hAnsi="Times New Roman" w:cs="Times New Roman"/>
          <w:color w:val="000000"/>
          <w:sz w:val="22"/>
          <w:szCs w:val="22"/>
        </w:rPr>
        <w:t>Disord</w:t>
      </w:r>
      <w:proofErr w:type="spellEnd"/>
      <w:r w:rsidRPr="00575D0A">
        <w:rPr>
          <w:rFonts w:ascii="Times New Roman" w:eastAsia="Times New Roman" w:hAnsi="Times New Roman" w:cs="Times New Roman"/>
          <w:color w:val="000000"/>
          <w:sz w:val="22"/>
          <w:szCs w:val="22"/>
        </w:rPr>
        <w:t xml:space="preserve"> 2019;69:91–3. https://doi.org/https://doi.org/10.1016/j.parkreldis.2019.10.029.</w:t>
      </w:r>
    </w:p>
    <w:p w14:paraId="4F0DF890" w14:textId="77777777" w:rsidR="008072FE" w:rsidRPr="00575D0A" w:rsidRDefault="008072FE" w:rsidP="008072FE">
      <w:pPr>
        <w:autoSpaceDE w:val="0"/>
        <w:ind w:hanging="640"/>
        <w:jc w:val="both"/>
        <w:rPr>
          <w:rFonts w:ascii="Times New Roman" w:eastAsia="Times New Roman" w:hAnsi="Times New Roman" w:cs="Times New Roman"/>
          <w:color w:val="000000"/>
          <w:sz w:val="22"/>
          <w:szCs w:val="22"/>
        </w:rPr>
      </w:pPr>
      <w:r w:rsidRPr="00575D0A">
        <w:rPr>
          <w:rFonts w:ascii="Times New Roman" w:eastAsia="Times New Roman" w:hAnsi="Times New Roman" w:cs="Times New Roman"/>
          <w:color w:val="000000"/>
          <w:sz w:val="22"/>
          <w:szCs w:val="22"/>
        </w:rPr>
        <w:t>[5]</w:t>
      </w:r>
      <w:r w:rsidRPr="00575D0A">
        <w:rPr>
          <w:rFonts w:ascii="Times New Roman" w:eastAsia="Times New Roman" w:hAnsi="Times New Roman" w:cs="Times New Roman"/>
          <w:color w:val="000000"/>
          <w:sz w:val="22"/>
          <w:szCs w:val="22"/>
        </w:rPr>
        <w:tab/>
        <w:t xml:space="preserve">Brown EG, Bledsoe IO, Luthra NS, </w:t>
      </w:r>
      <w:proofErr w:type="spellStart"/>
      <w:r w:rsidRPr="00575D0A">
        <w:rPr>
          <w:rFonts w:ascii="Times New Roman" w:eastAsia="Times New Roman" w:hAnsi="Times New Roman" w:cs="Times New Roman"/>
          <w:color w:val="000000"/>
          <w:sz w:val="22"/>
          <w:szCs w:val="22"/>
        </w:rPr>
        <w:t>Miocinovic</w:t>
      </w:r>
      <w:proofErr w:type="spellEnd"/>
      <w:r w:rsidRPr="00575D0A">
        <w:rPr>
          <w:rFonts w:ascii="Times New Roman" w:eastAsia="Times New Roman" w:hAnsi="Times New Roman" w:cs="Times New Roman"/>
          <w:color w:val="000000"/>
          <w:sz w:val="22"/>
          <w:szCs w:val="22"/>
        </w:rPr>
        <w:t xml:space="preserve"> S, Starr PA, Ostrem JL. Cerebellar Deep Brain Stimulation for Acquired </w:t>
      </w:r>
      <w:proofErr w:type="spellStart"/>
      <w:r w:rsidRPr="00575D0A">
        <w:rPr>
          <w:rFonts w:ascii="Times New Roman" w:eastAsia="Times New Roman" w:hAnsi="Times New Roman" w:cs="Times New Roman"/>
          <w:color w:val="000000"/>
          <w:sz w:val="22"/>
          <w:szCs w:val="22"/>
        </w:rPr>
        <w:t>Hemidystonia</w:t>
      </w:r>
      <w:proofErr w:type="spellEnd"/>
      <w:r w:rsidRPr="00575D0A">
        <w:rPr>
          <w:rFonts w:ascii="Times New Roman" w:eastAsia="Times New Roman" w:hAnsi="Times New Roman" w:cs="Times New Roman"/>
          <w:color w:val="000000"/>
          <w:sz w:val="22"/>
          <w:szCs w:val="22"/>
        </w:rPr>
        <w:t xml:space="preserve">. Mov </w:t>
      </w:r>
      <w:proofErr w:type="spellStart"/>
      <w:r w:rsidRPr="00575D0A">
        <w:rPr>
          <w:rFonts w:ascii="Times New Roman" w:eastAsia="Times New Roman" w:hAnsi="Times New Roman" w:cs="Times New Roman"/>
          <w:color w:val="000000"/>
          <w:sz w:val="22"/>
          <w:szCs w:val="22"/>
        </w:rPr>
        <w:t>Disord</w:t>
      </w:r>
      <w:proofErr w:type="spellEnd"/>
      <w:r w:rsidRPr="00575D0A">
        <w:rPr>
          <w:rFonts w:ascii="Times New Roman" w:eastAsia="Times New Roman" w:hAnsi="Times New Roman" w:cs="Times New Roman"/>
          <w:color w:val="000000"/>
          <w:sz w:val="22"/>
          <w:szCs w:val="22"/>
        </w:rPr>
        <w:t xml:space="preserve"> Clin </w:t>
      </w:r>
      <w:proofErr w:type="spellStart"/>
      <w:r w:rsidRPr="00575D0A">
        <w:rPr>
          <w:rFonts w:ascii="Times New Roman" w:eastAsia="Times New Roman" w:hAnsi="Times New Roman" w:cs="Times New Roman"/>
          <w:color w:val="000000"/>
          <w:sz w:val="22"/>
          <w:szCs w:val="22"/>
        </w:rPr>
        <w:t>Pract</w:t>
      </w:r>
      <w:proofErr w:type="spellEnd"/>
      <w:r w:rsidRPr="00575D0A">
        <w:rPr>
          <w:rFonts w:ascii="Times New Roman" w:eastAsia="Times New Roman" w:hAnsi="Times New Roman" w:cs="Times New Roman"/>
          <w:color w:val="000000"/>
          <w:sz w:val="22"/>
          <w:szCs w:val="22"/>
        </w:rPr>
        <w:t xml:space="preserve"> 2020;7:188–93. https://doi.org/https://doi.org/10.1002/mdc3.12876.</w:t>
      </w:r>
    </w:p>
    <w:p w14:paraId="66058C72" w14:textId="77777777" w:rsidR="008072FE" w:rsidRPr="00575D0A" w:rsidRDefault="008072FE" w:rsidP="008072FE">
      <w:pPr>
        <w:autoSpaceDE w:val="0"/>
        <w:ind w:hanging="640"/>
        <w:jc w:val="both"/>
        <w:rPr>
          <w:rFonts w:ascii="Times New Roman" w:eastAsia="Times New Roman" w:hAnsi="Times New Roman" w:cs="Times New Roman"/>
          <w:color w:val="000000"/>
          <w:sz w:val="22"/>
          <w:szCs w:val="22"/>
        </w:rPr>
      </w:pPr>
      <w:r w:rsidRPr="00575D0A">
        <w:rPr>
          <w:rFonts w:ascii="Times New Roman" w:eastAsia="Times New Roman" w:hAnsi="Times New Roman" w:cs="Times New Roman"/>
          <w:color w:val="000000"/>
          <w:sz w:val="22"/>
          <w:szCs w:val="22"/>
        </w:rPr>
        <w:t>[6]</w:t>
      </w:r>
      <w:r w:rsidRPr="00575D0A">
        <w:rPr>
          <w:rFonts w:ascii="Times New Roman" w:eastAsia="Times New Roman" w:hAnsi="Times New Roman" w:cs="Times New Roman"/>
          <w:color w:val="000000"/>
          <w:sz w:val="22"/>
          <w:szCs w:val="22"/>
        </w:rPr>
        <w:tab/>
      </w:r>
      <w:proofErr w:type="spellStart"/>
      <w:r w:rsidRPr="00575D0A">
        <w:rPr>
          <w:rFonts w:ascii="Times New Roman" w:eastAsia="Times New Roman" w:hAnsi="Times New Roman" w:cs="Times New Roman"/>
          <w:color w:val="000000"/>
          <w:sz w:val="22"/>
          <w:szCs w:val="22"/>
        </w:rPr>
        <w:t>Horisawa</w:t>
      </w:r>
      <w:proofErr w:type="spellEnd"/>
      <w:r w:rsidRPr="00575D0A">
        <w:rPr>
          <w:rFonts w:ascii="Times New Roman" w:eastAsia="Times New Roman" w:hAnsi="Times New Roman" w:cs="Times New Roman"/>
          <w:color w:val="000000"/>
          <w:sz w:val="22"/>
          <w:szCs w:val="22"/>
        </w:rPr>
        <w:t xml:space="preserve"> S, Arai T, Suzuki N, Kawamata T, Taira T. The striking effects of deep cerebellar stimulation on generalized fixed dystonia: case report. Journal of Neurosurgery JNS 2020;132:712–6. https://doi.org/https://doi.org/10.3171/2018.11.JNS182180.</w:t>
      </w:r>
    </w:p>
    <w:p w14:paraId="7DE9CCF9" w14:textId="77777777" w:rsidR="008072FE" w:rsidRPr="00575D0A" w:rsidRDefault="008072FE" w:rsidP="008072FE">
      <w:pPr>
        <w:autoSpaceDE w:val="0"/>
        <w:ind w:hanging="640"/>
        <w:jc w:val="both"/>
        <w:rPr>
          <w:rFonts w:ascii="Times New Roman" w:eastAsia="Times New Roman" w:hAnsi="Times New Roman" w:cs="Times New Roman"/>
          <w:color w:val="000000"/>
          <w:sz w:val="22"/>
          <w:szCs w:val="22"/>
        </w:rPr>
      </w:pPr>
      <w:r w:rsidRPr="00575D0A">
        <w:rPr>
          <w:rFonts w:ascii="Times New Roman" w:eastAsia="Times New Roman" w:hAnsi="Times New Roman" w:cs="Times New Roman"/>
          <w:color w:val="000000"/>
          <w:sz w:val="22"/>
          <w:szCs w:val="22"/>
        </w:rPr>
        <w:t>[7]</w:t>
      </w:r>
      <w:r w:rsidRPr="00575D0A">
        <w:rPr>
          <w:rFonts w:ascii="Times New Roman" w:eastAsia="Times New Roman" w:hAnsi="Times New Roman" w:cs="Times New Roman"/>
          <w:color w:val="000000"/>
          <w:sz w:val="22"/>
          <w:szCs w:val="22"/>
        </w:rPr>
        <w:tab/>
        <w:t>Lin S, Zhang C, Li H, Wang Y, Wu Y, Wang T, et al. High Frequency Deep Brain Stimulation of Superior Cerebellar Peduncles in a Patient with Cerebral Palsy. Tremor and Other Hyperkinetic Movements 2020. https://doi.org/10.5334/tohm.551.</w:t>
      </w:r>
    </w:p>
    <w:p w14:paraId="0D696B50" w14:textId="77777777" w:rsidR="008072FE" w:rsidRPr="00575D0A" w:rsidRDefault="008072FE" w:rsidP="008072FE">
      <w:pPr>
        <w:autoSpaceDE w:val="0"/>
        <w:ind w:hanging="640"/>
        <w:jc w:val="both"/>
        <w:rPr>
          <w:rFonts w:ascii="Times New Roman" w:eastAsia="Times New Roman" w:hAnsi="Times New Roman" w:cs="Times New Roman"/>
          <w:color w:val="000000"/>
          <w:sz w:val="22"/>
          <w:szCs w:val="22"/>
        </w:rPr>
      </w:pPr>
      <w:r w:rsidRPr="00575D0A">
        <w:rPr>
          <w:rFonts w:ascii="Times New Roman" w:eastAsia="Times New Roman" w:hAnsi="Times New Roman" w:cs="Times New Roman"/>
          <w:color w:val="000000"/>
          <w:sz w:val="22"/>
          <w:szCs w:val="22"/>
        </w:rPr>
        <w:t>[8]</w:t>
      </w:r>
      <w:r w:rsidRPr="00575D0A">
        <w:rPr>
          <w:rFonts w:ascii="Times New Roman" w:eastAsia="Times New Roman" w:hAnsi="Times New Roman" w:cs="Times New Roman"/>
          <w:color w:val="000000"/>
          <w:sz w:val="22"/>
          <w:szCs w:val="22"/>
        </w:rPr>
        <w:tab/>
      </w:r>
      <w:proofErr w:type="spellStart"/>
      <w:r w:rsidRPr="00575D0A">
        <w:rPr>
          <w:rFonts w:ascii="Times New Roman" w:eastAsia="Times New Roman" w:hAnsi="Times New Roman" w:cs="Times New Roman"/>
          <w:color w:val="000000"/>
          <w:sz w:val="22"/>
          <w:szCs w:val="22"/>
        </w:rPr>
        <w:t>Horisawa</w:t>
      </w:r>
      <w:proofErr w:type="spellEnd"/>
      <w:r w:rsidRPr="00575D0A">
        <w:rPr>
          <w:rFonts w:ascii="Times New Roman" w:eastAsia="Times New Roman" w:hAnsi="Times New Roman" w:cs="Times New Roman"/>
          <w:color w:val="000000"/>
          <w:sz w:val="22"/>
          <w:szCs w:val="22"/>
        </w:rPr>
        <w:t xml:space="preserve"> S, Kohara K, Nonaka T, Mochizuki T, Kawamata T, Taira T. Case Report: Deep Cerebellar Stimulation for Tremor and Dystonia. Front Neurol 2021;Volume 12-2021.</w:t>
      </w:r>
    </w:p>
    <w:p w14:paraId="2046A379" w14:textId="77777777" w:rsidR="008072FE" w:rsidRPr="00BE7A85" w:rsidRDefault="008072FE" w:rsidP="008072FE">
      <w:pPr>
        <w:autoSpaceDE w:val="0"/>
        <w:ind w:hanging="640"/>
        <w:jc w:val="both"/>
        <w:rPr>
          <w:rFonts w:ascii="Times New Roman" w:eastAsia="Times New Roman" w:hAnsi="Times New Roman" w:cs="Times New Roman"/>
          <w:color w:val="000000"/>
          <w:sz w:val="22"/>
          <w:szCs w:val="22"/>
        </w:rPr>
      </w:pPr>
      <w:r w:rsidRPr="00575D0A">
        <w:rPr>
          <w:rFonts w:ascii="Times New Roman" w:eastAsia="Times New Roman" w:hAnsi="Times New Roman" w:cs="Times New Roman"/>
          <w:color w:val="000000"/>
          <w:sz w:val="22"/>
          <w:szCs w:val="22"/>
        </w:rPr>
        <w:t>[9]</w:t>
      </w:r>
      <w:r w:rsidRPr="00575D0A">
        <w:rPr>
          <w:rFonts w:ascii="Times New Roman" w:eastAsia="Times New Roman" w:hAnsi="Times New Roman" w:cs="Times New Roman"/>
          <w:color w:val="000000"/>
          <w:sz w:val="22"/>
          <w:szCs w:val="22"/>
        </w:rPr>
        <w:tab/>
        <w:t xml:space="preserve">Paraguay IB, França C, Duarte KP, Diniz JM, Galhardoni R, Silva V, et al. Dentate nucleus stimulation for essential tremor. </w:t>
      </w:r>
      <w:r w:rsidRPr="00BE7A85">
        <w:rPr>
          <w:rFonts w:ascii="Times New Roman" w:eastAsia="Times New Roman" w:hAnsi="Times New Roman" w:cs="Times New Roman"/>
          <w:color w:val="000000"/>
          <w:sz w:val="22"/>
          <w:szCs w:val="22"/>
        </w:rPr>
        <w:t xml:space="preserve">Parkinsonism </w:t>
      </w:r>
      <w:proofErr w:type="spellStart"/>
      <w:r w:rsidRPr="00BE7A85">
        <w:rPr>
          <w:rFonts w:ascii="Times New Roman" w:eastAsia="Times New Roman" w:hAnsi="Times New Roman" w:cs="Times New Roman"/>
          <w:color w:val="000000"/>
          <w:sz w:val="22"/>
          <w:szCs w:val="22"/>
        </w:rPr>
        <w:t>Relat</w:t>
      </w:r>
      <w:proofErr w:type="spellEnd"/>
      <w:r w:rsidRPr="00BE7A85">
        <w:rPr>
          <w:rFonts w:ascii="Times New Roman" w:eastAsia="Times New Roman" w:hAnsi="Times New Roman" w:cs="Times New Roman"/>
          <w:color w:val="000000"/>
          <w:sz w:val="22"/>
          <w:szCs w:val="22"/>
        </w:rPr>
        <w:t xml:space="preserve"> </w:t>
      </w:r>
      <w:proofErr w:type="spellStart"/>
      <w:r w:rsidRPr="00BE7A85">
        <w:rPr>
          <w:rFonts w:ascii="Times New Roman" w:eastAsia="Times New Roman" w:hAnsi="Times New Roman" w:cs="Times New Roman"/>
          <w:color w:val="000000"/>
          <w:sz w:val="22"/>
          <w:szCs w:val="22"/>
        </w:rPr>
        <w:t>Disord</w:t>
      </w:r>
      <w:proofErr w:type="spellEnd"/>
      <w:r w:rsidRPr="00BE7A85">
        <w:rPr>
          <w:rFonts w:ascii="Times New Roman" w:eastAsia="Times New Roman" w:hAnsi="Times New Roman" w:cs="Times New Roman"/>
          <w:color w:val="000000"/>
          <w:sz w:val="22"/>
          <w:szCs w:val="22"/>
        </w:rPr>
        <w:t xml:space="preserve"> 2021;82:121–2. https://doi.org/https://doi.org/10.1016/j.parkreldis.2020.12.001.</w:t>
      </w:r>
    </w:p>
    <w:p w14:paraId="50FA1067" w14:textId="77777777" w:rsidR="008072FE" w:rsidRPr="00575D0A" w:rsidRDefault="008072FE" w:rsidP="008072FE">
      <w:pPr>
        <w:autoSpaceDE w:val="0"/>
        <w:ind w:hanging="640"/>
        <w:jc w:val="both"/>
        <w:rPr>
          <w:rFonts w:ascii="Times New Roman" w:eastAsia="Times New Roman" w:hAnsi="Times New Roman" w:cs="Times New Roman"/>
          <w:color w:val="000000"/>
          <w:sz w:val="22"/>
          <w:szCs w:val="22"/>
        </w:rPr>
      </w:pPr>
      <w:r w:rsidRPr="00575D0A">
        <w:rPr>
          <w:rFonts w:ascii="Times New Roman" w:eastAsia="Times New Roman" w:hAnsi="Times New Roman" w:cs="Times New Roman"/>
          <w:color w:val="000000"/>
          <w:sz w:val="22"/>
          <w:szCs w:val="22"/>
          <w:lang w:val="da-DK"/>
        </w:rPr>
        <w:t>[10]</w:t>
      </w:r>
      <w:r w:rsidRPr="00575D0A">
        <w:rPr>
          <w:rFonts w:ascii="Times New Roman" w:eastAsia="Times New Roman" w:hAnsi="Times New Roman" w:cs="Times New Roman"/>
          <w:color w:val="000000"/>
          <w:sz w:val="22"/>
          <w:szCs w:val="22"/>
          <w:lang w:val="da-DK"/>
        </w:rPr>
        <w:tab/>
        <w:t xml:space="preserve">Cury RG, França C, Duarte KP, Paraguay I, Diniz JM, Cunha P, et al. </w:t>
      </w:r>
      <w:r w:rsidRPr="00575D0A">
        <w:rPr>
          <w:rFonts w:ascii="Times New Roman" w:eastAsia="Times New Roman" w:hAnsi="Times New Roman" w:cs="Times New Roman"/>
          <w:color w:val="000000"/>
          <w:sz w:val="22"/>
          <w:szCs w:val="22"/>
        </w:rPr>
        <w:t>Safety and Outcomes of Dentate Nucleus Deep Brain Stimulation for Cerebellar Ataxia. The Cerebellum 2022;21:861–5. https://doi.org/10.1007/s12311-021-01326-8.</w:t>
      </w:r>
    </w:p>
    <w:p w14:paraId="24542925" w14:textId="77777777" w:rsidR="008072FE" w:rsidRPr="00575D0A" w:rsidRDefault="008072FE" w:rsidP="008072FE">
      <w:pPr>
        <w:autoSpaceDE w:val="0"/>
        <w:ind w:hanging="640"/>
        <w:jc w:val="both"/>
        <w:rPr>
          <w:rFonts w:ascii="Times New Roman" w:eastAsia="Times New Roman" w:hAnsi="Times New Roman" w:cs="Times New Roman"/>
          <w:color w:val="000000"/>
          <w:sz w:val="22"/>
          <w:szCs w:val="22"/>
        </w:rPr>
      </w:pPr>
      <w:r w:rsidRPr="00BE7A85">
        <w:rPr>
          <w:rFonts w:ascii="Times New Roman" w:eastAsia="Times New Roman" w:hAnsi="Times New Roman" w:cs="Times New Roman"/>
          <w:color w:val="000000"/>
          <w:sz w:val="22"/>
          <w:szCs w:val="22"/>
          <w:lang w:val="da-DK"/>
        </w:rPr>
        <w:t>[11]</w:t>
      </w:r>
      <w:r w:rsidRPr="00BE7A85">
        <w:rPr>
          <w:rFonts w:ascii="Times New Roman" w:eastAsia="Times New Roman" w:hAnsi="Times New Roman" w:cs="Times New Roman"/>
          <w:color w:val="000000"/>
          <w:sz w:val="22"/>
          <w:szCs w:val="22"/>
          <w:lang w:val="da-DK"/>
        </w:rPr>
        <w:tab/>
        <w:t xml:space="preserve">Cui Z, Lan Y, Chang Y, Liu X, Wang J, Lou X, et al. </w:t>
      </w:r>
      <w:r w:rsidRPr="00575D0A">
        <w:rPr>
          <w:rFonts w:ascii="Times New Roman" w:eastAsia="Times New Roman" w:hAnsi="Times New Roman" w:cs="Times New Roman"/>
          <w:color w:val="000000"/>
          <w:sz w:val="22"/>
          <w:szCs w:val="22"/>
        </w:rPr>
        <w:t>Case report: Short-term efficacy and changes in 18F-FDG-PET with acute multi-target stimulation in spinocerebellar ataxia type 3 (SCA3/MJD). Front Neurol 2023;Volume 14-2023.</w:t>
      </w:r>
    </w:p>
    <w:p w14:paraId="4BBB2F3B" w14:textId="77777777" w:rsidR="008072FE" w:rsidRPr="00575D0A" w:rsidRDefault="008072FE" w:rsidP="008072FE">
      <w:pPr>
        <w:autoSpaceDE w:val="0"/>
        <w:ind w:hanging="640"/>
        <w:jc w:val="both"/>
        <w:rPr>
          <w:rFonts w:ascii="Times New Roman" w:eastAsia="Times New Roman" w:hAnsi="Times New Roman" w:cs="Times New Roman"/>
          <w:color w:val="000000"/>
          <w:sz w:val="22"/>
          <w:szCs w:val="22"/>
        </w:rPr>
      </w:pPr>
      <w:r w:rsidRPr="00575D0A">
        <w:rPr>
          <w:rFonts w:ascii="Times New Roman" w:eastAsia="Times New Roman" w:hAnsi="Times New Roman" w:cs="Times New Roman"/>
          <w:color w:val="000000"/>
          <w:sz w:val="22"/>
          <w:szCs w:val="22"/>
        </w:rPr>
        <w:t>[12]</w:t>
      </w:r>
      <w:r w:rsidRPr="00575D0A">
        <w:rPr>
          <w:rFonts w:ascii="Times New Roman" w:eastAsia="Times New Roman" w:hAnsi="Times New Roman" w:cs="Times New Roman"/>
          <w:color w:val="000000"/>
          <w:sz w:val="22"/>
          <w:szCs w:val="22"/>
        </w:rPr>
        <w:tab/>
        <w:t xml:space="preserve">Cajigas I, Morrison MA, Luciano MS, Starr PA. Cerebellar deep brain stimulation for the treatment of movement disorders in cerebral palsy. J </w:t>
      </w:r>
      <w:proofErr w:type="spellStart"/>
      <w:r w:rsidRPr="00575D0A">
        <w:rPr>
          <w:rFonts w:ascii="Times New Roman" w:eastAsia="Times New Roman" w:hAnsi="Times New Roman" w:cs="Times New Roman"/>
          <w:color w:val="000000"/>
          <w:sz w:val="22"/>
          <w:szCs w:val="22"/>
        </w:rPr>
        <w:t>Neurosurg</w:t>
      </w:r>
      <w:proofErr w:type="spellEnd"/>
      <w:r w:rsidRPr="00575D0A">
        <w:rPr>
          <w:rFonts w:ascii="Times New Roman" w:eastAsia="Times New Roman" w:hAnsi="Times New Roman" w:cs="Times New Roman"/>
          <w:color w:val="000000"/>
          <w:sz w:val="22"/>
          <w:szCs w:val="22"/>
        </w:rPr>
        <w:t xml:space="preserve"> 2023;139:605–14. https://doi.org/https://doi.org/10.3171/2023.1.JNS222289.</w:t>
      </w:r>
    </w:p>
    <w:p w14:paraId="670FCC83" w14:textId="77777777" w:rsidR="008072FE" w:rsidRPr="00575D0A" w:rsidRDefault="008072FE" w:rsidP="008072FE">
      <w:pPr>
        <w:autoSpaceDE w:val="0"/>
        <w:ind w:hanging="640"/>
        <w:jc w:val="both"/>
        <w:rPr>
          <w:rFonts w:ascii="Times New Roman" w:eastAsia="Times New Roman" w:hAnsi="Times New Roman" w:cs="Times New Roman"/>
          <w:color w:val="000000"/>
          <w:sz w:val="22"/>
          <w:szCs w:val="22"/>
          <w:lang w:val="da-DK"/>
        </w:rPr>
      </w:pPr>
      <w:r w:rsidRPr="00575D0A">
        <w:rPr>
          <w:rFonts w:ascii="Times New Roman" w:eastAsia="Times New Roman" w:hAnsi="Times New Roman" w:cs="Times New Roman"/>
          <w:color w:val="000000"/>
          <w:sz w:val="22"/>
          <w:szCs w:val="22"/>
        </w:rPr>
        <w:t>[13]</w:t>
      </w:r>
      <w:r w:rsidRPr="00575D0A">
        <w:rPr>
          <w:rFonts w:ascii="Times New Roman" w:eastAsia="Times New Roman" w:hAnsi="Times New Roman" w:cs="Times New Roman"/>
          <w:color w:val="000000"/>
          <w:sz w:val="22"/>
          <w:szCs w:val="22"/>
        </w:rPr>
        <w:tab/>
        <w:t xml:space="preserve">Baker KB, Plow EB, Nagel S, Rosenfeldt AB, Gopalakrishnan R, Clark C, et al. Cerebellar deep brain stimulation for chronic post-stroke motor rehabilitation: a phase I trial. </w:t>
      </w:r>
      <w:r w:rsidRPr="00575D0A">
        <w:rPr>
          <w:rFonts w:ascii="Times New Roman" w:eastAsia="Times New Roman" w:hAnsi="Times New Roman" w:cs="Times New Roman"/>
          <w:color w:val="000000"/>
          <w:sz w:val="22"/>
          <w:szCs w:val="22"/>
          <w:lang w:val="da-DK"/>
        </w:rPr>
        <w:t>Nat Med 2023;29:2366–74. https://doi.org/10.1038/s41591-023-02507-0.</w:t>
      </w:r>
    </w:p>
    <w:p w14:paraId="6425B4E0" w14:textId="77777777" w:rsidR="008072FE" w:rsidRPr="00575D0A" w:rsidRDefault="008072FE" w:rsidP="008072FE">
      <w:pPr>
        <w:autoSpaceDE w:val="0"/>
        <w:ind w:hanging="640"/>
        <w:jc w:val="both"/>
        <w:rPr>
          <w:rFonts w:ascii="Times New Roman" w:eastAsia="Times New Roman" w:hAnsi="Times New Roman" w:cs="Times New Roman"/>
          <w:color w:val="000000"/>
          <w:sz w:val="22"/>
          <w:szCs w:val="22"/>
        </w:rPr>
      </w:pPr>
      <w:r w:rsidRPr="00575D0A">
        <w:rPr>
          <w:rFonts w:ascii="Times New Roman" w:eastAsia="Times New Roman" w:hAnsi="Times New Roman" w:cs="Times New Roman"/>
          <w:color w:val="000000"/>
          <w:sz w:val="22"/>
          <w:szCs w:val="22"/>
          <w:lang w:val="da-DK"/>
        </w:rPr>
        <w:t>[14]</w:t>
      </w:r>
      <w:r w:rsidRPr="00575D0A">
        <w:rPr>
          <w:rFonts w:ascii="Times New Roman" w:eastAsia="Times New Roman" w:hAnsi="Times New Roman" w:cs="Times New Roman"/>
          <w:color w:val="000000"/>
          <w:sz w:val="22"/>
          <w:szCs w:val="22"/>
          <w:lang w:val="da-DK"/>
        </w:rPr>
        <w:tab/>
        <w:t xml:space="preserve">Zhao L, Qiu C, Dong W, Luo B, Sun J, Yan J, et al. </w:t>
      </w:r>
      <w:r w:rsidRPr="00575D0A">
        <w:rPr>
          <w:rFonts w:ascii="Times New Roman" w:eastAsia="Times New Roman" w:hAnsi="Times New Roman" w:cs="Times New Roman"/>
          <w:color w:val="000000"/>
          <w:sz w:val="22"/>
          <w:szCs w:val="22"/>
        </w:rPr>
        <w:t>Dentate Nucleus Deep Brain Stimulation for Spinocerebellar Ataxia: Results of a 6-Month Follow-Up. Movement Disorders 2025;n/a. https://doi.org/https://doi.org/10.1002/mds.70116.</w:t>
      </w:r>
    </w:p>
    <w:p w14:paraId="1598D5D0" w14:textId="77777777" w:rsidR="008072FE" w:rsidRPr="00575D0A" w:rsidRDefault="008072FE" w:rsidP="008072FE">
      <w:pPr>
        <w:jc w:val="both"/>
        <w:rPr>
          <w:rFonts w:ascii="Times New Roman" w:hAnsi="Times New Roman" w:cs="Times New Roman"/>
          <w:b/>
          <w:bCs/>
          <w:sz w:val="22"/>
          <w:szCs w:val="22"/>
        </w:rPr>
      </w:pPr>
      <w:r w:rsidRPr="00575D0A">
        <w:rPr>
          <w:rFonts w:ascii="Times New Roman" w:eastAsia="Times New Roman" w:hAnsi="Times New Roman" w:cs="Times New Roman"/>
          <w:b/>
          <w:bCs/>
          <w:color w:val="000000"/>
          <w:sz w:val="22"/>
          <w:szCs w:val="22"/>
        </w:rPr>
        <w:t> </w:t>
      </w:r>
    </w:p>
    <w:p w14:paraId="234F3746" w14:textId="77777777" w:rsidR="008072FE" w:rsidRDefault="008072FE" w:rsidP="008072FE"/>
    <w:p w14:paraId="31084070" w14:textId="77777777" w:rsidR="008072FE" w:rsidRDefault="008072FE" w:rsidP="008072FE">
      <w:pPr>
        <w:jc w:val="both"/>
        <w:rPr>
          <w:rFonts w:ascii="Times New Roman" w:hAnsi="Times New Roman" w:cs="Times New Roman"/>
          <w:sz w:val="22"/>
          <w:szCs w:val="22"/>
        </w:rPr>
      </w:pPr>
    </w:p>
    <w:p w14:paraId="249CD185" w14:textId="77777777" w:rsidR="008072FE" w:rsidRDefault="008072FE" w:rsidP="008072FE">
      <w:pPr>
        <w:jc w:val="both"/>
        <w:rPr>
          <w:rFonts w:ascii="Times New Roman" w:hAnsi="Times New Roman" w:cs="Times New Roman"/>
          <w:sz w:val="22"/>
          <w:szCs w:val="22"/>
        </w:rPr>
      </w:pPr>
    </w:p>
    <w:p w14:paraId="2F1EA413" w14:textId="77777777" w:rsidR="008072FE" w:rsidRDefault="008072FE" w:rsidP="008072FE">
      <w:pPr>
        <w:jc w:val="both"/>
        <w:rPr>
          <w:rFonts w:ascii="Times New Roman" w:hAnsi="Times New Roman" w:cs="Times New Roman"/>
          <w:sz w:val="22"/>
          <w:szCs w:val="22"/>
        </w:rPr>
      </w:pPr>
    </w:p>
    <w:p w14:paraId="45892EB0" w14:textId="77777777" w:rsidR="008072FE" w:rsidRDefault="008072FE" w:rsidP="008072FE">
      <w:pPr>
        <w:jc w:val="both"/>
        <w:rPr>
          <w:rFonts w:ascii="Times New Roman" w:hAnsi="Times New Roman" w:cs="Times New Roman"/>
          <w:sz w:val="22"/>
          <w:szCs w:val="22"/>
        </w:rPr>
      </w:pPr>
    </w:p>
    <w:p w14:paraId="3AD10236" w14:textId="77777777" w:rsidR="008072FE" w:rsidRDefault="008072FE" w:rsidP="008072FE">
      <w:pPr>
        <w:jc w:val="both"/>
        <w:rPr>
          <w:rFonts w:ascii="Times New Roman" w:hAnsi="Times New Roman" w:cs="Times New Roman"/>
          <w:sz w:val="22"/>
          <w:szCs w:val="22"/>
        </w:rPr>
      </w:pPr>
    </w:p>
    <w:p w14:paraId="7F4E9726" w14:textId="77777777" w:rsidR="008072FE" w:rsidRDefault="008072FE" w:rsidP="008072FE">
      <w:pPr>
        <w:jc w:val="both"/>
        <w:rPr>
          <w:rFonts w:ascii="Times New Roman" w:hAnsi="Times New Roman" w:cs="Times New Roman"/>
          <w:sz w:val="22"/>
          <w:szCs w:val="22"/>
        </w:rPr>
      </w:pPr>
    </w:p>
    <w:p w14:paraId="05097C3A" w14:textId="77777777" w:rsidR="008072FE" w:rsidRDefault="008072FE" w:rsidP="008072FE">
      <w:pPr>
        <w:jc w:val="both"/>
        <w:rPr>
          <w:rFonts w:ascii="Times New Roman" w:hAnsi="Times New Roman" w:cs="Times New Roman"/>
          <w:sz w:val="22"/>
          <w:szCs w:val="22"/>
        </w:rPr>
      </w:pPr>
    </w:p>
    <w:p w14:paraId="57EF7471" w14:textId="77777777" w:rsidR="008072FE" w:rsidRDefault="008072FE" w:rsidP="008072FE">
      <w:pPr>
        <w:jc w:val="both"/>
        <w:rPr>
          <w:rFonts w:ascii="Times New Roman" w:hAnsi="Times New Roman" w:cs="Times New Roman"/>
          <w:sz w:val="22"/>
          <w:szCs w:val="22"/>
        </w:rPr>
      </w:pPr>
    </w:p>
    <w:p w14:paraId="1852F5CF" w14:textId="77777777" w:rsidR="008072FE" w:rsidRDefault="008072FE" w:rsidP="008072FE">
      <w:pPr>
        <w:jc w:val="both"/>
        <w:rPr>
          <w:rFonts w:ascii="Times New Roman" w:hAnsi="Times New Roman" w:cs="Times New Roman"/>
          <w:sz w:val="22"/>
          <w:szCs w:val="22"/>
        </w:rPr>
      </w:pPr>
    </w:p>
    <w:p w14:paraId="41ACC91C" w14:textId="77777777" w:rsidR="008072FE" w:rsidRDefault="008072FE" w:rsidP="008072FE">
      <w:pPr>
        <w:jc w:val="both"/>
        <w:rPr>
          <w:rFonts w:ascii="Times New Roman" w:hAnsi="Times New Roman" w:cs="Times New Roman"/>
          <w:sz w:val="22"/>
          <w:szCs w:val="22"/>
        </w:rPr>
      </w:pPr>
    </w:p>
    <w:p w14:paraId="1CAC18E1" w14:textId="77777777" w:rsidR="008072FE" w:rsidRPr="003634F8" w:rsidRDefault="008072FE" w:rsidP="008072FE">
      <w:pPr>
        <w:pStyle w:val="Heading1"/>
      </w:pPr>
      <w:bookmarkStart w:id="7" w:name="_Toc227447453"/>
      <w:r>
        <w:lastRenderedPageBreak/>
        <w:t>Supplementary table 2</w:t>
      </w:r>
      <w:bookmarkEnd w:id="7"/>
    </w:p>
    <w:tbl>
      <w:tblPr>
        <w:tblW w:w="9933" w:type="dxa"/>
        <w:tblInd w:w="-10" w:type="dxa"/>
        <w:tblLayout w:type="fixed"/>
        <w:tblCellMar>
          <w:left w:w="10" w:type="dxa"/>
          <w:right w:w="10" w:type="dxa"/>
        </w:tblCellMar>
        <w:tblLook w:val="0000" w:firstRow="0" w:lastRow="0" w:firstColumn="0" w:lastColumn="0" w:noHBand="0" w:noVBand="0"/>
      </w:tblPr>
      <w:tblGrid>
        <w:gridCol w:w="10"/>
        <w:gridCol w:w="1276"/>
        <w:gridCol w:w="992"/>
        <w:gridCol w:w="189"/>
        <w:gridCol w:w="2646"/>
        <w:gridCol w:w="1418"/>
        <w:gridCol w:w="2126"/>
        <w:gridCol w:w="1276"/>
      </w:tblGrid>
      <w:tr w:rsidR="008072FE" w:rsidRPr="003634F8" w14:paraId="66D5A613" w14:textId="77777777" w:rsidTr="00A55016">
        <w:trPr>
          <w:gridBefore w:val="1"/>
          <w:wBefore w:w="10" w:type="dxa"/>
          <w:trHeight w:val="673"/>
        </w:trPr>
        <w:tc>
          <w:tcPr>
            <w:tcW w:w="1276" w:type="dxa"/>
            <w:tcBorders>
              <w:bottom w:val="single" w:sz="4" w:space="0" w:color="auto"/>
            </w:tcBorders>
            <w:tcMar>
              <w:top w:w="0" w:type="dxa"/>
              <w:left w:w="108" w:type="dxa"/>
              <w:bottom w:w="0" w:type="dxa"/>
              <w:right w:w="108" w:type="dxa"/>
            </w:tcMar>
          </w:tcPr>
          <w:p w14:paraId="11434430" w14:textId="77777777" w:rsidR="008072FE" w:rsidRPr="003634F8" w:rsidRDefault="008072FE" w:rsidP="00A55016">
            <w:pPr>
              <w:pStyle w:val="TableContents"/>
              <w:jc w:val="center"/>
              <w:rPr>
                <w:rFonts w:ascii="Times New Roman" w:hAnsi="Times New Roman" w:cs="Times New Roman"/>
                <w:b/>
                <w:bCs/>
                <w:sz w:val="18"/>
                <w:szCs w:val="18"/>
              </w:rPr>
            </w:pPr>
          </w:p>
          <w:p w14:paraId="5C9B8DBF" w14:textId="77777777" w:rsidR="008072FE" w:rsidRPr="003634F8" w:rsidRDefault="008072FE" w:rsidP="00A55016">
            <w:pPr>
              <w:pStyle w:val="TableContents"/>
              <w:jc w:val="center"/>
              <w:rPr>
                <w:rFonts w:ascii="Times New Roman" w:hAnsi="Times New Roman" w:cs="Times New Roman"/>
                <w:b/>
                <w:bCs/>
                <w:sz w:val="18"/>
                <w:szCs w:val="18"/>
              </w:rPr>
            </w:pPr>
          </w:p>
          <w:p w14:paraId="5699CDF3" w14:textId="77777777" w:rsidR="008072FE" w:rsidRPr="003634F8" w:rsidRDefault="008072FE" w:rsidP="00A55016">
            <w:pPr>
              <w:pStyle w:val="TableContents"/>
              <w:jc w:val="center"/>
              <w:rPr>
                <w:rFonts w:ascii="Times New Roman" w:hAnsi="Times New Roman" w:cs="Times New Roman"/>
                <w:b/>
                <w:bCs/>
                <w:sz w:val="18"/>
                <w:szCs w:val="18"/>
              </w:rPr>
            </w:pPr>
            <w:r w:rsidRPr="003634F8">
              <w:rPr>
                <w:rFonts w:ascii="Times New Roman" w:hAnsi="Times New Roman" w:cs="Times New Roman"/>
                <w:b/>
                <w:bCs/>
                <w:sz w:val="18"/>
                <w:szCs w:val="18"/>
              </w:rPr>
              <w:t>Study</w:t>
            </w:r>
          </w:p>
        </w:tc>
        <w:tc>
          <w:tcPr>
            <w:tcW w:w="992" w:type="dxa"/>
            <w:tcBorders>
              <w:bottom w:val="single" w:sz="4" w:space="0" w:color="auto"/>
            </w:tcBorders>
            <w:tcMar>
              <w:top w:w="0" w:type="dxa"/>
              <w:left w:w="108" w:type="dxa"/>
              <w:bottom w:w="0" w:type="dxa"/>
              <w:right w:w="108" w:type="dxa"/>
            </w:tcMar>
          </w:tcPr>
          <w:p w14:paraId="657EBCE4" w14:textId="77777777" w:rsidR="008072FE" w:rsidRPr="003634F8" w:rsidRDefault="008072FE" w:rsidP="00A55016">
            <w:pPr>
              <w:pStyle w:val="Standard"/>
              <w:jc w:val="center"/>
              <w:rPr>
                <w:rFonts w:ascii="Times New Roman" w:hAnsi="Times New Roman" w:cs="Times New Roman"/>
                <w:b/>
                <w:bCs/>
                <w:sz w:val="18"/>
                <w:szCs w:val="18"/>
              </w:rPr>
            </w:pPr>
          </w:p>
          <w:p w14:paraId="4A2159F5" w14:textId="77777777" w:rsidR="008072FE" w:rsidRPr="003634F8" w:rsidRDefault="008072FE" w:rsidP="00A55016">
            <w:pPr>
              <w:pStyle w:val="Standard"/>
              <w:jc w:val="center"/>
              <w:rPr>
                <w:rFonts w:ascii="Times New Roman" w:hAnsi="Times New Roman" w:cs="Times New Roman"/>
                <w:b/>
                <w:bCs/>
                <w:sz w:val="18"/>
                <w:szCs w:val="18"/>
              </w:rPr>
            </w:pPr>
            <w:proofErr w:type="spellStart"/>
            <w:r w:rsidRPr="003634F8">
              <w:rPr>
                <w:rFonts w:ascii="Times New Roman" w:hAnsi="Times New Roman" w:cs="Times New Roman"/>
                <w:b/>
                <w:bCs/>
                <w:sz w:val="18"/>
                <w:szCs w:val="18"/>
              </w:rPr>
              <w:t>tFUS</w:t>
            </w:r>
            <w:proofErr w:type="spellEnd"/>
            <w:r w:rsidRPr="003634F8">
              <w:rPr>
                <w:rFonts w:ascii="Times New Roman" w:hAnsi="Times New Roman" w:cs="Times New Roman"/>
                <w:b/>
                <w:bCs/>
                <w:sz w:val="18"/>
                <w:szCs w:val="18"/>
              </w:rPr>
              <w:t xml:space="preserve"> target</w:t>
            </w:r>
          </w:p>
        </w:tc>
        <w:tc>
          <w:tcPr>
            <w:tcW w:w="189" w:type="dxa"/>
            <w:tcBorders>
              <w:bottom w:val="single" w:sz="4" w:space="0" w:color="auto"/>
            </w:tcBorders>
          </w:tcPr>
          <w:p w14:paraId="7C84F1C1" w14:textId="77777777" w:rsidR="008072FE" w:rsidRPr="003634F8" w:rsidRDefault="008072FE" w:rsidP="00A55016">
            <w:pPr>
              <w:pStyle w:val="Standard"/>
              <w:jc w:val="center"/>
              <w:rPr>
                <w:rFonts w:ascii="Times New Roman" w:hAnsi="Times New Roman" w:cs="Times New Roman"/>
                <w:b/>
                <w:bCs/>
                <w:sz w:val="18"/>
                <w:szCs w:val="18"/>
              </w:rPr>
            </w:pPr>
          </w:p>
        </w:tc>
        <w:tc>
          <w:tcPr>
            <w:tcW w:w="2646" w:type="dxa"/>
            <w:tcBorders>
              <w:bottom w:val="single" w:sz="4" w:space="0" w:color="auto"/>
            </w:tcBorders>
            <w:tcMar>
              <w:top w:w="0" w:type="dxa"/>
              <w:left w:w="108" w:type="dxa"/>
              <w:bottom w:w="0" w:type="dxa"/>
              <w:right w:w="108" w:type="dxa"/>
            </w:tcMar>
          </w:tcPr>
          <w:p w14:paraId="133B6C95" w14:textId="77777777" w:rsidR="008072FE" w:rsidRPr="003634F8" w:rsidRDefault="008072FE" w:rsidP="00A55016">
            <w:pPr>
              <w:pStyle w:val="Standard"/>
              <w:jc w:val="center"/>
              <w:rPr>
                <w:rFonts w:ascii="Times New Roman" w:hAnsi="Times New Roman" w:cs="Times New Roman"/>
                <w:b/>
                <w:bCs/>
                <w:sz w:val="18"/>
                <w:szCs w:val="18"/>
              </w:rPr>
            </w:pPr>
          </w:p>
          <w:p w14:paraId="69C14028" w14:textId="77777777" w:rsidR="008072FE" w:rsidRPr="003634F8" w:rsidRDefault="008072FE" w:rsidP="00A55016">
            <w:pPr>
              <w:pStyle w:val="Standard"/>
              <w:jc w:val="center"/>
              <w:rPr>
                <w:rFonts w:ascii="Times New Roman" w:hAnsi="Times New Roman" w:cs="Times New Roman"/>
                <w:b/>
                <w:bCs/>
                <w:sz w:val="18"/>
                <w:szCs w:val="18"/>
              </w:rPr>
            </w:pPr>
          </w:p>
          <w:p w14:paraId="35C728EE" w14:textId="77777777" w:rsidR="008072FE" w:rsidRPr="003634F8" w:rsidRDefault="008072FE" w:rsidP="00A55016">
            <w:pPr>
              <w:pStyle w:val="Standard"/>
              <w:jc w:val="center"/>
              <w:rPr>
                <w:rFonts w:ascii="Times New Roman" w:hAnsi="Times New Roman" w:cs="Times New Roman"/>
                <w:b/>
                <w:bCs/>
                <w:sz w:val="18"/>
                <w:szCs w:val="18"/>
              </w:rPr>
            </w:pPr>
            <w:proofErr w:type="spellStart"/>
            <w:r w:rsidRPr="003634F8">
              <w:rPr>
                <w:rFonts w:ascii="Times New Roman" w:hAnsi="Times New Roman" w:cs="Times New Roman"/>
                <w:b/>
                <w:bCs/>
                <w:sz w:val="18"/>
                <w:szCs w:val="18"/>
              </w:rPr>
              <w:t>tFUS</w:t>
            </w:r>
            <w:proofErr w:type="spellEnd"/>
            <w:r w:rsidRPr="003634F8">
              <w:rPr>
                <w:rFonts w:ascii="Times New Roman" w:hAnsi="Times New Roman" w:cs="Times New Roman"/>
                <w:b/>
                <w:bCs/>
                <w:sz w:val="18"/>
                <w:szCs w:val="18"/>
              </w:rPr>
              <w:t xml:space="preserve"> Parameters</w:t>
            </w:r>
          </w:p>
        </w:tc>
        <w:tc>
          <w:tcPr>
            <w:tcW w:w="1418" w:type="dxa"/>
            <w:tcBorders>
              <w:bottom w:val="single" w:sz="4" w:space="0" w:color="auto"/>
            </w:tcBorders>
            <w:tcMar>
              <w:top w:w="0" w:type="dxa"/>
              <w:left w:w="108" w:type="dxa"/>
              <w:bottom w:w="0" w:type="dxa"/>
              <w:right w:w="108" w:type="dxa"/>
            </w:tcMar>
          </w:tcPr>
          <w:p w14:paraId="347A099B" w14:textId="77777777" w:rsidR="008072FE" w:rsidRPr="003634F8" w:rsidRDefault="008072FE" w:rsidP="00A55016">
            <w:pPr>
              <w:pStyle w:val="Standard"/>
              <w:jc w:val="center"/>
              <w:rPr>
                <w:rFonts w:ascii="Times New Roman" w:hAnsi="Times New Roman" w:cs="Times New Roman"/>
                <w:b/>
                <w:bCs/>
                <w:sz w:val="18"/>
                <w:szCs w:val="18"/>
              </w:rPr>
            </w:pPr>
          </w:p>
          <w:p w14:paraId="48CF3C4D" w14:textId="77777777" w:rsidR="008072FE" w:rsidRPr="003634F8" w:rsidRDefault="008072FE" w:rsidP="00A55016">
            <w:pPr>
              <w:pStyle w:val="Standard"/>
              <w:jc w:val="center"/>
              <w:rPr>
                <w:rFonts w:ascii="Times New Roman" w:hAnsi="Times New Roman" w:cs="Times New Roman"/>
                <w:b/>
                <w:bCs/>
                <w:sz w:val="18"/>
                <w:szCs w:val="18"/>
              </w:rPr>
            </w:pPr>
            <w:r w:rsidRPr="003634F8">
              <w:rPr>
                <w:rFonts w:ascii="Times New Roman" w:hAnsi="Times New Roman" w:cs="Times New Roman"/>
                <w:b/>
                <w:bCs/>
                <w:sz w:val="18"/>
                <w:szCs w:val="18"/>
              </w:rPr>
              <w:t>EEG readout</w:t>
            </w:r>
          </w:p>
        </w:tc>
        <w:tc>
          <w:tcPr>
            <w:tcW w:w="2126" w:type="dxa"/>
            <w:tcBorders>
              <w:bottom w:val="single" w:sz="4" w:space="0" w:color="auto"/>
            </w:tcBorders>
            <w:tcMar>
              <w:top w:w="0" w:type="dxa"/>
              <w:left w:w="108" w:type="dxa"/>
              <w:bottom w:w="0" w:type="dxa"/>
              <w:right w:w="108" w:type="dxa"/>
            </w:tcMar>
          </w:tcPr>
          <w:p w14:paraId="51492A44" w14:textId="77777777" w:rsidR="008072FE" w:rsidRPr="003634F8" w:rsidRDefault="008072FE" w:rsidP="00A55016">
            <w:pPr>
              <w:pStyle w:val="Standard"/>
              <w:rPr>
                <w:rFonts w:ascii="Times New Roman" w:hAnsi="Times New Roman" w:cs="Times New Roman"/>
                <w:b/>
                <w:bCs/>
                <w:sz w:val="18"/>
                <w:szCs w:val="18"/>
              </w:rPr>
            </w:pPr>
          </w:p>
          <w:p w14:paraId="7EE759CD" w14:textId="77777777" w:rsidR="008072FE" w:rsidRPr="003634F8" w:rsidRDefault="008072FE" w:rsidP="00A55016">
            <w:pPr>
              <w:pStyle w:val="Standard"/>
              <w:jc w:val="center"/>
              <w:rPr>
                <w:rFonts w:ascii="Times New Roman" w:hAnsi="Times New Roman" w:cs="Times New Roman"/>
                <w:b/>
                <w:bCs/>
                <w:sz w:val="18"/>
                <w:szCs w:val="18"/>
              </w:rPr>
            </w:pPr>
            <w:r w:rsidRPr="003634F8">
              <w:rPr>
                <w:rFonts w:ascii="Times New Roman" w:hAnsi="Times New Roman" w:cs="Times New Roman"/>
                <w:b/>
                <w:bCs/>
                <w:sz w:val="18"/>
                <w:szCs w:val="18"/>
              </w:rPr>
              <w:t>EEG Study Outcomes</w:t>
            </w:r>
          </w:p>
        </w:tc>
        <w:tc>
          <w:tcPr>
            <w:tcW w:w="1276" w:type="dxa"/>
            <w:tcBorders>
              <w:bottom w:val="single" w:sz="4" w:space="0" w:color="auto"/>
            </w:tcBorders>
            <w:tcMar>
              <w:top w:w="0" w:type="dxa"/>
              <w:left w:w="108" w:type="dxa"/>
              <w:bottom w:w="0" w:type="dxa"/>
              <w:right w:w="108" w:type="dxa"/>
            </w:tcMar>
          </w:tcPr>
          <w:p w14:paraId="0C6D0B48" w14:textId="77777777" w:rsidR="008072FE" w:rsidRPr="003634F8" w:rsidRDefault="008072FE" w:rsidP="00A55016">
            <w:pPr>
              <w:pStyle w:val="Standard"/>
              <w:rPr>
                <w:rFonts w:ascii="Times New Roman" w:hAnsi="Times New Roman" w:cs="Times New Roman"/>
                <w:b/>
                <w:bCs/>
                <w:sz w:val="18"/>
                <w:szCs w:val="18"/>
              </w:rPr>
            </w:pPr>
          </w:p>
          <w:p w14:paraId="4E567BBB" w14:textId="77777777" w:rsidR="008072FE" w:rsidRPr="003634F8" w:rsidRDefault="008072FE" w:rsidP="00A55016">
            <w:pPr>
              <w:pStyle w:val="Standard"/>
              <w:jc w:val="center"/>
              <w:rPr>
                <w:rFonts w:ascii="Times New Roman" w:hAnsi="Times New Roman" w:cs="Times New Roman"/>
                <w:b/>
                <w:bCs/>
                <w:sz w:val="18"/>
                <w:szCs w:val="18"/>
              </w:rPr>
            </w:pPr>
            <w:r w:rsidRPr="003634F8">
              <w:rPr>
                <w:rFonts w:ascii="Times New Roman" w:hAnsi="Times New Roman" w:cs="Times New Roman"/>
                <w:b/>
                <w:bCs/>
                <w:sz w:val="18"/>
                <w:szCs w:val="18"/>
              </w:rPr>
              <w:t>Numb. Of participants</w:t>
            </w:r>
          </w:p>
        </w:tc>
      </w:tr>
      <w:tr w:rsidR="008072FE" w:rsidRPr="003634F8" w14:paraId="41C5006D" w14:textId="77777777" w:rsidTr="00A55016">
        <w:trPr>
          <w:gridBefore w:val="1"/>
          <w:wBefore w:w="10" w:type="dxa"/>
          <w:trHeight w:val="510"/>
        </w:trPr>
        <w:tc>
          <w:tcPr>
            <w:tcW w:w="1276" w:type="dxa"/>
            <w:tcBorders>
              <w:top w:val="single" w:sz="4" w:space="0" w:color="auto"/>
              <w:bottom w:val="single" w:sz="4" w:space="0" w:color="auto"/>
            </w:tcBorders>
            <w:tcMar>
              <w:top w:w="0" w:type="dxa"/>
              <w:left w:w="108" w:type="dxa"/>
              <w:bottom w:w="0" w:type="dxa"/>
              <w:right w:w="108" w:type="dxa"/>
            </w:tcMar>
          </w:tcPr>
          <w:p w14:paraId="2D510B62" w14:textId="77777777" w:rsidR="008072FE" w:rsidRPr="003634F8" w:rsidRDefault="008072FE" w:rsidP="00A55016">
            <w:pPr>
              <w:pStyle w:val="Standard"/>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(Legon et al., 2014)</w:t>
            </w:r>
            <w:r>
              <w:rPr>
                <w:rFonts w:ascii="Times New Roman" w:hAnsi="Times New Roman" w:cs="Times New Roman"/>
                <w:b/>
                <w:bCs/>
                <w:color w:val="000000"/>
                <w:sz w:val="18"/>
                <w:szCs w:val="18"/>
                <w:lang w:val="da-DK"/>
              </w:rPr>
              <w:t xml:space="preserve"> [1]</w:t>
            </w:r>
          </w:p>
        </w:tc>
        <w:tc>
          <w:tcPr>
            <w:tcW w:w="992" w:type="dxa"/>
            <w:tcBorders>
              <w:top w:val="single" w:sz="4" w:space="0" w:color="auto"/>
              <w:bottom w:val="single" w:sz="4" w:space="0" w:color="auto"/>
            </w:tcBorders>
            <w:tcMar>
              <w:top w:w="0" w:type="dxa"/>
              <w:left w:w="108" w:type="dxa"/>
              <w:bottom w:w="0" w:type="dxa"/>
              <w:right w:w="108" w:type="dxa"/>
            </w:tcMar>
          </w:tcPr>
          <w:p w14:paraId="192E7855"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S1</w:t>
            </w:r>
          </w:p>
        </w:tc>
        <w:tc>
          <w:tcPr>
            <w:tcW w:w="189" w:type="dxa"/>
            <w:tcBorders>
              <w:top w:val="single" w:sz="4" w:space="0" w:color="auto"/>
              <w:bottom w:val="single" w:sz="4" w:space="0" w:color="auto"/>
            </w:tcBorders>
          </w:tcPr>
          <w:p w14:paraId="26CB2488"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auto"/>
            </w:tcBorders>
            <w:tcMar>
              <w:top w:w="0" w:type="dxa"/>
              <w:left w:w="108" w:type="dxa"/>
              <w:bottom w:w="0" w:type="dxa"/>
              <w:right w:w="108" w:type="dxa"/>
            </w:tcMar>
          </w:tcPr>
          <w:p w14:paraId="5A452C1A"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 xml:space="preserve">FF (kHz): 500 </w:t>
            </w:r>
          </w:p>
          <w:p w14:paraId="2AB9D237"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PD (ms): 0.36</w:t>
            </w:r>
          </w:p>
          <w:p w14:paraId="35C2499E"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PRF (Hz): 1000</w:t>
            </w:r>
          </w:p>
          <w:p w14:paraId="798F10BB"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DC (%): 36</w:t>
            </w:r>
          </w:p>
          <w:p w14:paraId="0081CA14"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SD (s): 0.5</w:t>
            </w:r>
          </w:p>
          <w:p w14:paraId="0E32035D" w14:textId="77777777" w:rsidR="008072FE" w:rsidRPr="003634F8" w:rsidRDefault="008072FE" w:rsidP="00A55016">
            <w:pPr>
              <w:pStyle w:val="Standard"/>
              <w:rPr>
                <w:rFonts w:ascii="Times New Roman" w:hAnsi="Times New Roman" w:cs="Times New Roman"/>
                <w:sz w:val="18"/>
                <w:szCs w:val="18"/>
              </w:rPr>
            </w:pPr>
            <w:proofErr w:type="spellStart"/>
            <w:r w:rsidRPr="003634F8">
              <w:rPr>
                <w:rFonts w:ascii="Times New Roman" w:hAnsi="Times New Roman" w:cs="Times New Roman"/>
                <w:sz w:val="18"/>
                <w:szCs w:val="18"/>
              </w:rPr>
              <w:t>Isppa</w:t>
            </w:r>
            <w:proofErr w:type="spellEnd"/>
            <w:r w:rsidRPr="003634F8">
              <w:rPr>
                <w:rFonts w:ascii="Times New Roman" w:hAnsi="Times New Roman" w:cs="Times New Roman"/>
                <w:sz w:val="18"/>
                <w:szCs w:val="18"/>
              </w:rPr>
              <w:t xml:space="preserve"> water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 xml:space="preserve">: 23.9 </w:t>
            </w:r>
          </w:p>
        </w:tc>
        <w:tc>
          <w:tcPr>
            <w:tcW w:w="1418" w:type="dxa"/>
            <w:tcBorders>
              <w:top w:val="single" w:sz="4" w:space="0" w:color="auto"/>
              <w:bottom w:val="single" w:sz="4" w:space="0" w:color="auto"/>
            </w:tcBorders>
            <w:tcMar>
              <w:top w:w="0" w:type="dxa"/>
              <w:left w:w="108" w:type="dxa"/>
              <w:bottom w:w="0" w:type="dxa"/>
              <w:right w:w="108" w:type="dxa"/>
            </w:tcMar>
          </w:tcPr>
          <w:p w14:paraId="2FB7ACB4"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Online ERP and ERSP</w:t>
            </w:r>
          </w:p>
        </w:tc>
        <w:tc>
          <w:tcPr>
            <w:tcW w:w="2126" w:type="dxa"/>
            <w:tcBorders>
              <w:top w:val="single" w:sz="4" w:space="0" w:color="auto"/>
              <w:bottom w:val="single" w:sz="4" w:space="0" w:color="auto"/>
            </w:tcBorders>
            <w:tcMar>
              <w:top w:w="0" w:type="dxa"/>
              <w:left w:w="108" w:type="dxa"/>
              <w:bottom w:w="0" w:type="dxa"/>
              <w:right w:w="108" w:type="dxa"/>
            </w:tcMar>
          </w:tcPr>
          <w:p w14:paraId="346930EC"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Reduction of ERP and ERSP amplitudes (SEP evoked)</w:t>
            </w:r>
          </w:p>
        </w:tc>
        <w:tc>
          <w:tcPr>
            <w:tcW w:w="1276" w:type="dxa"/>
            <w:tcBorders>
              <w:top w:val="single" w:sz="4" w:space="0" w:color="auto"/>
              <w:bottom w:val="single" w:sz="4" w:space="0" w:color="auto"/>
            </w:tcBorders>
            <w:tcMar>
              <w:top w:w="0" w:type="dxa"/>
              <w:left w:w="108" w:type="dxa"/>
              <w:bottom w:w="0" w:type="dxa"/>
              <w:right w:w="108" w:type="dxa"/>
            </w:tcMar>
          </w:tcPr>
          <w:p w14:paraId="4286A06B"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10</w:t>
            </w:r>
          </w:p>
        </w:tc>
      </w:tr>
      <w:tr w:rsidR="008072FE" w:rsidRPr="003634F8" w14:paraId="03B58493"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3DAE25C5" w14:textId="77777777" w:rsidR="008072FE" w:rsidRPr="003634F8" w:rsidRDefault="008072FE" w:rsidP="00A55016">
            <w:pPr>
              <w:pStyle w:val="TableContents"/>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(Mueller et al., 2014)</w:t>
            </w:r>
            <w:r>
              <w:rPr>
                <w:rFonts w:ascii="Times New Roman" w:hAnsi="Times New Roman" w:cs="Times New Roman"/>
                <w:b/>
                <w:bCs/>
                <w:color w:val="000000"/>
                <w:sz w:val="18"/>
                <w:szCs w:val="18"/>
                <w:lang w:val="da-DK"/>
              </w:rPr>
              <w:t xml:space="preserve"> [2]</w:t>
            </w:r>
          </w:p>
        </w:tc>
        <w:tc>
          <w:tcPr>
            <w:tcW w:w="992" w:type="dxa"/>
            <w:tcBorders>
              <w:top w:val="single" w:sz="4" w:space="0" w:color="auto"/>
              <w:bottom w:val="single" w:sz="4" w:space="0" w:color="auto"/>
            </w:tcBorders>
            <w:tcMar>
              <w:top w:w="0" w:type="dxa"/>
              <w:left w:w="108" w:type="dxa"/>
              <w:bottom w:w="0" w:type="dxa"/>
              <w:right w:w="108" w:type="dxa"/>
            </w:tcMar>
          </w:tcPr>
          <w:p w14:paraId="5CEBDE0A"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S1</w:t>
            </w:r>
          </w:p>
        </w:tc>
        <w:tc>
          <w:tcPr>
            <w:tcW w:w="189" w:type="dxa"/>
            <w:tcBorders>
              <w:top w:val="single" w:sz="4" w:space="0" w:color="auto"/>
              <w:bottom w:val="single" w:sz="4" w:space="0" w:color="auto"/>
            </w:tcBorders>
          </w:tcPr>
          <w:p w14:paraId="5FB21FEA"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auto"/>
            </w:tcBorders>
            <w:tcMar>
              <w:top w:w="0" w:type="dxa"/>
              <w:left w:w="108" w:type="dxa"/>
              <w:bottom w:w="0" w:type="dxa"/>
              <w:right w:w="108" w:type="dxa"/>
            </w:tcMar>
          </w:tcPr>
          <w:p w14:paraId="4F7F3EA1"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FF (kHz): 500</w:t>
            </w:r>
          </w:p>
          <w:p w14:paraId="5F929289"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PD (ms): 0.36</w:t>
            </w:r>
          </w:p>
          <w:p w14:paraId="150C68C4"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PRF (Hz): 1000</w:t>
            </w:r>
          </w:p>
          <w:p w14:paraId="181BD643"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DC (%): 36</w:t>
            </w:r>
          </w:p>
          <w:p w14:paraId="7EF77E82"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SD (s): 0.5</w:t>
            </w:r>
          </w:p>
          <w:p w14:paraId="77BD4DF0" w14:textId="77777777" w:rsidR="008072FE" w:rsidRPr="003634F8" w:rsidRDefault="008072FE" w:rsidP="00A55016">
            <w:pPr>
              <w:pStyle w:val="Standard"/>
              <w:rPr>
                <w:rFonts w:ascii="Times New Roman" w:hAnsi="Times New Roman" w:cs="Times New Roman"/>
                <w:sz w:val="18"/>
                <w:szCs w:val="18"/>
              </w:rPr>
            </w:pP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xml:space="preserve">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 xml:space="preserve">: 23.9 </w:t>
            </w:r>
          </w:p>
        </w:tc>
        <w:tc>
          <w:tcPr>
            <w:tcW w:w="1418" w:type="dxa"/>
            <w:tcBorders>
              <w:top w:val="single" w:sz="4" w:space="0" w:color="auto"/>
              <w:bottom w:val="single" w:sz="4" w:space="0" w:color="auto"/>
            </w:tcBorders>
            <w:tcMar>
              <w:top w:w="0" w:type="dxa"/>
              <w:left w:w="108" w:type="dxa"/>
              <w:bottom w:w="0" w:type="dxa"/>
              <w:right w:w="108" w:type="dxa"/>
            </w:tcMar>
          </w:tcPr>
          <w:p w14:paraId="3463F530"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Online ERSP and Phase rate</w:t>
            </w:r>
          </w:p>
        </w:tc>
        <w:tc>
          <w:tcPr>
            <w:tcW w:w="2126" w:type="dxa"/>
            <w:tcBorders>
              <w:top w:val="single" w:sz="4" w:space="0" w:color="auto"/>
              <w:bottom w:val="single" w:sz="4" w:space="0" w:color="auto"/>
            </w:tcBorders>
            <w:tcMar>
              <w:top w:w="0" w:type="dxa"/>
              <w:left w:w="108" w:type="dxa"/>
              <w:bottom w:w="0" w:type="dxa"/>
              <w:right w:w="108" w:type="dxa"/>
            </w:tcMar>
          </w:tcPr>
          <w:p w14:paraId="79C1F5CB"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Reduction ERSP amplitudes, and phase dependent effects (SEP evoked)</w:t>
            </w:r>
          </w:p>
        </w:tc>
        <w:tc>
          <w:tcPr>
            <w:tcW w:w="1276" w:type="dxa"/>
            <w:tcBorders>
              <w:top w:val="single" w:sz="4" w:space="0" w:color="auto"/>
              <w:bottom w:val="single" w:sz="4" w:space="0" w:color="auto"/>
            </w:tcBorders>
            <w:tcMar>
              <w:top w:w="0" w:type="dxa"/>
              <w:left w:w="108" w:type="dxa"/>
              <w:bottom w:w="0" w:type="dxa"/>
              <w:right w:w="108" w:type="dxa"/>
            </w:tcMar>
          </w:tcPr>
          <w:p w14:paraId="20FF7844"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18</w:t>
            </w:r>
          </w:p>
        </w:tc>
      </w:tr>
      <w:tr w:rsidR="008072FE" w:rsidRPr="003634F8" w14:paraId="2D89CBF8"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65ABB3E5" w14:textId="77777777" w:rsidR="008072FE" w:rsidRPr="003634F8" w:rsidRDefault="008072FE" w:rsidP="00A55016">
            <w:pPr>
              <w:pStyle w:val="Standard"/>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(Lee et al., 2015)</w:t>
            </w:r>
            <w:r>
              <w:rPr>
                <w:rFonts w:ascii="Times New Roman" w:hAnsi="Times New Roman" w:cs="Times New Roman"/>
                <w:b/>
                <w:bCs/>
                <w:color w:val="000000"/>
                <w:sz w:val="18"/>
                <w:szCs w:val="18"/>
                <w:lang w:val="da-DK"/>
              </w:rPr>
              <w:t xml:space="preserve"> [3]</w:t>
            </w:r>
          </w:p>
        </w:tc>
        <w:tc>
          <w:tcPr>
            <w:tcW w:w="992" w:type="dxa"/>
            <w:tcBorders>
              <w:top w:val="single" w:sz="4" w:space="0" w:color="auto"/>
              <w:bottom w:val="single" w:sz="4" w:space="0" w:color="auto"/>
            </w:tcBorders>
            <w:tcMar>
              <w:top w:w="0" w:type="dxa"/>
              <w:left w:w="108" w:type="dxa"/>
              <w:bottom w:w="0" w:type="dxa"/>
              <w:right w:w="108" w:type="dxa"/>
            </w:tcMar>
          </w:tcPr>
          <w:p w14:paraId="072156C0"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S1</w:t>
            </w:r>
          </w:p>
        </w:tc>
        <w:tc>
          <w:tcPr>
            <w:tcW w:w="189" w:type="dxa"/>
            <w:tcBorders>
              <w:top w:val="single" w:sz="4" w:space="0" w:color="auto"/>
              <w:bottom w:val="single" w:sz="4" w:space="0" w:color="auto"/>
            </w:tcBorders>
          </w:tcPr>
          <w:p w14:paraId="2509AF36"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auto"/>
            </w:tcBorders>
            <w:tcMar>
              <w:top w:w="0" w:type="dxa"/>
              <w:left w:w="108" w:type="dxa"/>
              <w:bottom w:w="0" w:type="dxa"/>
              <w:right w:w="108" w:type="dxa"/>
            </w:tcMar>
          </w:tcPr>
          <w:p w14:paraId="7F936B94"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FF (kHz): 250</w:t>
            </w:r>
          </w:p>
          <w:p w14:paraId="5592F91C"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PD (ms): 1</w:t>
            </w:r>
          </w:p>
          <w:p w14:paraId="026B9A31"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PRF (Hz): 500</w:t>
            </w:r>
          </w:p>
          <w:p w14:paraId="7506F64E"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DC (%): 50</w:t>
            </w:r>
          </w:p>
          <w:p w14:paraId="27240A7F"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SD (s): 0.3</w:t>
            </w:r>
          </w:p>
          <w:p w14:paraId="2CB373CB" w14:textId="77777777" w:rsidR="008072FE" w:rsidRPr="003634F8" w:rsidRDefault="008072FE" w:rsidP="00A55016">
            <w:pPr>
              <w:pStyle w:val="Standard"/>
              <w:rPr>
                <w:rFonts w:ascii="Times New Roman" w:hAnsi="Times New Roman" w:cs="Times New Roman"/>
                <w:sz w:val="18"/>
                <w:szCs w:val="18"/>
              </w:rPr>
            </w:pP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xml:space="preserve">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 3</w:t>
            </w:r>
          </w:p>
        </w:tc>
        <w:tc>
          <w:tcPr>
            <w:tcW w:w="1418" w:type="dxa"/>
            <w:tcBorders>
              <w:top w:val="single" w:sz="4" w:space="0" w:color="auto"/>
              <w:bottom w:val="single" w:sz="4" w:space="0" w:color="auto"/>
            </w:tcBorders>
            <w:tcMar>
              <w:top w:w="0" w:type="dxa"/>
              <w:left w:w="108" w:type="dxa"/>
              <w:bottom w:w="0" w:type="dxa"/>
              <w:right w:w="108" w:type="dxa"/>
            </w:tcMar>
          </w:tcPr>
          <w:p w14:paraId="7B6DFB6C"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Online ERP</w:t>
            </w:r>
          </w:p>
        </w:tc>
        <w:tc>
          <w:tcPr>
            <w:tcW w:w="2126" w:type="dxa"/>
            <w:tcBorders>
              <w:top w:val="single" w:sz="4" w:space="0" w:color="auto"/>
              <w:bottom w:val="single" w:sz="4" w:space="0" w:color="auto"/>
            </w:tcBorders>
            <w:tcMar>
              <w:top w:w="0" w:type="dxa"/>
              <w:left w:w="108" w:type="dxa"/>
              <w:bottom w:w="0" w:type="dxa"/>
              <w:right w:w="108" w:type="dxa"/>
            </w:tcMar>
          </w:tcPr>
          <w:p w14:paraId="455365C8"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Reduction of ERP amplitudes (SEP evoked)</w:t>
            </w:r>
          </w:p>
        </w:tc>
        <w:tc>
          <w:tcPr>
            <w:tcW w:w="1276" w:type="dxa"/>
            <w:tcBorders>
              <w:top w:val="single" w:sz="4" w:space="0" w:color="auto"/>
              <w:bottom w:val="single" w:sz="4" w:space="0" w:color="auto"/>
            </w:tcBorders>
            <w:tcMar>
              <w:top w:w="0" w:type="dxa"/>
              <w:left w:w="108" w:type="dxa"/>
              <w:bottom w:w="0" w:type="dxa"/>
              <w:right w:w="108" w:type="dxa"/>
            </w:tcMar>
          </w:tcPr>
          <w:p w14:paraId="2B7473C3"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18</w:t>
            </w:r>
          </w:p>
        </w:tc>
      </w:tr>
      <w:tr w:rsidR="008072FE" w:rsidRPr="003634F8" w14:paraId="11EF62F8"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1A62B18D" w14:textId="77777777" w:rsidR="008072FE" w:rsidRPr="003634F8" w:rsidRDefault="008072FE" w:rsidP="00A55016">
            <w:pPr>
              <w:pStyle w:val="Standard"/>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(Lee et al., 2016)</w:t>
            </w:r>
            <w:r>
              <w:rPr>
                <w:rFonts w:ascii="Times New Roman" w:hAnsi="Times New Roman" w:cs="Times New Roman"/>
                <w:b/>
                <w:bCs/>
                <w:color w:val="000000"/>
                <w:sz w:val="18"/>
                <w:szCs w:val="18"/>
                <w:lang w:val="da-DK"/>
              </w:rPr>
              <w:t xml:space="preserve"> [4]</w:t>
            </w:r>
          </w:p>
        </w:tc>
        <w:tc>
          <w:tcPr>
            <w:tcW w:w="992" w:type="dxa"/>
            <w:tcBorders>
              <w:top w:val="single" w:sz="4" w:space="0" w:color="auto"/>
              <w:bottom w:val="single" w:sz="4" w:space="0" w:color="auto"/>
            </w:tcBorders>
            <w:tcMar>
              <w:top w:w="0" w:type="dxa"/>
              <w:left w:w="108" w:type="dxa"/>
              <w:bottom w:w="0" w:type="dxa"/>
              <w:right w:w="108" w:type="dxa"/>
            </w:tcMar>
          </w:tcPr>
          <w:p w14:paraId="57423A80"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V1</w:t>
            </w:r>
          </w:p>
        </w:tc>
        <w:tc>
          <w:tcPr>
            <w:tcW w:w="189" w:type="dxa"/>
            <w:tcBorders>
              <w:top w:val="single" w:sz="4" w:space="0" w:color="auto"/>
              <w:bottom w:val="single" w:sz="4" w:space="0" w:color="auto"/>
            </w:tcBorders>
          </w:tcPr>
          <w:p w14:paraId="22CB16E5"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auto"/>
            </w:tcBorders>
            <w:tcMar>
              <w:top w:w="0" w:type="dxa"/>
              <w:left w:w="108" w:type="dxa"/>
              <w:bottom w:w="0" w:type="dxa"/>
              <w:right w:w="108" w:type="dxa"/>
            </w:tcMar>
          </w:tcPr>
          <w:p w14:paraId="643A1339"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FF (kHz): 250</w:t>
            </w:r>
          </w:p>
          <w:p w14:paraId="23006F37"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PD (ms): 1</w:t>
            </w:r>
          </w:p>
          <w:p w14:paraId="62B74DF8"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PRF (Hz): 500</w:t>
            </w:r>
          </w:p>
          <w:p w14:paraId="2D371DC1"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DC (%): 50</w:t>
            </w:r>
          </w:p>
          <w:p w14:paraId="367D35DA"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SD (s): 0.3</w:t>
            </w:r>
          </w:p>
          <w:p w14:paraId="7C87C3A2" w14:textId="77777777" w:rsidR="008072FE" w:rsidRPr="003634F8" w:rsidRDefault="008072FE" w:rsidP="00A55016">
            <w:pPr>
              <w:pStyle w:val="Standard"/>
              <w:rPr>
                <w:rFonts w:ascii="Times New Roman" w:hAnsi="Times New Roman" w:cs="Times New Roman"/>
                <w:sz w:val="18"/>
                <w:szCs w:val="18"/>
              </w:rPr>
            </w:pP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xml:space="preserve">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 16.6</w:t>
            </w:r>
          </w:p>
        </w:tc>
        <w:tc>
          <w:tcPr>
            <w:tcW w:w="1418" w:type="dxa"/>
            <w:tcBorders>
              <w:top w:val="single" w:sz="4" w:space="0" w:color="auto"/>
              <w:bottom w:val="single" w:sz="4" w:space="0" w:color="auto"/>
            </w:tcBorders>
            <w:tcMar>
              <w:top w:w="0" w:type="dxa"/>
              <w:left w:w="108" w:type="dxa"/>
              <w:bottom w:w="0" w:type="dxa"/>
              <w:right w:w="108" w:type="dxa"/>
            </w:tcMar>
          </w:tcPr>
          <w:p w14:paraId="7F691D14"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Online ERP</w:t>
            </w:r>
          </w:p>
        </w:tc>
        <w:tc>
          <w:tcPr>
            <w:tcW w:w="2126" w:type="dxa"/>
            <w:tcBorders>
              <w:top w:val="single" w:sz="4" w:space="0" w:color="auto"/>
              <w:bottom w:val="single" w:sz="4" w:space="0" w:color="auto"/>
            </w:tcBorders>
            <w:tcMar>
              <w:top w:w="0" w:type="dxa"/>
              <w:left w:w="108" w:type="dxa"/>
              <w:bottom w:w="0" w:type="dxa"/>
              <w:right w:w="108" w:type="dxa"/>
            </w:tcMar>
          </w:tcPr>
          <w:p w14:paraId="7E8D7296"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Reduction of ERP amplitudes (VEP evoked)</w:t>
            </w:r>
          </w:p>
        </w:tc>
        <w:tc>
          <w:tcPr>
            <w:tcW w:w="1276" w:type="dxa"/>
            <w:tcBorders>
              <w:top w:val="single" w:sz="4" w:space="0" w:color="auto"/>
              <w:bottom w:val="single" w:sz="4" w:space="0" w:color="auto"/>
            </w:tcBorders>
            <w:tcMar>
              <w:top w:w="0" w:type="dxa"/>
              <w:left w:w="108" w:type="dxa"/>
              <w:bottom w:w="0" w:type="dxa"/>
              <w:right w:w="108" w:type="dxa"/>
            </w:tcMar>
          </w:tcPr>
          <w:p w14:paraId="1371DB1B"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19</w:t>
            </w:r>
          </w:p>
        </w:tc>
      </w:tr>
      <w:tr w:rsidR="008072FE" w:rsidRPr="003634F8" w14:paraId="2DF9F9D0"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27B47480" w14:textId="77777777" w:rsidR="008072FE" w:rsidRPr="003634F8" w:rsidRDefault="008072FE" w:rsidP="00A55016">
            <w:pPr>
              <w:pStyle w:val="Standard"/>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(Legon et al., 2018)</w:t>
            </w:r>
            <w:r>
              <w:rPr>
                <w:rFonts w:ascii="Times New Roman" w:hAnsi="Times New Roman" w:cs="Times New Roman"/>
                <w:b/>
                <w:bCs/>
                <w:color w:val="000000"/>
                <w:sz w:val="18"/>
                <w:szCs w:val="18"/>
                <w:lang w:val="da-DK"/>
              </w:rPr>
              <w:t xml:space="preserve"> [5]</w:t>
            </w:r>
          </w:p>
        </w:tc>
        <w:tc>
          <w:tcPr>
            <w:tcW w:w="992" w:type="dxa"/>
            <w:tcBorders>
              <w:top w:val="single" w:sz="4" w:space="0" w:color="auto"/>
              <w:bottom w:val="single" w:sz="4" w:space="0" w:color="auto"/>
            </w:tcBorders>
            <w:tcMar>
              <w:top w:w="0" w:type="dxa"/>
              <w:left w:w="108" w:type="dxa"/>
              <w:bottom w:w="0" w:type="dxa"/>
              <w:right w:w="108" w:type="dxa"/>
            </w:tcMar>
          </w:tcPr>
          <w:p w14:paraId="50E61303"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VPL</w:t>
            </w:r>
          </w:p>
        </w:tc>
        <w:tc>
          <w:tcPr>
            <w:tcW w:w="189" w:type="dxa"/>
            <w:tcBorders>
              <w:top w:val="single" w:sz="4" w:space="0" w:color="auto"/>
              <w:bottom w:val="single" w:sz="4" w:space="0" w:color="auto"/>
            </w:tcBorders>
          </w:tcPr>
          <w:p w14:paraId="257442FE"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auto"/>
            </w:tcBorders>
            <w:tcMar>
              <w:top w:w="0" w:type="dxa"/>
              <w:left w:w="108" w:type="dxa"/>
              <w:bottom w:w="0" w:type="dxa"/>
              <w:right w:w="108" w:type="dxa"/>
            </w:tcMar>
          </w:tcPr>
          <w:p w14:paraId="783AC923"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FF (kHz): 500</w:t>
            </w:r>
          </w:p>
          <w:p w14:paraId="02432CC5"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PD (ms): 0.36</w:t>
            </w:r>
          </w:p>
          <w:p w14:paraId="66192827"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PRF (Hz): 1000</w:t>
            </w:r>
          </w:p>
          <w:p w14:paraId="6E264EE9"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DC (%): 36</w:t>
            </w:r>
          </w:p>
          <w:p w14:paraId="4EAE4352"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SD (s): 0.5</w:t>
            </w:r>
          </w:p>
          <w:p w14:paraId="0E59723D" w14:textId="77777777" w:rsidR="008072FE" w:rsidRPr="003634F8" w:rsidRDefault="008072FE" w:rsidP="00A55016">
            <w:pPr>
              <w:pStyle w:val="Standard"/>
              <w:rPr>
                <w:rFonts w:ascii="Times New Roman" w:hAnsi="Times New Roman" w:cs="Times New Roman"/>
                <w:sz w:val="18"/>
                <w:szCs w:val="18"/>
              </w:rPr>
            </w:pP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xml:space="preserve">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 14.5</w:t>
            </w:r>
          </w:p>
        </w:tc>
        <w:tc>
          <w:tcPr>
            <w:tcW w:w="1418" w:type="dxa"/>
            <w:tcBorders>
              <w:top w:val="single" w:sz="4" w:space="0" w:color="auto"/>
              <w:bottom w:val="single" w:sz="4" w:space="0" w:color="auto"/>
            </w:tcBorders>
            <w:tcMar>
              <w:top w:w="0" w:type="dxa"/>
              <w:left w:w="108" w:type="dxa"/>
              <w:bottom w:w="0" w:type="dxa"/>
              <w:right w:w="108" w:type="dxa"/>
            </w:tcMar>
          </w:tcPr>
          <w:p w14:paraId="188052A6"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Online ERP and ERSP</w:t>
            </w:r>
          </w:p>
        </w:tc>
        <w:tc>
          <w:tcPr>
            <w:tcW w:w="2126" w:type="dxa"/>
            <w:tcBorders>
              <w:top w:val="single" w:sz="4" w:space="0" w:color="auto"/>
              <w:bottom w:val="single" w:sz="4" w:space="0" w:color="auto"/>
            </w:tcBorders>
            <w:tcMar>
              <w:top w:w="0" w:type="dxa"/>
              <w:left w:w="108" w:type="dxa"/>
              <w:bottom w:w="0" w:type="dxa"/>
              <w:right w:w="108" w:type="dxa"/>
            </w:tcMar>
          </w:tcPr>
          <w:p w14:paraId="0DEF5E88"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Reduction of ERP and ERSP amplitudes (SEP evoked)</w:t>
            </w:r>
          </w:p>
        </w:tc>
        <w:tc>
          <w:tcPr>
            <w:tcW w:w="1276" w:type="dxa"/>
            <w:tcBorders>
              <w:top w:val="single" w:sz="4" w:space="0" w:color="auto"/>
              <w:bottom w:val="single" w:sz="4" w:space="0" w:color="auto"/>
            </w:tcBorders>
            <w:tcMar>
              <w:top w:w="0" w:type="dxa"/>
              <w:left w:w="108" w:type="dxa"/>
              <w:bottom w:w="0" w:type="dxa"/>
              <w:right w:w="108" w:type="dxa"/>
            </w:tcMar>
          </w:tcPr>
          <w:p w14:paraId="330A5209"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20</w:t>
            </w:r>
          </w:p>
        </w:tc>
      </w:tr>
      <w:tr w:rsidR="008072FE" w:rsidRPr="003634F8" w14:paraId="3831143C"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69F17288" w14:textId="77777777" w:rsidR="008072FE" w:rsidRPr="003634F8" w:rsidRDefault="008072FE" w:rsidP="00A55016">
            <w:pPr>
              <w:pStyle w:val="Standard"/>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(Butler et al., 2022)</w:t>
            </w:r>
            <w:r>
              <w:rPr>
                <w:rFonts w:ascii="Times New Roman" w:hAnsi="Times New Roman" w:cs="Times New Roman"/>
                <w:b/>
                <w:bCs/>
                <w:color w:val="000000"/>
                <w:sz w:val="18"/>
                <w:szCs w:val="18"/>
                <w:lang w:val="da-DK"/>
              </w:rPr>
              <w:t xml:space="preserve"> [6]</w:t>
            </w:r>
          </w:p>
        </w:tc>
        <w:tc>
          <w:tcPr>
            <w:tcW w:w="992" w:type="dxa"/>
            <w:tcBorders>
              <w:top w:val="single" w:sz="4" w:space="0" w:color="auto"/>
              <w:bottom w:val="single" w:sz="4" w:space="0" w:color="auto"/>
            </w:tcBorders>
            <w:tcMar>
              <w:top w:w="0" w:type="dxa"/>
              <w:left w:w="108" w:type="dxa"/>
              <w:bottom w:w="0" w:type="dxa"/>
              <w:right w:w="108" w:type="dxa"/>
            </w:tcMar>
          </w:tcPr>
          <w:p w14:paraId="6EC3C0AB"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V5</w:t>
            </w:r>
          </w:p>
        </w:tc>
        <w:tc>
          <w:tcPr>
            <w:tcW w:w="189" w:type="dxa"/>
            <w:tcBorders>
              <w:top w:val="single" w:sz="4" w:space="0" w:color="auto"/>
              <w:bottom w:val="single" w:sz="4" w:space="0" w:color="auto"/>
            </w:tcBorders>
          </w:tcPr>
          <w:p w14:paraId="66C34439"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auto"/>
            </w:tcBorders>
            <w:tcMar>
              <w:top w:w="0" w:type="dxa"/>
              <w:left w:w="108" w:type="dxa"/>
              <w:bottom w:w="0" w:type="dxa"/>
              <w:right w:w="108" w:type="dxa"/>
            </w:tcMar>
          </w:tcPr>
          <w:p w14:paraId="6C1D3252"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FF (kHz): 500</w:t>
            </w:r>
          </w:p>
          <w:p w14:paraId="3720580B"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PD (ms): 0.5</w:t>
            </w:r>
          </w:p>
          <w:p w14:paraId="6EDE7955"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PRF (Hz): 1000</w:t>
            </w:r>
          </w:p>
          <w:p w14:paraId="67E19BD3"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DC (%): 50</w:t>
            </w:r>
          </w:p>
          <w:p w14:paraId="5523E7DC"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SD (s): 0.3</w:t>
            </w:r>
          </w:p>
          <w:p w14:paraId="5D82C693" w14:textId="77777777" w:rsidR="008072FE" w:rsidRPr="003634F8" w:rsidRDefault="008072FE" w:rsidP="00A55016">
            <w:pPr>
              <w:pStyle w:val="Standard"/>
              <w:rPr>
                <w:rFonts w:ascii="Times New Roman" w:hAnsi="Times New Roman" w:cs="Times New Roman"/>
                <w:sz w:val="18"/>
                <w:szCs w:val="18"/>
              </w:rPr>
            </w:pP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xml:space="preserve">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 5.7</w:t>
            </w:r>
          </w:p>
        </w:tc>
        <w:tc>
          <w:tcPr>
            <w:tcW w:w="1418" w:type="dxa"/>
            <w:tcBorders>
              <w:top w:val="single" w:sz="4" w:space="0" w:color="auto"/>
              <w:bottom w:val="single" w:sz="4" w:space="0" w:color="auto"/>
            </w:tcBorders>
            <w:tcMar>
              <w:top w:w="0" w:type="dxa"/>
              <w:left w:w="108" w:type="dxa"/>
              <w:bottom w:w="0" w:type="dxa"/>
              <w:right w:w="108" w:type="dxa"/>
            </w:tcMar>
          </w:tcPr>
          <w:p w14:paraId="7D08E591"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Online ERP</w:t>
            </w:r>
          </w:p>
        </w:tc>
        <w:tc>
          <w:tcPr>
            <w:tcW w:w="2126" w:type="dxa"/>
            <w:tcBorders>
              <w:top w:val="single" w:sz="4" w:space="0" w:color="auto"/>
              <w:bottom w:val="single" w:sz="4" w:space="0" w:color="auto"/>
            </w:tcBorders>
            <w:tcMar>
              <w:top w:w="0" w:type="dxa"/>
              <w:left w:w="108" w:type="dxa"/>
              <w:bottom w:w="0" w:type="dxa"/>
              <w:right w:w="108" w:type="dxa"/>
            </w:tcMar>
          </w:tcPr>
          <w:p w14:paraId="595BE8A8"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Reduction of ERP (VEP evoked)</w:t>
            </w:r>
          </w:p>
        </w:tc>
        <w:tc>
          <w:tcPr>
            <w:tcW w:w="1276" w:type="dxa"/>
            <w:tcBorders>
              <w:top w:val="single" w:sz="4" w:space="0" w:color="auto"/>
              <w:bottom w:val="single" w:sz="4" w:space="0" w:color="auto"/>
            </w:tcBorders>
            <w:tcMar>
              <w:top w:w="0" w:type="dxa"/>
              <w:left w:w="108" w:type="dxa"/>
              <w:bottom w:w="0" w:type="dxa"/>
              <w:right w:w="108" w:type="dxa"/>
            </w:tcMar>
          </w:tcPr>
          <w:p w14:paraId="35F94DF9"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16</w:t>
            </w:r>
          </w:p>
        </w:tc>
      </w:tr>
      <w:tr w:rsidR="008072FE" w:rsidRPr="003634F8" w14:paraId="45A26907"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4DE22646" w14:textId="77777777" w:rsidR="008072FE" w:rsidRPr="003634F8" w:rsidRDefault="008072FE" w:rsidP="00A55016">
            <w:pPr>
              <w:pStyle w:val="Standard"/>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(Braun et al., 2020)</w:t>
            </w:r>
            <w:r>
              <w:rPr>
                <w:rFonts w:ascii="Times New Roman" w:hAnsi="Times New Roman" w:cs="Times New Roman"/>
                <w:b/>
                <w:bCs/>
                <w:color w:val="000000"/>
                <w:sz w:val="18"/>
                <w:szCs w:val="18"/>
                <w:lang w:val="da-DK"/>
              </w:rPr>
              <w:t xml:space="preserve"> [7]</w:t>
            </w:r>
          </w:p>
        </w:tc>
        <w:tc>
          <w:tcPr>
            <w:tcW w:w="992" w:type="dxa"/>
            <w:tcBorders>
              <w:top w:val="single" w:sz="4" w:space="0" w:color="auto"/>
              <w:bottom w:val="single" w:sz="4" w:space="0" w:color="auto"/>
            </w:tcBorders>
            <w:tcMar>
              <w:top w:w="0" w:type="dxa"/>
              <w:left w:w="108" w:type="dxa"/>
              <w:bottom w:w="0" w:type="dxa"/>
              <w:right w:w="108" w:type="dxa"/>
            </w:tcMar>
          </w:tcPr>
          <w:p w14:paraId="77E33B85"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V1</w:t>
            </w:r>
          </w:p>
        </w:tc>
        <w:tc>
          <w:tcPr>
            <w:tcW w:w="189" w:type="dxa"/>
            <w:tcBorders>
              <w:top w:val="single" w:sz="4" w:space="0" w:color="auto"/>
              <w:bottom w:val="single" w:sz="4" w:space="0" w:color="auto"/>
            </w:tcBorders>
          </w:tcPr>
          <w:p w14:paraId="636F5354"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auto"/>
            </w:tcBorders>
            <w:tcMar>
              <w:top w:w="0" w:type="dxa"/>
              <w:left w:w="108" w:type="dxa"/>
              <w:bottom w:w="0" w:type="dxa"/>
              <w:right w:w="108" w:type="dxa"/>
            </w:tcMar>
          </w:tcPr>
          <w:p w14:paraId="40DC9AA7"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FF (kHz): 500</w:t>
            </w:r>
          </w:p>
          <w:p w14:paraId="6A25CA0A"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PD (ms): 0.5</w:t>
            </w:r>
          </w:p>
          <w:p w14:paraId="46C4C583"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PRF (Hz): 1000</w:t>
            </w:r>
          </w:p>
          <w:p w14:paraId="05DA114E"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DC (%): 50</w:t>
            </w:r>
          </w:p>
          <w:p w14:paraId="19D6813B"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SD (s): 0.3</w:t>
            </w:r>
          </w:p>
          <w:p w14:paraId="55286822" w14:textId="77777777" w:rsidR="008072FE" w:rsidRPr="003634F8" w:rsidRDefault="008072FE" w:rsidP="00A55016">
            <w:pPr>
              <w:pStyle w:val="Standard"/>
              <w:rPr>
                <w:rFonts w:ascii="Times New Roman" w:hAnsi="Times New Roman" w:cs="Times New Roman"/>
                <w:sz w:val="18"/>
                <w:szCs w:val="18"/>
              </w:rPr>
            </w:pP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xml:space="preserve">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 5.4</w:t>
            </w:r>
          </w:p>
        </w:tc>
        <w:tc>
          <w:tcPr>
            <w:tcW w:w="1418" w:type="dxa"/>
            <w:tcBorders>
              <w:top w:val="single" w:sz="4" w:space="0" w:color="auto"/>
              <w:bottom w:val="single" w:sz="4" w:space="0" w:color="auto"/>
            </w:tcBorders>
            <w:tcMar>
              <w:top w:w="0" w:type="dxa"/>
              <w:left w:w="108" w:type="dxa"/>
              <w:bottom w:w="0" w:type="dxa"/>
              <w:right w:w="108" w:type="dxa"/>
            </w:tcMar>
          </w:tcPr>
          <w:p w14:paraId="0A2FC6EF"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Online ERP</w:t>
            </w:r>
          </w:p>
        </w:tc>
        <w:tc>
          <w:tcPr>
            <w:tcW w:w="2126" w:type="dxa"/>
            <w:tcBorders>
              <w:top w:val="single" w:sz="4" w:space="0" w:color="auto"/>
              <w:bottom w:val="single" w:sz="4" w:space="0" w:color="auto"/>
            </w:tcBorders>
            <w:tcMar>
              <w:top w:w="0" w:type="dxa"/>
              <w:left w:w="108" w:type="dxa"/>
              <w:bottom w:w="0" w:type="dxa"/>
              <w:right w:w="108" w:type="dxa"/>
            </w:tcMar>
          </w:tcPr>
          <w:p w14:paraId="65EF657C"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Reduction of auditory ERP when auditory masked (Auditory evoked)</w:t>
            </w:r>
          </w:p>
        </w:tc>
        <w:tc>
          <w:tcPr>
            <w:tcW w:w="1276" w:type="dxa"/>
            <w:tcBorders>
              <w:top w:val="single" w:sz="4" w:space="0" w:color="auto"/>
              <w:bottom w:val="single" w:sz="4" w:space="0" w:color="auto"/>
            </w:tcBorders>
            <w:tcMar>
              <w:top w:w="0" w:type="dxa"/>
              <w:left w:w="108" w:type="dxa"/>
              <w:bottom w:w="0" w:type="dxa"/>
              <w:right w:w="108" w:type="dxa"/>
            </w:tcMar>
          </w:tcPr>
          <w:p w14:paraId="2C153BC3"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18</w:t>
            </w:r>
          </w:p>
        </w:tc>
      </w:tr>
      <w:tr w:rsidR="008072FE" w:rsidRPr="003634F8" w14:paraId="15EF6FA6"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02A40C6F" w14:textId="77777777" w:rsidR="008072FE" w:rsidRPr="003634F8" w:rsidRDefault="008072FE" w:rsidP="00A55016">
            <w:pPr>
              <w:pStyle w:val="Standard"/>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(Yu et al., 2021)</w:t>
            </w:r>
            <w:r w:rsidRPr="003634F8">
              <w:rPr>
                <w:rFonts w:ascii="Times New Roman" w:hAnsi="Times New Roman" w:cs="Times New Roman"/>
                <w:b/>
                <w:bCs/>
                <w:sz w:val="18"/>
                <w:szCs w:val="18"/>
                <w:lang w:val="da-DK"/>
              </w:rPr>
              <w:t xml:space="preserve"> </w:t>
            </w:r>
            <w:r>
              <w:rPr>
                <w:rFonts w:ascii="Times New Roman" w:hAnsi="Times New Roman" w:cs="Times New Roman"/>
                <w:b/>
                <w:bCs/>
                <w:color w:val="000000"/>
                <w:sz w:val="18"/>
                <w:szCs w:val="18"/>
                <w:lang w:val="da-DK"/>
              </w:rPr>
              <w:t>[8]</w:t>
            </w:r>
          </w:p>
        </w:tc>
        <w:tc>
          <w:tcPr>
            <w:tcW w:w="992" w:type="dxa"/>
            <w:tcBorders>
              <w:top w:val="single" w:sz="4" w:space="0" w:color="auto"/>
              <w:bottom w:val="single" w:sz="4" w:space="0" w:color="auto"/>
            </w:tcBorders>
            <w:tcMar>
              <w:top w:w="0" w:type="dxa"/>
              <w:left w:w="108" w:type="dxa"/>
              <w:bottom w:w="0" w:type="dxa"/>
              <w:right w:w="108" w:type="dxa"/>
            </w:tcMar>
          </w:tcPr>
          <w:p w14:paraId="6A7DBE76"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S1</w:t>
            </w:r>
          </w:p>
        </w:tc>
        <w:tc>
          <w:tcPr>
            <w:tcW w:w="189" w:type="dxa"/>
            <w:tcBorders>
              <w:top w:val="single" w:sz="4" w:space="0" w:color="auto"/>
              <w:bottom w:val="single" w:sz="4" w:space="0" w:color="auto"/>
            </w:tcBorders>
          </w:tcPr>
          <w:p w14:paraId="7500A14A"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auto"/>
            </w:tcBorders>
            <w:tcMar>
              <w:top w:w="0" w:type="dxa"/>
              <w:left w:w="108" w:type="dxa"/>
              <w:bottom w:w="0" w:type="dxa"/>
              <w:right w:w="108" w:type="dxa"/>
            </w:tcMar>
          </w:tcPr>
          <w:p w14:paraId="34387E5B"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FF (kHz): 500</w:t>
            </w:r>
          </w:p>
          <w:p w14:paraId="7654473E"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PD (ms): 0.2</w:t>
            </w:r>
          </w:p>
          <w:p w14:paraId="1A3DFBBA"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PRF (Hz): 300 &amp; 3000</w:t>
            </w:r>
          </w:p>
          <w:p w14:paraId="56EEDF1E"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DC (%): 6</w:t>
            </w:r>
          </w:p>
          <w:p w14:paraId="24F265DB"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SD (s): 0.5</w:t>
            </w:r>
          </w:p>
          <w:p w14:paraId="023A41E1" w14:textId="77777777" w:rsidR="008072FE" w:rsidRPr="003634F8" w:rsidRDefault="008072FE" w:rsidP="00A55016">
            <w:pPr>
              <w:pStyle w:val="Standard"/>
              <w:rPr>
                <w:rFonts w:ascii="Times New Roman" w:hAnsi="Times New Roman" w:cs="Times New Roman"/>
                <w:sz w:val="18"/>
                <w:szCs w:val="18"/>
              </w:rPr>
            </w:pP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xml:space="preserve">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 xml:space="preserve">: 5.6 </w:t>
            </w:r>
          </w:p>
        </w:tc>
        <w:tc>
          <w:tcPr>
            <w:tcW w:w="1418" w:type="dxa"/>
            <w:tcBorders>
              <w:top w:val="single" w:sz="4" w:space="0" w:color="auto"/>
              <w:bottom w:val="single" w:sz="4" w:space="0" w:color="auto"/>
            </w:tcBorders>
            <w:tcMar>
              <w:top w:w="0" w:type="dxa"/>
              <w:left w:w="108" w:type="dxa"/>
              <w:bottom w:w="0" w:type="dxa"/>
              <w:right w:w="108" w:type="dxa"/>
            </w:tcMar>
          </w:tcPr>
          <w:p w14:paraId="0FFDF483"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Online ERP</w:t>
            </w:r>
          </w:p>
        </w:tc>
        <w:tc>
          <w:tcPr>
            <w:tcW w:w="2126" w:type="dxa"/>
            <w:tcBorders>
              <w:top w:val="single" w:sz="4" w:space="0" w:color="auto"/>
              <w:bottom w:val="single" w:sz="4" w:space="0" w:color="auto"/>
            </w:tcBorders>
            <w:tcMar>
              <w:top w:w="0" w:type="dxa"/>
              <w:left w:w="108" w:type="dxa"/>
              <w:bottom w:w="0" w:type="dxa"/>
              <w:right w:w="108" w:type="dxa"/>
            </w:tcMar>
          </w:tcPr>
          <w:p w14:paraId="1C99F9AB"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 xml:space="preserve">Increase of ERP (Voluntary movement evoked) </w:t>
            </w:r>
          </w:p>
        </w:tc>
        <w:tc>
          <w:tcPr>
            <w:tcW w:w="1276" w:type="dxa"/>
            <w:tcBorders>
              <w:top w:val="single" w:sz="4" w:space="0" w:color="auto"/>
              <w:bottom w:val="single" w:sz="4" w:space="0" w:color="auto"/>
            </w:tcBorders>
            <w:tcMar>
              <w:top w:w="0" w:type="dxa"/>
              <w:left w:w="108" w:type="dxa"/>
              <w:bottom w:w="0" w:type="dxa"/>
              <w:right w:w="108" w:type="dxa"/>
            </w:tcMar>
          </w:tcPr>
          <w:p w14:paraId="5A0BE8D1"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15</w:t>
            </w:r>
          </w:p>
        </w:tc>
      </w:tr>
      <w:tr w:rsidR="008072FE" w:rsidRPr="003634F8" w14:paraId="340642B8"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1D9ADEFE" w14:textId="77777777" w:rsidR="008072FE" w:rsidRPr="003634F8" w:rsidRDefault="008072FE" w:rsidP="00A55016">
            <w:pPr>
              <w:pStyle w:val="Standard"/>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(Liu et al., 2021)</w:t>
            </w:r>
            <w:r>
              <w:rPr>
                <w:rFonts w:ascii="Times New Roman" w:hAnsi="Times New Roman" w:cs="Times New Roman"/>
                <w:b/>
                <w:bCs/>
                <w:color w:val="000000"/>
                <w:sz w:val="18"/>
                <w:szCs w:val="18"/>
                <w:lang w:val="da-DK"/>
              </w:rPr>
              <w:t xml:space="preserve"> [9]</w:t>
            </w:r>
          </w:p>
        </w:tc>
        <w:tc>
          <w:tcPr>
            <w:tcW w:w="992" w:type="dxa"/>
            <w:tcBorders>
              <w:top w:val="single" w:sz="4" w:space="0" w:color="auto"/>
              <w:bottom w:val="single" w:sz="4" w:space="0" w:color="auto"/>
            </w:tcBorders>
            <w:tcMar>
              <w:top w:w="0" w:type="dxa"/>
              <w:left w:w="108" w:type="dxa"/>
              <w:bottom w:w="0" w:type="dxa"/>
              <w:right w:w="108" w:type="dxa"/>
            </w:tcMar>
          </w:tcPr>
          <w:p w14:paraId="596965C7"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S1</w:t>
            </w:r>
          </w:p>
        </w:tc>
        <w:tc>
          <w:tcPr>
            <w:tcW w:w="189" w:type="dxa"/>
            <w:tcBorders>
              <w:top w:val="single" w:sz="4" w:space="0" w:color="auto"/>
              <w:bottom w:val="single" w:sz="4" w:space="0" w:color="auto"/>
            </w:tcBorders>
          </w:tcPr>
          <w:p w14:paraId="3B726347"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auto"/>
            </w:tcBorders>
            <w:tcMar>
              <w:top w:w="0" w:type="dxa"/>
              <w:left w:w="108" w:type="dxa"/>
              <w:bottom w:w="0" w:type="dxa"/>
              <w:right w:w="108" w:type="dxa"/>
            </w:tcMar>
          </w:tcPr>
          <w:p w14:paraId="2E57686C"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FF (kHz): 500</w:t>
            </w:r>
          </w:p>
          <w:p w14:paraId="6A4DB19A"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PD (ms): 0.2</w:t>
            </w:r>
          </w:p>
          <w:p w14:paraId="41A34DE4"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PRF (Hz): 300</w:t>
            </w:r>
          </w:p>
          <w:p w14:paraId="30F001B7"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DC (%): 6</w:t>
            </w:r>
          </w:p>
          <w:p w14:paraId="027E93D0"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SD (s): 0.5</w:t>
            </w:r>
          </w:p>
          <w:p w14:paraId="4CF94D3B" w14:textId="77777777" w:rsidR="008072FE" w:rsidRPr="003634F8" w:rsidRDefault="008072FE" w:rsidP="00A55016">
            <w:pPr>
              <w:pStyle w:val="Standard"/>
              <w:rPr>
                <w:rFonts w:ascii="Times New Roman" w:hAnsi="Times New Roman" w:cs="Times New Roman"/>
                <w:sz w:val="18"/>
                <w:szCs w:val="18"/>
              </w:rPr>
            </w:pP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xml:space="preserve">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 xml:space="preserve">: 5.6 </w:t>
            </w:r>
          </w:p>
        </w:tc>
        <w:tc>
          <w:tcPr>
            <w:tcW w:w="1418" w:type="dxa"/>
            <w:tcBorders>
              <w:top w:val="single" w:sz="4" w:space="0" w:color="auto"/>
              <w:bottom w:val="single" w:sz="4" w:space="0" w:color="auto"/>
            </w:tcBorders>
            <w:tcMar>
              <w:top w:w="0" w:type="dxa"/>
              <w:left w:w="108" w:type="dxa"/>
              <w:bottom w:w="0" w:type="dxa"/>
              <w:right w:w="108" w:type="dxa"/>
            </w:tcMar>
          </w:tcPr>
          <w:p w14:paraId="1314B2E5"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Online ERP</w:t>
            </w:r>
          </w:p>
        </w:tc>
        <w:tc>
          <w:tcPr>
            <w:tcW w:w="2126" w:type="dxa"/>
            <w:tcBorders>
              <w:top w:val="single" w:sz="4" w:space="0" w:color="auto"/>
              <w:bottom w:val="single" w:sz="4" w:space="0" w:color="auto"/>
            </w:tcBorders>
            <w:tcMar>
              <w:top w:w="0" w:type="dxa"/>
              <w:left w:w="108" w:type="dxa"/>
              <w:bottom w:w="0" w:type="dxa"/>
              <w:right w:w="108" w:type="dxa"/>
            </w:tcMar>
          </w:tcPr>
          <w:p w14:paraId="1C1FB93C"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 xml:space="preserve">Increase of ERP (Peripheric vibration evoked) </w:t>
            </w:r>
          </w:p>
        </w:tc>
        <w:tc>
          <w:tcPr>
            <w:tcW w:w="1276" w:type="dxa"/>
            <w:tcBorders>
              <w:top w:val="single" w:sz="4" w:space="0" w:color="auto"/>
              <w:bottom w:val="single" w:sz="4" w:space="0" w:color="auto"/>
            </w:tcBorders>
            <w:tcMar>
              <w:top w:w="0" w:type="dxa"/>
              <w:left w:w="108" w:type="dxa"/>
              <w:bottom w:w="0" w:type="dxa"/>
              <w:right w:w="108" w:type="dxa"/>
            </w:tcMar>
          </w:tcPr>
          <w:p w14:paraId="0811F590"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9</w:t>
            </w:r>
          </w:p>
        </w:tc>
      </w:tr>
      <w:tr w:rsidR="008072FE" w:rsidRPr="003634F8" w14:paraId="5C72B6CD"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6F3A6987" w14:textId="77777777" w:rsidR="008072FE" w:rsidRPr="003634F8" w:rsidRDefault="008072FE" w:rsidP="00A55016">
            <w:pPr>
              <w:pStyle w:val="Standard"/>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(Y. G. Kim et al., 2022)</w:t>
            </w:r>
            <w:r>
              <w:rPr>
                <w:rFonts w:ascii="Times New Roman" w:hAnsi="Times New Roman" w:cs="Times New Roman"/>
                <w:b/>
                <w:bCs/>
                <w:color w:val="000000"/>
                <w:sz w:val="18"/>
                <w:szCs w:val="18"/>
                <w:lang w:val="da-DK"/>
              </w:rPr>
              <w:t xml:space="preserve"> [10]</w:t>
            </w:r>
          </w:p>
        </w:tc>
        <w:tc>
          <w:tcPr>
            <w:tcW w:w="992" w:type="dxa"/>
            <w:tcBorders>
              <w:top w:val="single" w:sz="4" w:space="0" w:color="auto"/>
              <w:bottom w:val="single" w:sz="4" w:space="0" w:color="auto"/>
            </w:tcBorders>
            <w:tcMar>
              <w:top w:w="0" w:type="dxa"/>
              <w:left w:w="108" w:type="dxa"/>
              <w:bottom w:w="0" w:type="dxa"/>
              <w:right w:w="108" w:type="dxa"/>
            </w:tcMar>
          </w:tcPr>
          <w:p w14:paraId="2EEF5455" w14:textId="77777777" w:rsidR="008072FE" w:rsidRPr="003634F8" w:rsidRDefault="008072FE" w:rsidP="00A55016">
            <w:pPr>
              <w:pStyle w:val="Standard"/>
              <w:rPr>
                <w:rFonts w:ascii="Times New Roman" w:hAnsi="Times New Roman" w:cs="Times New Roman"/>
                <w:sz w:val="18"/>
                <w:szCs w:val="18"/>
              </w:rPr>
            </w:pPr>
            <w:proofErr w:type="spellStart"/>
            <w:r w:rsidRPr="003634F8">
              <w:rPr>
                <w:rFonts w:ascii="Times New Roman" w:hAnsi="Times New Roman" w:cs="Times New Roman"/>
                <w:sz w:val="18"/>
                <w:szCs w:val="18"/>
              </w:rPr>
              <w:t>mPFC</w:t>
            </w:r>
            <w:proofErr w:type="spellEnd"/>
          </w:p>
        </w:tc>
        <w:tc>
          <w:tcPr>
            <w:tcW w:w="189" w:type="dxa"/>
            <w:tcBorders>
              <w:top w:val="single" w:sz="4" w:space="0" w:color="auto"/>
              <w:bottom w:val="single" w:sz="4" w:space="0" w:color="auto"/>
            </w:tcBorders>
          </w:tcPr>
          <w:p w14:paraId="2E83171F"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auto"/>
            </w:tcBorders>
            <w:tcMar>
              <w:top w:w="0" w:type="dxa"/>
              <w:left w:w="108" w:type="dxa"/>
              <w:bottom w:w="0" w:type="dxa"/>
              <w:right w:w="108" w:type="dxa"/>
            </w:tcMar>
          </w:tcPr>
          <w:p w14:paraId="761ADCB8"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Excitatory- FF (kHz): 250 / PD (</w:t>
            </w:r>
            <w:proofErr w:type="spellStart"/>
            <w:r w:rsidRPr="003634F8">
              <w:rPr>
                <w:rFonts w:ascii="Times New Roman" w:hAnsi="Times New Roman" w:cs="Times New Roman"/>
                <w:sz w:val="18"/>
                <w:szCs w:val="18"/>
              </w:rPr>
              <w:t>ms</w:t>
            </w:r>
            <w:proofErr w:type="spellEnd"/>
            <w:r w:rsidRPr="003634F8">
              <w:rPr>
                <w:rFonts w:ascii="Times New Roman" w:hAnsi="Times New Roman" w:cs="Times New Roman"/>
                <w:sz w:val="18"/>
                <w:szCs w:val="18"/>
              </w:rPr>
              <w:t xml:space="preserve">): 0.5 / PRF (Hz):  300 / DC (%): 70 / SD (s): 0.3 / PTRI (s): 5 / PTRD (min): 20 / </w:t>
            </w: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xml:space="preserve">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 3</w:t>
            </w:r>
          </w:p>
          <w:p w14:paraId="7F928496" w14:textId="77777777" w:rsidR="008072FE" w:rsidRPr="003634F8" w:rsidRDefault="008072FE" w:rsidP="00A55016">
            <w:pPr>
              <w:pStyle w:val="Standard"/>
              <w:rPr>
                <w:rFonts w:ascii="Times New Roman" w:hAnsi="Times New Roman" w:cs="Times New Roman"/>
                <w:sz w:val="18"/>
                <w:szCs w:val="18"/>
              </w:rPr>
            </w:pPr>
          </w:p>
          <w:p w14:paraId="32F5778A"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Inhibitory:  FF (kHz): 250 / PD (</w:t>
            </w:r>
            <w:proofErr w:type="spellStart"/>
            <w:r w:rsidRPr="003634F8">
              <w:rPr>
                <w:rFonts w:ascii="Times New Roman" w:hAnsi="Times New Roman" w:cs="Times New Roman"/>
                <w:sz w:val="18"/>
                <w:szCs w:val="18"/>
              </w:rPr>
              <w:t>ms</w:t>
            </w:r>
            <w:proofErr w:type="spellEnd"/>
            <w:r w:rsidRPr="003634F8">
              <w:rPr>
                <w:rFonts w:ascii="Times New Roman" w:hAnsi="Times New Roman" w:cs="Times New Roman"/>
                <w:sz w:val="18"/>
                <w:szCs w:val="18"/>
              </w:rPr>
              <w:t xml:space="preserve">): 0.5 / PRF (Hz):  300 / DC </w:t>
            </w:r>
            <w:r w:rsidRPr="003634F8">
              <w:rPr>
                <w:rFonts w:ascii="Times New Roman" w:hAnsi="Times New Roman" w:cs="Times New Roman"/>
                <w:sz w:val="18"/>
                <w:szCs w:val="18"/>
              </w:rPr>
              <w:lastRenderedPageBreak/>
              <w:t xml:space="preserve">(%): 5 / SD (s): 0.3 / PTRI (s): 5s / PTRI (s): 0 / PTRD (min): 20 / </w:t>
            </w: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xml:space="preserve">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 3</w:t>
            </w:r>
          </w:p>
        </w:tc>
        <w:tc>
          <w:tcPr>
            <w:tcW w:w="1418" w:type="dxa"/>
            <w:tcBorders>
              <w:top w:val="single" w:sz="4" w:space="0" w:color="auto"/>
              <w:bottom w:val="single" w:sz="4" w:space="0" w:color="auto"/>
            </w:tcBorders>
            <w:tcMar>
              <w:top w:w="0" w:type="dxa"/>
              <w:left w:w="108" w:type="dxa"/>
              <w:bottom w:w="0" w:type="dxa"/>
              <w:right w:w="108" w:type="dxa"/>
            </w:tcMar>
          </w:tcPr>
          <w:p w14:paraId="0DF7A527"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lastRenderedPageBreak/>
              <w:t>Offline PSD at rest</w:t>
            </w:r>
          </w:p>
        </w:tc>
        <w:tc>
          <w:tcPr>
            <w:tcW w:w="2126" w:type="dxa"/>
            <w:tcBorders>
              <w:top w:val="single" w:sz="4" w:space="0" w:color="auto"/>
              <w:bottom w:val="single" w:sz="4" w:space="0" w:color="auto"/>
            </w:tcBorders>
            <w:tcMar>
              <w:top w:w="0" w:type="dxa"/>
              <w:left w:w="108" w:type="dxa"/>
              <w:bottom w:w="0" w:type="dxa"/>
              <w:right w:w="108" w:type="dxa"/>
            </w:tcMar>
          </w:tcPr>
          <w:p w14:paraId="70878F99"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Excitatory protocol: delta power reduction, beta power increase</w:t>
            </w:r>
          </w:p>
          <w:p w14:paraId="1B9CD6E5" w14:textId="77777777" w:rsidR="008072FE" w:rsidRPr="003634F8" w:rsidRDefault="008072FE" w:rsidP="00A55016">
            <w:pPr>
              <w:pStyle w:val="Standard"/>
              <w:rPr>
                <w:rFonts w:ascii="Times New Roman" w:hAnsi="Times New Roman" w:cs="Times New Roman"/>
                <w:sz w:val="18"/>
                <w:szCs w:val="18"/>
              </w:rPr>
            </w:pPr>
          </w:p>
          <w:p w14:paraId="6AECE1D6"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Inhibitory protocol: alpha power increase, beta power reduction</w:t>
            </w:r>
          </w:p>
        </w:tc>
        <w:tc>
          <w:tcPr>
            <w:tcW w:w="1276" w:type="dxa"/>
            <w:tcBorders>
              <w:top w:val="single" w:sz="4" w:space="0" w:color="auto"/>
              <w:bottom w:val="single" w:sz="4" w:space="0" w:color="auto"/>
            </w:tcBorders>
            <w:tcMar>
              <w:top w:w="0" w:type="dxa"/>
              <w:left w:w="108" w:type="dxa"/>
              <w:bottom w:w="0" w:type="dxa"/>
              <w:right w:w="108" w:type="dxa"/>
            </w:tcMar>
          </w:tcPr>
          <w:p w14:paraId="1CA0B5FF"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11</w:t>
            </w:r>
          </w:p>
        </w:tc>
      </w:tr>
      <w:tr w:rsidR="008072FE" w:rsidRPr="003634F8" w14:paraId="12C7AB96"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37DBB508" w14:textId="77777777" w:rsidR="008072FE" w:rsidRPr="003634F8" w:rsidRDefault="008072FE" w:rsidP="00A55016">
            <w:pPr>
              <w:pStyle w:val="Standard"/>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(Nandi et al., 2023)</w:t>
            </w:r>
            <w:r>
              <w:rPr>
                <w:rFonts w:ascii="Times New Roman" w:hAnsi="Times New Roman" w:cs="Times New Roman"/>
                <w:b/>
                <w:bCs/>
                <w:color w:val="000000"/>
                <w:sz w:val="18"/>
                <w:szCs w:val="18"/>
                <w:lang w:val="da-DK"/>
              </w:rPr>
              <w:t xml:space="preserve"> [11]</w:t>
            </w:r>
          </w:p>
        </w:tc>
        <w:tc>
          <w:tcPr>
            <w:tcW w:w="992" w:type="dxa"/>
            <w:tcBorders>
              <w:top w:val="single" w:sz="4" w:space="0" w:color="auto"/>
              <w:bottom w:val="single" w:sz="4" w:space="0" w:color="auto"/>
            </w:tcBorders>
            <w:tcMar>
              <w:top w:w="0" w:type="dxa"/>
              <w:left w:w="108" w:type="dxa"/>
              <w:bottom w:w="0" w:type="dxa"/>
              <w:right w:w="108" w:type="dxa"/>
            </w:tcMar>
          </w:tcPr>
          <w:p w14:paraId="02BCD697"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V1</w:t>
            </w:r>
          </w:p>
        </w:tc>
        <w:tc>
          <w:tcPr>
            <w:tcW w:w="189" w:type="dxa"/>
            <w:tcBorders>
              <w:top w:val="single" w:sz="4" w:space="0" w:color="auto"/>
              <w:bottom w:val="single" w:sz="4" w:space="0" w:color="auto"/>
            </w:tcBorders>
          </w:tcPr>
          <w:p w14:paraId="21811ACD"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auto"/>
            </w:tcBorders>
            <w:tcMar>
              <w:top w:w="0" w:type="dxa"/>
              <w:left w:w="108" w:type="dxa"/>
              <w:bottom w:w="0" w:type="dxa"/>
              <w:right w:w="108" w:type="dxa"/>
            </w:tcMar>
          </w:tcPr>
          <w:p w14:paraId="70EDE9F0"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FF (kHz): 270</w:t>
            </w:r>
          </w:p>
          <w:p w14:paraId="72348742"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PD (ms): 3.25</w:t>
            </w:r>
          </w:p>
          <w:p w14:paraId="6435DE8B"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PRF (Hz): 250</w:t>
            </w:r>
          </w:p>
          <w:p w14:paraId="01A7662C"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DC (%): 50</w:t>
            </w:r>
          </w:p>
          <w:p w14:paraId="0E075A23"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SD (s): 0.2</w:t>
            </w:r>
          </w:p>
          <w:p w14:paraId="4B19B460" w14:textId="77777777" w:rsidR="008072FE" w:rsidRPr="003634F8" w:rsidRDefault="008072FE" w:rsidP="00A55016">
            <w:pPr>
              <w:pStyle w:val="Standard"/>
              <w:rPr>
                <w:rFonts w:ascii="Times New Roman" w:hAnsi="Times New Roman" w:cs="Times New Roman"/>
                <w:sz w:val="18"/>
                <w:szCs w:val="18"/>
              </w:rPr>
            </w:pP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xml:space="preserve">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:16</w:t>
            </w:r>
          </w:p>
        </w:tc>
        <w:tc>
          <w:tcPr>
            <w:tcW w:w="1418" w:type="dxa"/>
            <w:tcBorders>
              <w:top w:val="single" w:sz="4" w:space="0" w:color="auto"/>
              <w:bottom w:val="single" w:sz="4" w:space="0" w:color="auto"/>
            </w:tcBorders>
            <w:tcMar>
              <w:top w:w="0" w:type="dxa"/>
              <w:left w:w="108" w:type="dxa"/>
              <w:bottom w:w="0" w:type="dxa"/>
              <w:right w:w="108" w:type="dxa"/>
            </w:tcMar>
          </w:tcPr>
          <w:p w14:paraId="3429AD0A"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Online ERP</w:t>
            </w:r>
          </w:p>
        </w:tc>
        <w:tc>
          <w:tcPr>
            <w:tcW w:w="2126" w:type="dxa"/>
            <w:tcBorders>
              <w:top w:val="single" w:sz="4" w:space="0" w:color="auto"/>
              <w:bottom w:val="single" w:sz="4" w:space="0" w:color="auto"/>
            </w:tcBorders>
            <w:tcMar>
              <w:top w:w="0" w:type="dxa"/>
              <w:left w:w="108" w:type="dxa"/>
              <w:bottom w:w="0" w:type="dxa"/>
              <w:right w:w="108" w:type="dxa"/>
            </w:tcMar>
          </w:tcPr>
          <w:p w14:paraId="3DE038D7"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Increase of ERP amplitudes (VEP evoked)</w:t>
            </w:r>
          </w:p>
        </w:tc>
        <w:tc>
          <w:tcPr>
            <w:tcW w:w="1276" w:type="dxa"/>
            <w:tcBorders>
              <w:top w:val="single" w:sz="4" w:space="0" w:color="auto"/>
              <w:bottom w:val="single" w:sz="4" w:space="0" w:color="auto"/>
            </w:tcBorders>
            <w:tcMar>
              <w:top w:w="0" w:type="dxa"/>
              <w:left w:w="108" w:type="dxa"/>
              <w:bottom w:w="0" w:type="dxa"/>
              <w:right w:w="108" w:type="dxa"/>
            </w:tcMar>
          </w:tcPr>
          <w:p w14:paraId="5DF172A2"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14</w:t>
            </w:r>
          </w:p>
        </w:tc>
      </w:tr>
      <w:tr w:rsidR="008072FE" w:rsidRPr="003634F8" w14:paraId="6D996DDE"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110E6134" w14:textId="77777777" w:rsidR="008072FE" w:rsidRPr="003634F8" w:rsidRDefault="008072FE" w:rsidP="00A55016">
            <w:pPr>
              <w:pStyle w:val="Standard"/>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(H.-C. Kim et al., 2023)</w:t>
            </w:r>
            <w:r>
              <w:rPr>
                <w:rFonts w:ascii="Times New Roman" w:hAnsi="Times New Roman" w:cs="Times New Roman"/>
                <w:b/>
                <w:bCs/>
                <w:color w:val="000000"/>
                <w:sz w:val="18"/>
                <w:szCs w:val="18"/>
                <w:lang w:val="da-DK"/>
              </w:rPr>
              <w:t xml:space="preserve"> [12]</w:t>
            </w:r>
          </w:p>
        </w:tc>
        <w:tc>
          <w:tcPr>
            <w:tcW w:w="992" w:type="dxa"/>
            <w:tcBorders>
              <w:top w:val="single" w:sz="4" w:space="0" w:color="auto"/>
              <w:bottom w:val="single" w:sz="4" w:space="0" w:color="auto"/>
            </w:tcBorders>
            <w:tcMar>
              <w:top w:w="0" w:type="dxa"/>
              <w:left w:w="108" w:type="dxa"/>
              <w:bottom w:w="0" w:type="dxa"/>
              <w:right w:w="108" w:type="dxa"/>
            </w:tcMar>
          </w:tcPr>
          <w:p w14:paraId="6FB3B4D8"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S1 / VPL</w:t>
            </w:r>
          </w:p>
        </w:tc>
        <w:tc>
          <w:tcPr>
            <w:tcW w:w="189" w:type="dxa"/>
            <w:tcBorders>
              <w:top w:val="single" w:sz="4" w:space="0" w:color="auto"/>
              <w:bottom w:val="single" w:sz="4" w:space="0" w:color="auto"/>
            </w:tcBorders>
          </w:tcPr>
          <w:p w14:paraId="5C2DC212"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auto"/>
            </w:tcBorders>
            <w:tcMar>
              <w:top w:w="0" w:type="dxa"/>
              <w:left w:w="108" w:type="dxa"/>
              <w:bottom w:w="0" w:type="dxa"/>
              <w:right w:w="108" w:type="dxa"/>
            </w:tcMar>
          </w:tcPr>
          <w:p w14:paraId="627B1344"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FF (kHz): 250</w:t>
            </w:r>
          </w:p>
          <w:p w14:paraId="269EF2AB"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PD (ms): 0.5,1,2</w:t>
            </w:r>
          </w:p>
          <w:p w14:paraId="3AD0513B"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PRF (Hz):  1400,700,350</w:t>
            </w:r>
          </w:p>
          <w:p w14:paraId="64C9065E"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DC (%): 70</w:t>
            </w:r>
          </w:p>
          <w:p w14:paraId="0F063E5C"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SD (s): 0.2</w:t>
            </w:r>
          </w:p>
          <w:p w14:paraId="7D930CB6" w14:textId="77777777" w:rsidR="008072FE" w:rsidRPr="003634F8" w:rsidRDefault="008072FE" w:rsidP="00A55016">
            <w:pPr>
              <w:pStyle w:val="Standard"/>
              <w:rPr>
                <w:rFonts w:ascii="Times New Roman" w:hAnsi="Times New Roman" w:cs="Times New Roman"/>
                <w:sz w:val="18"/>
                <w:szCs w:val="18"/>
              </w:rPr>
            </w:pP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xml:space="preserve">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 xml:space="preserve">: </w:t>
            </w:r>
          </w:p>
          <w:p w14:paraId="0D5B924A"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14.7-S1; 9.1-VPL</w:t>
            </w:r>
          </w:p>
        </w:tc>
        <w:tc>
          <w:tcPr>
            <w:tcW w:w="1418" w:type="dxa"/>
            <w:tcBorders>
              <w:top w:val="single" w:sz="4" w:space="0" w:color="auto"/>
              <w:bottom w:val="single" w:sz="4" w:space="0" w:color="auto"/>
            </w:tcBorders>
            <w:tcMar>
              <w:top w:w="0" w:type="dxa"/>
              <w:left w:w="108" w:type="dxa"/>
              <w:bottom w:w="0" w:type="dxa"/>
              <w:right w:w="108" w:type="dxa"/>
            </w:tcMar>
          </w:tcPr>
          <w:p w14:paraId="0D07D137"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Online ERP</w:t>
            </w:r>
          </w:p>
        </w:tc>
        <w:tc>
          <w:tcPr>
            <w:tcW w:w="2126" w:type="dxa"/>
            <w:tcBorders>
              <w:top w:val="single" w:sz="4" w:space="0" w:color="auto"/>
              <w:bottom w:val="single" w:sz="4" w:space="0" w:color="auto"/>
            </w:tcBorders>
            <w:tcMar>
              <w:top w:w="0" w:type="dxa"/>
              <w:left w:w="108" w:type="dxa"/>
              <w:bottom w:w="0" w:type="dxa"/>
              <w:right w:w="108" w:type="dxa"/>
            </w:tcMar>
          </w:tcPr>
          <w:p w14:paraId="7FF1E486"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Increase of ERP amplitudes (SEP evoked)</w:t>
            </w:r>
          </w:p>
          <w:p w14:paraId="7DD8D5B2" w14:textId="77777777" w:rsidR="008072FE" w:rsidRPr="003634F8" w:rsidRDefault="008072FE" w:rsidP="00A55016">
            <w:pPr>
              <w:pStyle w:val="Standard"/>
              <w:rPr>
                <w:rFonts w:ascii="Times New Roman" w:hAnsi="Times New Roman" w:cs="Times New Roman"/>
                <w:sz w:val="18"/>
                <w:szCs w:val="18"/>
              </w:rPr>
            </w:pPr>
          </w:p>
          <w:p w14:paraId="028B18F6"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 xml:space="preserve">No </w:t>
            </w:r>
            <w:proofErr w:type="spellStart"/>
            <w:r w:rsidRPr="003634F8">
              <w:rPr>
                <w:rFonts w:ascii="Times New Roman" w:hAnsi="Times New Roman" w:cs="Times New Roman"/>
                <w:sz w:val="18"/>
                <w:szCs w:val="18"/>
              </w:rPr>
              <w:t>tFUS</w:t>
            </w:r>
            <w:proofErr w:type="spellEnd"/>
            <w:r w:rsidRPr="003634F8">
              <w:rPr>
                <w:rFonts w:ascii="Times New Roman" w:hAnsi="Times New Roman" w:cs="Times New Roman"/>
                <w:sz w:val="18"/>
                <w:szCs w:val="18"/>
              </w:rPr>
              <w:t xml:space="preserve"> modulatory effects on ERP auditory evoked potentials</w:t>
            </w:r>
          </w:p>
        </w:tc>
        <w:tc>
          <w:tcPr>
            <w:tcW w:w="1276" w:type="dxa"/>
            <w:tcBorders>
              <w:top w:val="single" w:sz="4" w:space="0" w:color="auto"/>
              <w:bottom w:val="single" w:sz="4" w:space="0" w:color="auto"/>
            </w:tcBorders>
            <w:tcMar>
              <w:top w:w="0" w:type="dxa"/>
              <w:left w:w="108" w:type="dxa"/>
              <w:bottom w:w="0" w:type="dxa"/>
              <w:right w:w="108" w:type="dxa"/>
            </w:tcMar>
          </w:tcPr>
          <w:p w14:paraId="2D493C42"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8</w:t>
            </w:r>
          </w:p>
        </w:tc>
      </w:tr>
      <w:tr w:rsidR="008072FE" w:rsidRPr="003634F8" w14:paraId="10810018"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3218CFD7" w14:textId="77777777" w:rsidR="008072FE" w:rsidRPr="003634F8" w:rsidRDefault="008072FE" w:rsidP="00A55016">
            <w:pPr>
              <w:pStyle w:val="Standard"/>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(Fine et al., 2023)</w:t>
            </w:r>
            <w:r>
              <w:rPr>
                <w:rFonts w:ascii="Times New Roman" w:hAnsi="Times New Roman" w:cs="Times New Roman"/>
                <w:b/>
                <w:bCs/>
                <w:color w:val="000000"/>
                <w:sz w:val="18"/>
                <w:szCs w:val="18"/>
                <w:lang w:val="da-DK"/>
              </w:rPr>
              <w:t xml:space="preserve"> [13]</w:t>
            </w:r>
          </w:p>
        </w:tc>
        <w:tc>
          <w:tcPr>
            <w:tcW w:w="992" w:type="dxa"/>
            <w:tcBorders>
              <w:top w:val="single" w:sz="4" w:space="0" w:color="auto"/>
              <w:bottom w:val="single" w:sz="4" w:space="0" w:color="auto"/>
            </w:tcBorders>
            <w:tcMar>
              <w:top w:w="0" w:type="dxa"/>
              <w:left w:w="108" w:type="dxa"/>
              <w:bottom w:w="0" w:type="dxa"/>
              <w:right w:w="108" w:type="dxa"/>
            </w:tcMar>
          </w:tcPr>
          <w:p w14:paraId="7CEA3E0C"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IFG</w:t>
            </w:r>
          </w:p>
        </w:tc>
        <w:tc>
          <w:tcPr>
            <w:tcW w:w="189" w:type="dxa"/>
            <w:tcBorders>
              <w:top w:val="single" w:sz="4" w:space="0" w:color="auto"/>
              <w:bottom w:val="single" w:sz="4" w:space="0" w:color="auto"/>
            </w:tcBorders>
          </w:tcPr>
          <w:p w14:paraId="415B557C"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auto"/>
            </w:tcBorders>
            <w:tcMar>
              <w:top w:w="0" w:type="dxa"/>
              <w:left w:w="108" w:type="dxa"/>
              <w:bottom w:w="0" w:type="dxa"/>
              <w:right w:w="108" w:type="dxa"/>
            </w:tcMar>
          </w:tcPr>
          <w:p w14:paraId="67EB4B17"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FF (kHz): 500</w:t>
            </w:r>
          </w:p>
          <w:p w14:paraId="48AC916A"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PD (ms): 0.25</w:t>
            </w:r>
          </w:p>
          <w:p w14:paraId="1F53641B"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PRF (Hz): 1000</w:t>
            </w:r>
          </w:p>
          <w:p w14:paraId="5D34160E"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DC (%): 24</w:t>
            </w:r>
          </w:p>
          <w:p w14:paraId="323F0468"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SD (s): 0.5</w:t>
            </w:r>
          </w:p>
          <w:p w14:paraId="3698E425" w14:textId="77777777" w:rsidR="008072FE" w:rsidRPr="003634F8" w:rsidRDefault="008072FE" w:rsidP="00A55016">
            <w:pPr>
              <w:pStyle w:val="Standard"/>
              <w:rPr>
                <w:rFonts w:ascii="Times New Roman" w:hAnsi="Times New Roman" w:cs="Times New Roman"/>
                <w:sz w:val="18"/>
                <w:szCs w:val="18"/>
              </w:rPr>
            </w:pP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xml:space="preserve">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 xml:space="preserve">:22.4 </w:t>
            </w:r>
          </w:p>
        </w:tc>
        <w:tc>
          <w:tcPr>
            <w:tcW w:w="1418" w:type="dxa"/>
            <w:tcBorders>
              <w:top w:val="single" w:sz="4" w:space="0" w:color="auto"/>
              <w:bottom w:val="single" w:sz="4" w:space="0" w:color="auto"/>
            </w:tcBorders>
            <w:tcMar>
              <w:top w:w="0" w:type="dxa"/>
              <w:left w:w="108" w:type="dxa"/>
              <w:bottom w:w="0" w:type="dxa"/>
              <w:right w:w="108" w:type="dxa"/>
            </w:tcMar>
          </w:tcPr>
          <w:p w14:paraId="22753B88"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Online ERP</w:t>
            </w:r>
          </w:p>
        </w:tc>
        <w:tc>
          <w:tcPr>
            <w:tcW w:w="2126" w:type="dxa"/>
            <w:tcBorders>
              <w:top w:val="single" w:sz="4" w:space="0" w:color="auto"/>
              <w:bottom w:val="single" w:sz="4" w:space="0" w:color="auto"/>
            </w:tcBorders>
            <w:tcMar>
              <w:top w:w="0" w:type="dxa"/>
              <w:left w:w="108" w:type="dxa"/>
              <w:bottom w:w="0" w:type="dxa"/>
              <w:right w:w="108" w:type="dxa"/>
            </w:tcMar>
          </w:tcPr>
          <w:p w14:paraId="06798CF4"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Reduction of N200/P300 onset latency</w:t>
            </w:r>
          </w:p>
        </w:tc>
        <w:tc>
          <w:tcPr>
            <w:tcW w:w="1276" w:type="dxa"/>
            <w:tcBorders>
              <w:top w:val="single" w:sz="4" w:space="0" w:color="auto"/>
              <w:bottom w:val="single" w:sz="4" w:space="0" w:color="auto"/>
            </w:tcBorders>
            <w:tcMar>
              <w:top w:w="0" w:type="dxa"/>
              <w:left w:w="108" w:type="dxa"/>
              <w:bottom w:w="0" w:type="dxa"/>
              <w:right w:w="108" w:type="dxa"/>
            </w:tcMar>
          </w:tcPr>
          <w:p w14:paraId="00211721"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63 (25 of each stimulated)</w:t>
            </w:r>
          </w:p>
        </w:tc>
      </w:tr>
      <w:tr w:rsidR="008072FE" w:rsidRPr="003634F8" w14:paraId="69D0834E"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3FED478D" w14:textId="77777777" w:rsidR="008072FE" w:rsidRPr="003634F8" w:rsidRDefault="008072FE" w:rsidP="00A55016">
            <w:pPr>
              <w:pStyle w:val="Standard"/>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(Kosnoff et al., 2024)</w:t>
            </w:r>
            <w:r>
              <w:rPr>
                <w:rFonts w:ascii="Times New Roman" w:hAnsi="Times New Roman" w:cs="Times New Roman"/>
                <w:b/>
                <w:bCs/>
                <w:color w:val="000000"/>
                <w:sz w:val="18"/>
                <w:szCs w:val="18"/>
                <w:lang w:val="da-DK"/>
              </w:rPr>
              <w:t xml:space="preserve"> [14]</w:t>
            </w:r>
          </w:p>
        </w:tc>
        <w:tc>
          <w:tcPr>
            <w:tcW w:w="992" w:type="dxa"/>
            <w:tcBorders>
              <w:top w:val="single" w:sz="4" w:space="0" w:color="auto"/>
              <w:bottom w:val="single" w:sz="4" w:space="0" w:color="auto"/>
            </w:tcBorders>
            <w:tcMar>
              <w:top w:w="0" w:type="dxa"/>
              <w:left w:w="108" w:type="dxa"/>
              <w:bottom w:w="0" w:type="dxa"/>
              <w:right w:w="108" w:type="dxa"/>
            </w:tcMar>
          </w:tcPr>
          <w:p w14:paraId="0CDEC23A"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V5</w:t>
            </w:r>
          </w:p>
        </w:tc>
        <w:tc>
          <w:tcPr>
            <w:tcW w:w="189" w:type="dxa"/>
            <w:tcBorders>
              <w:top w:val="single" w:sz="4" w:space="0" w:color="auto"/>
              <w:bottom w:val="single" w:sz="4" w:space="0" w:color="auto"/>
            </w:tcBorders>
          </w:tcPr>
          <w:p w14:paraId="58CDD421"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auto"/>
            </w:tcBorders>
            <w:tcMar>
              <w:top w:w="0" w:type="dxa"/>
              <w:left w:w="108" w:type="dxa"/>
              <w:bottom w:w="0" w:type="dxa"/>
              <w:right w:w="108" w:type="dxa"/>
            </w:tcMar>
          </w:tcPr>
          <w:p w14:paraId="6B4FE481"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FF (kHz): 700</w:t>
            </w:r>
          </w:p>
          <w:p w14:paraId="72FE25FE"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PD (ms): 0.2</w:t>
            </w:r>
          </w:p>
          <w:p w14:paraId="1B04684D"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PRF (Hz): 3000</w:t>
            </w:r>
          </w:p>
          <w:p w14:paraId="13222286"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DC (%): 60</w:t>
            </w:r>
          </w:p>
          <w:p w14:paraId="1F932C46"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SD (s): 0.5</w:t>
            </w:r>
          </w:p>
          <w:p w14:paraId="6C1638BE"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PTRI (s): 0.6</w:t>
            </w:r>
          </w:p>
          <w:p w14:paraId="2B8BBD85"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PTRD (s): 2.4</w:t>
            </w:r>
          </w:p>
          <w:p w14:paraId="2AF271C2" w14:textId="77777777" w:rsidR="008072FE" w:rsidRPr="003634F8" w:rsidRDefault="008072FE" w:rsidP="00A55016">
            <w:pPr>
              <w:pStyle w:val="Standard"/>
              <w:rPr>
                <w:rFonts w:ascii="Times New Roman" w:hAnsi="Times New Roman" w:cs="Times New Roman"/>
                <w:sz w:val="18"/>
                <w:szCs w:val="18"/>
              </w:rPr>
            </w:pP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xml:space="preserve">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:1.2</w:t>
            </w:r>
          </w:p>
        </w:tc>
        <w:tc>
          <w:tcPr>
            <w:tcW w:w="1418" w:type="dxa"/>
            <w:tcBorders>
              <w:top w:val="single" w:sz="4" w:space="0" w:color="auto"/>
              <w:bottom w:val="single" w:sz="4" w:space="0" w:color="auto"/>
            </w:tcBorders>
            <w:tcMar>
              <w:top w:w="0" w:type="dxa"/>
              <w:left w:w="108" w:type="dxa"/>
              <w:bottom w:w="0" w:type="dxa"/>
              <w:right w:w="108" w:type="dxa"/>
            </w:tcMar>
          </w:tcPr>
          <w:p w14:paraId="3202DC2B"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Online ERP, PSD and Connectivity</w:t>
            </w:r>
          </w:p>
        </w:tc>
        <w:tc>
          <w:tcPr>
            <w:tcW w:w="2126" w:type="dxa"/>
            <w:tcBorders>
              <w:top w:val="single" w:sz="4" w:space="0" w:color="auto"/>
              <w:bottom w:val="single" w:sz="4" w:space="0" w:color="auto"/>
            </w:tcBorders>
            <w:tcMar>
              <w:top w:w="0" w:type="dxa"/>
              <w:left w:w="108" w:type="dxa"/>
              <w:bottom w:w="0" w:type="dxa"/>
              <w:right w:w="108" w:type="dxa"/>
            </w:tcMar>
          </w:tcPr>
          <w:p w14:paraId="32C53C68"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Increase of ERP amplitudes (VEP evoked). Theta and alpha power increase. Dorsal connectivity preserved; ventral connectivity weakened</w:t>
            </w:r>
          </w:p>
        </w:tc>
        <w:tc>
          <w:tcPr>
            <w:tcW w:w="1276" w:type="dxa"/>
            <w:tcBorders>
              <w:top w:val="single" w:sz="4" w:space="0" w:color="auto"/>
              <w:bottom w:val="single" w:sz="4" w:space="0" w:color="auto"/>
            </w:tcBorders>
            <w:tcMar>
              <w:top w:w="0" w:type="dxa"/>
              <w:left w:w="108" w:type="dxa"/>
              <w:bottom w:w="0" w:type="dxa"/>
              <w:right w:w="108" w:type="dxa"/>
            </w:tcMar>
          </w:tcPr>
          <w:p w14:paraId="53AB3301"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25</w:t>
            </w:r>
          </w:p>
        </w:tc>
      </w:tr>
      <w:tr w:rsidR="008072FE" w:rsidRPr="003634F8" w14:paraId="62D46977" w14:textId="77777777" w:rsidTr="00A55016">
        <w:trPr>
          <w:gridBefore w:val="1"/>
          <w:wBefore w:w="10" w:type="dxa"/>
        </w:trPr>
        <w:tc>
          <w:tcPr>
            <w:tcW w:w="1276" w:type="dxa"/>
            <w:tcBorders>
              <w:top w:val="single" w:sz="4" w:space="0" w:color="auto"/>
              <w:bottom w:val="single" w:sz="4" w:space="0" w:color="auto"/>
            </w:tcBorders>
            <w:tcMar>
              <w:top w:w="0" w:type="dxa"/>
              <w:left w:w="108" w:type="dxa"/>
              <w:bottom w:w="0" w:type="dxa"/>
              <w:right w:w="108" w:type="dxa"/>
            </w:tcMar>
          </w:tcPr>
          <w:p w14:paraId="7F4A2E49" w14:textId="77777777" w:rsidR="008072FE" w:rsidRPr="003634F8" w:rsidRDefault="008072FE" w:rsidP="00A55016">
            <w:pPr>
              <w:pStyle w:val="Standard"/>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(Tang et al., 2025)</w:t>
            </w:r>
            <w:r>
              <w:rPr>
                <w:rFonts w:ascii="Times New Roman" w:hAnsi="Times New Roman" w:cs="Times New Roman"/>
                <w:b/>
                <w:bCs/>
                <w:color w:val="000000"/>
                <w:sz w:val="18"/>
                <w:szCs w:val="18"/>
                <w:lang w:val="da-DK"/>
              </w:rPr>
              <w:t xml:space="preserve"> [15]</w:t>
            </w:r>
          </w:p>
        </w:tc>
        <w:tc>
          <w:tcPr>
            <w:tcW w:w="992" w:type="dxa"/>
            <w:tcBorders>
              <w:top w:val="single" w:sz="4" w:space="0" w:color="auto"/>
              <w:bottom w:val="single" w:sz="4" w:space="0" w:color="auto"/>
            </w:tcBorders>
            <w:tcMar>
              <w:top w:w="0" w:type="dxa"/>
              <w:left w:w="108" w:type="dxa"/>
              <w:bottom w:w="0" w:type="dxa"/>
              <w:right w:w="108" w:type="dxa"/>
            </w:tcMar>
          </w:tcPr>
          <w:p w14:paraId="5BDE9663"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S1</w:t>
            </w:r>
          </w:p>
        </w:tc>
        <w:tc>
          <w:tcPr>
            <w:tcW w:w="189" w:type="dxa"/>
            <w:tcBorders>
              <w:top w:val="single" w:sz="4" w:space="0" w:color="auto"/>
              <w:bottom w:val="single" w:sz="4" w:space="0" w:color="auto"/>
            </w:tcBorders>
          </w:tcPr>
          <w:p w14:paraId="053C3527"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auto"/>
            </w:tcBorders>
            <w:tcMar>
              <w:top w:w="0" w:type="dxa"/>
              <w:left w:w="108" w:type="dxa"/>
              <w:bottom w:w="0" w:type="dxa"/>
              <w:right w:w="108" w:type="dxa"/>
            </w:tcMar>
          </w:tcPr>
          <w:p w14:paraId="71CFBCD5"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FF (kHz): 500</w:t>
            </w:r>
          </w:p>
          <w:p w14:paraId="498C22E7"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PD (ms): 0.36</w:t>
            </w:r>
          </w:p>
          <w:p w14:paraId="2023C492"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PRF (Hz): 1000</w:t>
            </w:r>
          </w:p>
          <w:p w14:paraId="1738E7EA"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DC (%): 36</w:t>
            </w:r>
          </w:p>
          <w:p w14:paraId="7D25AB6F"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SD (s): 0.5</w:t>
            </w:r>
          </w:p>
          <w:p w14:paraId="292EC0B4" w14:textId="77777777" w:rsidR="008072FE" w:rsidRPr="003634F8" w:rsidRDefault="008072FE" w:rsidP="00A55016">
            <w:pPr>
              <w:pStyle w:val="Standard"/>
              <w:rPr>
                <w:rFonts w:ascii="Times New Roman" w:hAnsi="Times New Roman" w:cs="Times New Roman"/>
                <w:sz w:val="18"/>
                <w:szCs w:val="18"/>
              </w:rPr>
            </w:pP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xml:space="preserve">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 xml:space="preserve">:1.5 </w:t>
            </w:r>
          </w:p>
        </w:tc>
        <w:tc>
          <w:tcPr>
            <w:tcW w:w="1418" w:type="dxa"/>
            <w:tcBorders>
              <w:top w:val="single" w:sz="4" w:space="0" w:color="auto"/>
              <w:bottom w:val="single" w:sz="4" w:space="0" w:color="auto"/>
            </w:tcBorders>
            <w:tcMar>
              <w:top w:w="0" w:type="dxa"/>
              <w:left w:w="108" w:type="dxa"/>
              <w:bottom w:w="0" w:type="dxa"/>
              <w:right w:w="108" w:type="dxa"/>
            </w:tcMar>
          </w:tcPr>
          <w:p w14:paraId="01A38B24"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Online ERP</w:t>
            </w:r>
          </w:p>
        </w:tc>
        <w:tc>
          <w:tcPr>
            <w:tcW w:w="2126" w:type="dxa"/>
            <w:tcBorders>
              <w:top w:val="single" w:sz="4" w:space="0" w:color="auto"/>
              <w:bottom w:val="single" w:sz="4" w:space="0" w:color="auto"/>
            </w:tcBorders>
            <w:tcMar>
              <w:top w:w="0" w:type="dxa"/>
              <w:left w:w="108" w:type="dxa"/>
              <w:bottom w:w="0" w:type="dxa"/>
              <w:right w:w="108" w:type="dxa"/>
            </w:tcMar>
          </w:tcPr>
          <w:p w14:paraId="7A1D9E12"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Reduction of ERP amplitudes (SEP evoked)</w:t>
            </w:r>
          </w:p>
        </w:tc>
        <w:tc>
          <w:tcPr>
            <w:tcW w:w="1276" w:type="dxa"/>
            <w:tcBorders>
              <w:top w:val="single" w:sz="4" w:space="0" w:color="auto"/>
              <w:bottom w:val="single" w:sz="4" w:space="0" w:color="auto"/>
            </w:tcBorders>
            <w:tcMar>
              <w:top w:w="0" w:type="dxa"/>
              <w:left w:w="108" w:type="dxa"/>
              <w:bottom w:w="0" w:type="dxa"/>
              <w:right w:w="108" w:type="dxa"/>
            </w:tcMar>
          </w:tcPr>
          <w:p w14:paraId="5D460902"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8</w:t>
            </w:r>
          </w:p>
        </w:tc>
      </w:tr>
      <w:tr w:rsidR="008072FE" w:rsidRPr="003634F8" w14:paraId="646678DA" w14:textId="77777777" w:rsidTr="00A55016">
        <w:trPr>
          <w:gridBefore w:val="1"/>
          <w:wBefore w:w="10" w:type="dxa"/>
        </w:trPr>
        <w:tc>
          <w:tcPr>
            <w:tcW w:w="1276" w:type="dxa"/>
            <w:tcBorders>
              <w:top w:val="single" w:sz="4" w:space="0" w:color="auto"/>
              <w:bottom w:val="single" w:sz="4" w:space="0" w:color="7F7F7F"/>
            </w:tcBorders>
            <w:tcMar>
              <w:top w:w="0" w:type="dxa"/>
              <w:left w:w="108" w:type="dxa"/>
              <w:bottom w:w="0" w:type="dxa"/>
              <w:right w:w="108" w:type="dxa"/>
            </w:tcMar>
          </w:tcPr>
          <w:p w14:paraId="09DEEEF9" w14:textId="77777777" w:rsidR="008072FE" w:rsidRPr="003634F8" w:rsidRDefault="008072FE" w:rsidP="00A55016">
            <w:pPr>
              <w:pStyle w:val="Standard"/>
              <w:rPr>
                <w:rFonts w:ascii="Times New Roman" w:hAnsi="Times New Roman" w:cs="Times New Roman"/>
                <w:b/>
                <w:bCs/>
                <w:sz w:val="18"/>
                <w:szCs w:val="18"/>
                <w:lang w:val="da-DK"/>
              </w:rPr>
            </w:pPr>
            <w:r w:rsidRPr="00EA1FD5">
              <w:rPr>
                <w:rFonts w:ascii="Times New Roman" w:hAnsi="Times New Roman" w:cs="Times New Roman"/>
                <w:b/>
                <w:bCs/>
                <w:color w:val="000000"/>
                <w:sz w:val="18"/>
                <w:szCs w:val="18"/>
                <w:lang w:val="da-DK"/>
              </w:rPr>
              <w:t>(Dunsford et al., 2026)</w:t>
            </w:r>
            <w:r>
              <w:rPr>
                <w:rFonts w:ascii="Times New Roman" w:hAnsi="Times New Roman" w:cs="Times New Roman"/>
                <w:b/>
                <w:bCs/>
                <w:color w:val="000000"/>
                <w:sz w:val="18"/>
                <w:szCs w:val="18"/>
                <w:lang w:val="da-DK"/>
              </w:rPr>
              <w:t xml:space="preserve"> [16]</w:t>
            </w:r>
          </w:p>
        </w:tc>
        <w:tc>
          <w:tcPr>
            <w:tcW w:w="992" w:type="dxa"/>
            <w:tcBorders>
              <w:top w:val="single" w:sz="4" w:space="0" w:color="auto"/>
              <w:bottom w:val="single" w:sz="4" w:space="0" w:color="7F7F7F"/>
            </w:tcBorders>
            <w:tcMar>
              <w:top w:w="0" w:type="dxa"/>
              <w:left w:w="108" w:type="dxa"/>
              <w:bottom w:w="0" w:type="dxa"/>
              <w:right w:w="108" w:type="dxa"/>
            </w:tcMar>
          </w:tcPr>
          <w:p w14:paraId="488279C8"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V1</w:t>
            </w:r>
          </w:p>
        </w:tc>
        <w:tc>
          <w:tcPr>
            <w:tcW w:w="189" w:type="dxa"/>
            <w:tcBorders>
              <w:top w:val="single" w:sz="4" w:space="0" w:color="auto"/>
              <w:bottom w:val="single" w:sz="4" w:space="0" w:color="7F7F7F"/>
            </w:tcBorders>
          </w:tcPr>
          <w:p w14:paraId="5086D7C1"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7F7F7F"/>
            </w:tcBorders>
            <w:tcMar>
              <w:top w:w="0" w:type="dxa"/>
              <w:left w:w="108" w:type="dxa"/>
              <w:bottom w:w="0" w:type="dxa"/>
              <w:right w:w="108" w:type="dxa"/>
            </w:tcMar>
          </w:tcPr>
          <w:p w14:paraId="600FE8BE"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FF (kHz): 500</w:t>
            </w:r>
          </w:p>
          <w:p w14:paraId="5D60B4DC"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PD (ms): 500</w:t>
            </w:r>
          </w:p>
          <w:p w14:paraId="62075514" w14:textId="77777777" w:rsidR="008072FE" w:rsidRPr="003634F8" w:rsidRDefault="008072FE" w:rsidP="00A55016">
            <w:pPr>
              <w:pStyle w:val="Standard"/>
              <w:rPr>
                <w:rFonts w:ascii="Times New Roman" w:hAnsi="Times New Roman" w:cs="Times New Roman"/>
                <w:sz w:val="18"/>
                <w:szCs w:val="18"/>
                <w:lang w:val="de-DE"/>
              </w:rPr>
            </w:pPr>
            <w:r w:rsidRPr="003634F8">
              <w:rPr>
                <w:rFonts w:ascii="Times New Roman" w:hAnsi="Times New Roman" w:cs="Times New Roman"/>
                <w:sz w:val="18"/>
                <w:szCs w:val="18"/>
                <w:lang w:val="de-DE"/>
              </w:rPr>
              <w:t>DC (%): 100</w:t>
            </w:r>
          </w:p>
          <w:p w14:paraId="4E57D574"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SD (s): 0.5</w:t>
            </w:r>
          </w:p>
          <w:p w14:paraId="1AA4A047" w14:textId="77777777" w:rsidR="008072FE" w:rsidRPr="003634F8" w:rsidRDefault="008072FE" w:rsidP="00A55016">
            <w:pPr>
              <w:pStyle w:val="Standard"/>
              <w:rPr>
                <w:rFonts w:ascii="Times New Roman" w:hAnsi="Times New Roman" w:cs="Times New Roman"/>
                <w:sz w:val="18"/>
                <w:szCs w:val="18"/>
              </w:rPr>
            </w:pP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xml:space="preserve"> (</w:t>
            </w:r>
            <w:r w:rsidRPr="003634F8">
              <w:rPr>
                <w:rFonts w:ascii="Cambria Math" w:hAnsi="Cambria Math" w:cs="Times New Roman"/>
                <w:i/>
                <w:iCs/>
                <w:sz w:val="18"/>
                <w:szCs w:val="18"/>
              </w:rPr>
              <w:t>W/</w:t>
            </w:r>
            <m:oMath>
              <m:sSup>
                <m:sSupPr>
                  <m:ctrlPr>
                    <w:rPr>
                      <w:rFonts w:ascii="Cambria Math" w:hAnsi="Cambria Math" w:cs="Times New Roman"/>
                      <w:i/>
                      <w:iCs/>
                      <w:sz w:val="18"/>
                      <w:szCs w:val="18"/>
                    </w:rPr>
                  </m:ctrlPr>
                </m:sSupPr>
                <m:e>
                  <m:r>
                    <w:rPr>
                      <w:rFonts w:ascii="Cambria Math" w:hAnsi="Cambria Math" w:cs="Times New Roman"/>
                      <w:sz w:val="18"/>
                      <w:szCs w:val="18"/>
                    </w:rPr>
                    <m:t>cm</m:t>
                  </m:r>
                </m:e>
                <m:sup>
                  <m:r>
                    <w:rPr>
                      <w:rFonts w:ascii="Cambria Math" w:hAnsi="Cambria Math" w:cs="Times New Roman"/>
                      <w:sz w:val="18"/>
                      <w:szCs w:val="18"/>
                    </w:rPr>
                    <m:t>2</m:t>
                  </m:r>
                </m:sup>
              </m:sSup>
              <m:r>
                <m:rPr>
                  <m:sty m:val="p"/>
                </m:rPr>
                <w:rPr>
                  <w:rFonts w:ascii="Cambria Math" w:hAnsi="Cambria Math" w:cs="Times New Roman"/>
                  <w:sz w:val="18"/>
                  <w:szCs w:val="18"/>
                </w:rPr>
                <m:t>)</m:t>
              </m:r>
            </m:oMath>
            <w:r w:rsidRPr="003634F8">
              <w:rPr>
                <w:rFonts w:ascii="Times New Roman" w:hAnsi="Times New Roman" w:cs="Times New Roman"/>
                <w:sz w:val="18"/>
                <w:szCs w:val="18"/>
              </w:rPr>
              <w:t>: 40</w:t>
            </w:r>
          </w:p>
        </w:tc>
        <w:tc>
          <w:tcPr>
            <w:tcW w:w="1418" w:type="dxa"/>
            <w:tcBorders>
              <w:top w:val="single" w:sz="4" w:space="0" w:color="auto"/>
              <w:bottom w:val="single" w:sz="4" w:space="0" w:color="7F7F7F"/>
            </w:tcBorders>
            <w:tcMar>
              <w:top w:w="0" w:type="dxa"/>
              <w:left w:w="108" w:type="dxa"/>
              <w:bottom w:w="0" w:type="dxa"/>
              <w:right w:w="108" w:type="dxa"/>
            </w:tcMar>
          </w:tcPr>
          <w:p w14:paraId="38A5952A"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Online ERP</w:t>
            </w:r>
          </w:p>
        </w:tc>
        <w:tc>
          <w:tcPr>
            <w:tcW w:w="2126" w:type="dxa"/>
            <w:tcBorders>
              <w:top w:val="single" w:sz="4" w:space="0" w:color="auto"/>
              <w:bottom w:val="single" w:sz="4" w:space="0" w:color="7F7F7F"/>
            </w:tcBorders>
            <w:tcMar>
              <w:top w:w="0" w:type="dxa"/>
              <w:left w:w="108" w:type="dxa"/>
              <w:bottom w:w="0" w:type="dxa"/>
              <w:right w:w="108" w:type="dxa"/>
            </w:tcMar>
          </w:tcPr>
          <w:p w14:paraId="43585023"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Reduction of ERP amplitudes (VEP evoked)</w:t>
            </w:r>
          </w:p>
        </w:tc>
        <w:tc>
          <w:tcPr>
            <w:tcW w:w="1276" w:type="dxa"/>
            <w:tcBorders>
              <w:top w:val="single" w:sz="4" w:space="0" w:color="auto"/>
              <w:bottom w:val="single" w:sz="4" w:space="0" w:color="7F7F7F"/>
            </w:tcBorders>
            <w:tcMar>
              <w:top w:w="0" w:type="dxa"/>
              <w:left w:w="108" w:type="dxa"/>
              <w:bottom w:w="0" w:type="dxa"/>
              <w:right w:w="108" w:type="dxa"/>
            </w:tcMar>
          </w:tcPr>
          <w:p w14:paraId="2E072D6D" w14:textId="77777777" w:rsidR="008072FE" w:rsidRPr="003634F8" w:rsidRDefault="008072FE" w:rsidP="00A55016">
            <w:pPr>
              <w:pStyle w:val="Standard"/>
              <w:rPr>
                <w:rFonts w:ascii="Times New Roman" w:hAnsi="Times New Roman" w:cs="Times New Roman"/>
                <w:sz w:val="18"/>
                <w:szCs w:val="18"/>
              </w:rPr>
            </w:pPr>
            <w:r w:rsidRPr="003634F8">
              <w:rPr>
                <w:rFonts w:ascii="Times New Roman" w:hAnsi="Times New Roman" w:cs="Times New Roman"/>
                <w:sz w:val="18"/>
                <w:szCs w:val="18"/>
              </w:rPr>
              <w:t>20</w:t>
            </w:r>
          </w:p>
        </w:tc>
      </w:tr>
      <w:tr w:rsidR="008072FE" w:rsidRPr="003634F8" w14:paraId="776C0415" w14:textId="77777777" w:rsidTr="00A55016">
        <w:trPr>
          <w:gridBefore w:val="1"/>
          <w:wBefore w:w="10" w:type="dxa"/>
        </w:trPr>
        <w:tc>
          <w:tcPr>
            <w:tcW w:w="1276" w:type="dxa"/>
            <w:tcBorders>
              <w:top w:val="single" w:sz="4" w:space="0" w:color="auto"/>
              <w:bottom w:val="single" w:sz="4" w:space="0" w:color="7F7F7F"/>
            </w:tcBorders>
            <w:tcMar>
              <w:top w:w="0" w:type="dxa"/>
              <w:left w:w="108" w:type="dxa"/>
              <w:bottom w:w="0" w:type="dxa"/>
              <w:right w:w="108" w:type="dxa"/>
            </w:tcMar>
          </w:tcPr>
          <w:p w14:paraId="4A371D42" w14:textId="77777777" w:rsidR="008072FE" w:rsidRPr="003634F8" w:rsidRDefault="008072FE" w:rsidP="00A55016">
            <w:pPr>
              <w:pStyle w:val="Standard"/>
              <w:rPr>
                <w:rFonts w:ascii="Times New Roman" w:hAnsi="Times New Roman" w:cs="Times New Roman"/>
                <w:b/>
                <w:bCs/>
                <w:color w:val="000000"/>
                <w:sz w:val="18"/>
                <w:szCs w:val="18"/>
                <w:lang w:val="da-DK"/>
              </w:rPr>
            </w:pPr>
            <w:r w:rsidRPr="00EA1FD5">
              <w:rPr>
                <w:b/>
                <w:bCs/>
                <w:color w:val="000000"/>
                <w:sz w:val="18"/>
                <w:szCs w:val="18"/>
                <w:lang w:val="da-DK"/>
              </w:rPr>
              <w:t>(Kosnoff et al., 2026)</w:t>
            </w:r>
            <w:r>
              <w:rPr>
                <w:b/>
                <w:bCs/>
                <w:color w:val="000000"/>
                <w:sz w:val="18"/>
                <w:szCs w:val="18"/>
                <w:lang w:val="da-DK"/>
              </w:rPr>
              <w:t xml:space="preserve"> </w:t>
            </w:r>
            <w:r>
              <w:rPr>
                <w:rFonts w:ascii="Times New Roman" w:hAnsi="Times New Roman" w:cs="Times New Roman"/>
                <w:b/>
                <w:bCs/>
                <w:color w:val="000000"/>
                <w:sz w:val="18"/>
                <w:szCs w:val="18"/>
                <w:lang w:val="da-DK"/>
              </w:rPr>
              <w:t>[17]</w:t>
            </w:r>
          </w:p>
        </w:tc>
        <w:tc>
          <w:tcPr>
            <w:tcW w:w="992" w:type="dxa"/>
            <w:tcBorders>
              <w:top w:val="single" w:sz="4" w:space="0" w:color="auto"/>
              <w:bottom w:val="single" w:sz="4" w:space="0" w:color="7F7F7F"/>
            </w:tcBorders>
            <w:tcMar>
              <w:top w:w="0" w:type="dxa"/>
              <w:left w:w="108" w:type="dxa"/>
              <w:bottom w:w="0" w:type="dxa"/>
              <w:right w:w="108" w:type="dxa"/>
            </w:tcMar>
          </w:tcPr>
          <w:p w14:paraId="3F6A538E" w14:textId="77777777" w:rsidR="008072FE" w:rsidRPr="003634F8" w:rsidRDefault="008072FE" w:rsidP="00A55016">
            <w:pPr>
              <w:pStyle w:val="Standard"/>
              <w:rPr>
                <w:rFonts w:ascii="Times New Roman" w:hAnsi="Times New Roman" w:cs="Times New Roman"/>
                <w:sz w:val="18"/>
                <w:szCs w:val="18"/>
              </w:rPr>
            </w:pPr>
            <w:r w:rsidRPr="003634F8">
              <w:rPr>
                <w:color w:val="000000"/>
                <w:sz w:val="18"/>
                <w:szCs w:val="18"/>
              </w:rPr>
              <w:t>V1</w:t>
            </w:r>
          </w:p>
        </w:tc>
        <w:tc>
          <w:tcPr>
            <w:tcW w:w="189" w:type="dxa"/>
            <w:tcBorders>
              <w:top w:val="single" w:sz="4" w:space="0" w:color="auto"/>
              <w:bottom w:val="single" w:sz="4" w:space="0" w:color="7F7F7F"/>
            </w:tcBorders>
          </w:tcPr>
          <w:p w14:paraId="6D143B9C" w14:textId="77777777" w:rsidR="008072FE" w:rsidRPr="003634F8" w:rsidRDefault="008072FE" w:rsidP="00A55016">
            <w:pPr>
              <w:pStyle w:val="Standard"/>
              <w:rPr>
                <w:rFonts w:ascii="Times New Roman" w:hAnsi="Times New Roman" w:cs="Times New Roman"/>
                <w:sz w:val="18"/>
                <w:szCs w:val="18"/>
              </w:rPr>
            </w:pPr>
          </w:p>
        </w:tc>
        <w:tc>
          <w:tcPr>
            <w:tcW w:w="2646" w:type="dxa"/>
            <w:tcBorders>
              <w:top w:val="single" w:sz="4" w:space="0" w:color="auto"/>
              <w:bottom w:val="single" w:sz="4" w:space="0" w:color="7F7F7F"/>
            </w:tcBorders>
            <w:tcMar>
              <w:top w:w="0" w:type="dxa"/>
              <w:left w:w="108" w:type="dxa"/>
              <w:bottom w:w="0" w:type="dxa"/>
              <w:right w:w="108" w:type="dxa"/>
            </w:tcMar>
          </w:tcPr>
          <w:p w14:paraId="3C3FC563" w14:textId="77777777" w:rsidR="008072FE" w:rsidRPr="003634F8" w:rsidRDefault="008072FE" w:rsidP="00A55016">
            <w:pPr>
              <w:pStyle w:val="NormalWeb"/>
              <w:rPr>
                <w:sz w:val="18"/>
                <w:szCs w:val="18"/>
                <w:lang w:val="de-DE"/>
              </w:rPr>
            </w:pPr>
            <w:r w:rsidRPr="003634F8">
              <w:rPr>
                <w:color w:val="000000"/>
                <w:sz w:val="18"/>
                <w:szCs w:val="18"/>
                <w:lang w:val="de-DE"/>
              </w:rPr>
              <w:t>FF (kHz): 500</w:t>
            </w:r>
          </w:p>
          <w:p w14:paraId="75842839" w14:textId="77777777" w:rsidR="008072FE" w:rsidRPr="003634F8" w:rsidRDefault="008072FE" w:rsidP="00A55016">
            <w:pPr>
              <w:pStyle w:val="NormalWeb"/>
              <w:rPr>
                <w:sz w:val="18"/>
                <w:szCs w:val="18"/>
                <w:lang w:val="de-DE"/>
              </w:rPr>
            </w:pPr>
            <w:r w:rsidRPr="003634F8">
              <w:rPr>
                <w:color w:val="000000"/>
                <w:sz w:val="18"/>
                <w:szCs w:val="18"/>
                <w:lang w:val="de-DE"/>
              </w:rPr>
              <w:t>PD (ms): 10, 0.1</w:t>
            </w:r>
          </w:p>
          <w:p w14:paraId="6A081AED" w14:textId="77777777" w:rsidR="008072FE" w:rsidRPr="003634F8" w:rsidRDefault="008072FE" w:rsidP="00A55016">
            <w:pPr>
              <w:pStyle w:val="NormalWeb"/>
              <w:rPr>
                <w:sz w:val="18"/>
                <w:szCs w:val="18"/>
                <w:lang w:val="de-DE"/>
              </w:rPr>
            </w:pPr>
            <w:r w:rsidRPr="003634F8">
              <w:rPr>
                <w:color w:val="000000"/>
                <w:sz w:val="18"/>
                <w:szCs w:val="18"/>
                <w:lang w:val="de-DE"/>
              </w:rPr>
              <w:t>PRF (Hz): 30, 3000</w:t>
            </w:r>
          </w:p>
          <w:p w14:paraId="53FDD8A1" w14:textId="77777777" w:rsidR="008072FE" w:rsidRPr="00EA1FD5" w:rsidRDefault="008072FE" w:rsidP="00A55016">
            <w:pPr>
              <w:pStyle w:val="NormalWeb"/>
              <w:rPr>
                <w:sz w:val="18"/>
                <w:szCs w:val="18"/>
              </w:rPr>
            </w:pPr>
            <w:r w:rsidRPr="00EA1FD5">
              <w:rPr>
                <w:color w:val="000000"/>
                <w:sz w:val="18"/>
                <w:szCs w:val="18"/>
              </w:rPr>
              <w:t>DC (%): 30</w:t>
            </w:r>
          </w:p>
          <w:p w14:paraId="4C6C6CDB" w14:textId="77777777" w:rsidR="008072FE" w:rsidRPr="00EA1FD5" w:rsidRDefault="008072FE" w:rsidP="00A55016">
            <w:pPr>
              <w:pStyle w:val="NormalWeb"/>
              <w:rPr>
                <w:sz w:val="18"/>
                <w:szCs w:val="18"/>
              </w:rPr>
            </w:pPr>
            <w:r w:rsidRPr="00EA1FD5">
              <w:rPr>
                <w:color w:val="000000"/>
                <w:sz w:val="18"/>
                <w:szCs w:val="18"/>
              </w:rPr>
              <w:t>SD (s): 0.5</w:t>
            </w:r>
          </w:p>
          <w:p w14:paraId="7698FBA0" w14:textId="77777777" w:rsidR="008072FE" w:rsidRPr="00EA1FD5" w:rsidRDefault="008072FE" w:rsidP="00A55016">
            <w:pPr>
              <w:pStyle w:val="NormalWeb"/>
              <w:rPr>
                <w:sz w:val="18"/>
                <w:szCs w:val="18"/>
              </w:rPr>
            </w:pPr>
            <w:r w:rsidRPr="00EA1FD5">
              <w:rPr>
                <w:color w:val="000000"/>
                <w:sz w:val="18"/>
                <w:szCs w:val="18"/>
              </w:rPr>
              <w:t>PTRI (s): 2</w:t>
            </w:r>
          </w:p>
          <w:p w14:paraId="65FA22CE" w14:textId="77777777" w:rsidR="008072FE" w:rsidRPr="00EA1FD5" w:rsidRDefault="008072FE" w:rsidP="00A55016">
            <w:pPr>
              <w:pStyle w:val="NormalWeb"/>
              <w:rPr>
                <w:sz w:val="18"/>
                <w:szCs w:val="18"/>
              </w:rPr>
            </w:pPr>
            <w:r w:rsidRPr="00EA1FD5">
              <w:rPr>
                <w:color w:val="000000"/>
                <w:sz w:val="18"/>
                <w:szCs w:val="18"/>
              </w:rPr>
              <w:t>PTRD (s): 2000</w:t>
            </w:r>
          </w:p>
          <w:p w14:paraId="48163870" w14:textId="77777777" w:rsidR="008072FE" w:rsidRPr="003634F8" w:rsidRDefault="008072FE" w:rsidP="00A55016">
            <w:pPr>
              <w:pStyle w:val="Standard"/>
              <w:rPr>
                <w:rFonts w:ascii="Times New Roman" w:hAnsi="Times New Roman" w:cs="Times New Roman"/>
                <w:sz w:val="18"/>
                <w:szCs w:val="18"/>
              </w:rPr>
            </w:pPr>
            <w:proofErr w:type="spellStart"/>
            <w:r w:rsidRPr="003634F8">
              <w:rPr>
                <w:color w:val="000000"/>
                <w:sz w:val="18"/>
                <w:szCs w:val="18"/>
              </w:rPr>
              <w:t>Isppa_water</w:t>
            </w:r>
            <w:proofErr w:type="spellEnd"/>
            <w:r w:rsidRPr="003634F8">
              <w:rPr>
                <w:color w:val="000000"/>
                <w:sz w:val="18"/>
                <w:szCs w:val="18"/>
              </w:rPr>
              <w:t xml:space="preserve"> (</w:t>
            </w:r>
            <w:r w:rsidRPr="003634F8">
              <w:rPr>
                <w:rFonts w:ascii="Cambria Math" w:hAnsi="Cambria Math"/>
                <w:i/>
                <w:iCs/>
                <w:color w:val="000000"/>
                <w:sz w:val="18"/>
                <w:szCs w:val="18"/>
              </w:rPr>
              <w:t>W/</w:t>
            </w:r>
            <w:r w:rsidRPr="003634F8">
              <w:rPr>
                <w:rFonts w:ascii="Cambria Math" w:hAnsi="Cambria Math"/>
                <w:color w:val="000000"/>
                <w:sz w:val="18"/>
                <w:szCs w:val="18"/>
              </w:rPr>
              <w:t>cm2)</w:t>
            </w:r>
            <w:r w:rsidRPr="003634F8">
              <w:rPr>
                <w:color w:val="000000"/>
                <w:sz w:val="18"/>
                <w:szCs w:val="18"/>
              </w:rPr>
              <w:t>:  ̴ 6</w:t>
            </w:r>
          </w:p>
        </w:tc>
        <w:tc>
          <w:tcPr>
            <w:tcW w:w="1418" w:type="dxa"/>
            <w:tcBorders>
              <w:top w:val="single" w:sz="4" w:space="0" w:color="auto"/>
              <w:bottom w:val="single" w:sz="4" w:space="0" w:color="7F7F7F"/>
            </w:tcBorders>
            <w:tcMar>
              <w:top w:w="0" w:type="dxa"/>
              <w:left w:w="108" w:type="dxa"/>
              <w:bottom w:w="0" w:type="dxa"/>
              <w:right w:w="108" w:type="dxa"/>
            </w:tcMar>
          </w:tcPr>
          <w:p w14:paraId="17800758" w14:textId="77777777" w:rsidR="008072FE" w:rsidRPr="003634F8" w:rsidRDefault="008072FE" w:rsidP="00A55016">
            <w:pPr>
              <w:pStyle w:val="Standard"/>
              <w:rPr>
                <w:rFonts w:ascii="Times New Roman" w:hAnsi="Times New Roman" w:cs="Times New Roman"/>
                <w:sz w:val="18"/>
                <w:szCs w:val="18"/>
              </w:rPr>
            </w:pPr>
            <w:r w:rsidRPr="003634F8">
              <w:rPr>
                <w:color w:val="000000"/>
                <w:sz w:val="18"/>
                <w:szCs w:val="18"/>
              </w:rPr>
              <w:t>Online ERP</w:t>
            </w:r>
          </w:p>
        </w:tc>
        <w:tc>
          <w:tcPr>
            <w:tcW w:w="2126" w:type="dxa"/>
            <w:tcBorders>
              <w:top w:val="single" w:sz="4" w:space="0" w:color="auto"/>
              <w:bottom w:val="single" w:sz="4" w:space="0" w:color="7F7F7F"/>
            </w:tcBorders>
            <w:tcMar>
              <w:top w:w="0" w:type="dxa"/>
              <w:left w:w="108" w:type="dxa"/>
              <w:bottom w:w="0" w:type="dxa"/>
              <w:right w:w="108" w:type="dxa"/>
            </w:tcMar>
          </w:tcPr>
          <w:p w14:paraId="25A6689A" w14:textId="77777777" w:rsidR="008072FE" w:rsidRPr="00EA1FD5" w:rsidRDefault="008072FE" w:rsidP="00A55016">
            <w:pPr>
              <w:pStyle w:val="NormalWeb"/>
              <w:rPr>
                <w:sz w:val="18"/>
                <w:szCs w:val="18"/>
              </w:rPr>
            </w:pPr>
            <w:proofErr w:type="spellStart"/>
            <w:r w:rsidRPr="00EA1FD5">
              <w:rPr>
                <w:color w:val="000000"/>
                <w:sz w:val="18"/>
                <w:szCs w:val="18"/>
              </w:rPr>
              <w:t>tFUS</w:t>
            </w:r>
            <w:proofErr w:type="spellEnd"/>
            <w:r w:rsidRPr="00EA1FD5">
              <w:rPr>
                <w:color w:val="000000"/>
                <w:sz w:val="18"/>
                <w:szCs w:val="18"/>
              </w:rPr>
              <w:t xml:space="preserve"> evoked auditory potentials at rest.</w:t>
            </w:r>
          </w:p>
          <w:p w14:paraId="7C07A72C" w14:textId="77777777" w:rsidR="008072FE" w:rsidRPr="003634F8" w:rsidRDefault="008072FE" w:rsidP="00A55016">
            <w:pPr>
              <w:pStyle w:val="Standard"/>
              <w:rPr>
                <w:rFonts w:ascii="Times New Roman" w:hAnsi="Times New Roman" w:cs="Times New Roman"/>
                <w:sz w:val="18"/>
                <w:szCs w:val="18"/>
              </w:rPr>
            </w:pPr>
            <w:r w:rsidRPr="003634F8">
              <w:rPr>
                <w:color w:val="000000"/>
                <w:sz w:val="18"/>
                <w:szCs w:val="18"/>
              </w:rPr>
              <w:t xml:space="preserve">Concurrent </w:t>
            </w:r>
            <w:proofErr w:type="spellStart"/>
            <w:r w:rsidRPr="003634F8">
              <w:rPr>
                <w:color w:val="000000"/>
                <w:sz w:val="18"/>
                <w:szCs w:val="18"/>
              </w:rPr>
              <w:t>tDCS</w:t>
            </w:r>
            <w:proofErr w:type="spellEnd"/>
            <w:r w:rsidRPr="003634F8">
              <w:rPr>
                <w:color w:val="000000"/>
                <w:sz w:val="18"/>
                <w:szCs w:val="18"/>
              </w:rPr>
              <w:t xml:space="preserve"> with </w:t>
            </w:r>
            <w:proofErr w:type="spellStart"/>
            <w:r w:rsidRPr="003634F8">
              <w:rPr>
                <w:color w:val="000000"/>
                <w:sz w:val="18"/>
                <w:szCs w:val="18"/>
              </w:rPr>
              <w:t>tFUS</w:t>
            </w:r>
            <w:proofErr w:type="spellEnd"/>
            <w:r w:rsidRPr="003634F8">
              <w:rPr>
                <w:color w:val="000000"/>
                <w:sz w:val="18"/>
                <w:szCs w:val="18"/>
              </w:rPr>
              <w:t xml:space="preserve"> facilitated subthreshold local evoked responses.</w:t>
            </w:r>
          </w:p>
        </w:tc>
        <w:tc>
          <w:tcPr>
            <w:tcW w:w="1276" w:type="dxa"/>
            <w:tcBorders>
              <w:top w:val="single" w:sz="4" w:space="0" w:color="auto"/>
              <w:bottom w:val="single" w:sz="4" w:space="0" w:color="7F7F7F"/>
            </w:tcBorders>
            <w:tcMar>
              <w:top w:w="0" w:type="dxa"/>
              <w:left w:w="108" w:type="dxa"/>
              <w:bottom w:w="0" w:type="dxa"/>
              <w:right w:w="108" w:type="dxa"/>
            </w:tcMar>
          </w:tcPr>
          <w:p w14:paraId="4CA52AE9" w14:textId="77777777" w:rsidR="008072FE" w:rsidRPr="003634F8" w:rsidRDefault="008072FE" w:rsidP="00A55016">
            <w:pPr>
              <w:pStyle w:val="Standard"/>
              <w:rPr>
                <w:rFonts w:ascii="Times New Roman" w:hAnsi="Times New Roman" w:cs="Times New Roman"/>
                <w:sz w:val="18"/>
                <w:szCs w:val="18"/>
              </w:rPr>
            </w:pPr>
            <w:r w:rsidRPr="003634F8">
              <w:rPr>
                <w:color w:val="000000"/>
                <w:sz w:val="18"/>
                <w:szCs w:val="18"/>
              </w:rPr>
              <w:t>27</w:t>
            </w:r>
          </w:p>
        </w:tc>
      </w:tr>
      <w:tr w:rsidR="008072FE" w:rsidRPr="003634F8" w14:paraId="5425F3E2" w14:textId="77777777" w:rsidTr="00A55016">
        <w:trPr>
          <w:trHeight w:val="690"/>
        </w:trPr>
        <w:tc>
          <w:tcPr>
            <w:tcW w:w="9933" w:type="dxa"/>
            <w:gridSpan w:val="8"/>
          </w:tcPr>
          <w:p w14:paraId="05E598DC" w14:textId="77777777" w:rsidR="008072FE" w:rsidRPr="003634F8" w:rsidRDefault="008072FE" w:rsidP="00A55016">
            <w:pPr>
              <w:pStyle w:val="Textbody"/>
              <w:spacing w:after="0" w:line="240" w:lineRule="auto"/>
              <w:jc w:val="both"/>
              <w:rPr>
                <w:rFonts w:ascii="Times New Roman" w:hAnsi="Times New Roman" w:cs="Times New Roman"/>
                <w:sz w:val="18"/>
                <w:szCs w:val="18"/>
              </w:rPr>
            </w:pPr>
            <w:r>
              <w:rPr>
                <w:rFonts w:ascii="Times New Roman" w:hAnsi="Times New Roman"/>
                <w:b/>
                <w:bCs/>
                <w:color w:val="000000"/>
                <w:sz w:val="18"/>
                <w:szCs w:val="18"/>
              </w:rPr>
              <w:t xml:space="preserve">Supplementary </w:t>
            </w:r>
            <w:r w:rsidRPr="003634F8">
              <w:rPr>
                <w:rFonts w:ascii="Times New Roman" w:hAnsi="Times New Roman"/>
                <w:b/>
                <w:bCs/>
                <w:color w:val="000000"/>
                <w:sz w:val="18"/>
                <w:szCs w:val="18"/>
              </w:rPr>
              <w:t>Table 2.</w:t>
            </w:r>
            <w:r w:rsidRPr="003634F8">
              <w:rPr>
                <w:rFonts w:ascii="Times New Roman" w:hAnsi="Times New Roman"/>
                <w:color w:val="000000"/>
                <w:sz w:val="18"/>
                <w:szCs w:val="18"/>
              </w:rPr>
              <w:t xml:space="preserve"> </w:t>
            </w:r>
            <w:r w:rsidRPr="000B5EF6">
              <w:rPr>
                <w:rFonts w:ascii="Times New Roman" w:hAnsi="Times New Roman"/>
                <w:b/>
                <w:bCs/>
                <w:color w:val="000000"/>
                <w:sz w:val="18"/>
                <w:szCs w:val="18"/>
              </w:rPr>
              <w:t xml:space="preserve">Summary of all reported human studies employing </w:t>
            </w:r>
            <w:proofErr w:type="spellStart"/>
            <w:r w:rsidRPr="000B5EF6">
              <w:rPr>
                <w:rFonts w:ascii="Times New Roman" w:hAnsi="Times New Roman"/>
                <w:b/>
                <w:bCs/>
                <w:color w:val="000000"/>
                <w:sz w:val="18"/>
                <w:szCs w:val="18"/>
              </w:rPr>
              <w:t>tFUS</w:t>
            </w:r>
            <w:proofErr w:type="spellEnd"/>
            <w:r w:rsidRPr="000B5EF6">
              <w:rPr>
                <w:rFonts w:ascii="Times New Roman" w:hAnsi="Times New Roman"/>
                <w:b/>
                <w:bCs/>
                <w:color w:val="000000"/>
                <w:sz w:val="18"/>
                <w:szCs w:val="18"/>
              </w:rPr>
              <w:t>-EEG methodologies.</w:t>
            </w:r>
            <w:r w:rsidRPr="003634F8">
              <w:rPr>
                <w:rFonts w:ascii="Times New Roman" w:hAnsi="Times New Roman"/>
                <w:color w:val="000000"/>
                <w:sz w:val="18"/>
                <w:szCs w:val="18"/>
              </w:rPr>
              <w:t xml:space="preserve"> Studies are organized chronologically by year of publication, from earliest (top) to most recent (bottom). </w:t>
            </w:r>
            <w:proofErr w:type="spellStart"/>
            <w:r w:rsidRPr="003634F8">
              <w:rPr>
                <w:rFonts w:ascii="Times New Roman" w:hAnsi="Times New Roman" w:cs="Times New Roman"/>
                <w:sz w:val="18"/>
                <w:szCs w:val="18"/>
              </w:rPr>
              <w:t>mPFC</w:t>
            </w:r>
            <w:proofErr w:type="spellEnd"/>
            <w:r w:rsidRPr="003634F8">
              <w:rPr>
                <w:rFonts w:ascii="Times New Roman" w:hAnsi="Times New Roman" w:cs="Times New Roman"/>
                <w:sz w:val="18"/>
                <w:szCs w:val="18"/>
              </w:rPr>
              <w:t xml:space="preserve">: Medial prefrontal cortex; S1: somatosensory cortex; V1: V1 area of visual cortex; V5: V5 area of visual cortex; IFG: inferior frontal gyrus; VPL: thalamic ventral posterolateral nucleus; FF: fundamental frequency; PD: pulse duration; PRF: pulse repetition frequency; DC: duty cycle; SD: sonication duration (pulse train); PTRI; pulse train repetition interval; PRTD: pulse repetition train duration (i.e., overall pulse protocol duration); </w:t>
            </w:r>
            <w:proofErr w:type="spellStart"/>
            <w:r w:rsidRPr="003634F8">
              <w:rPr>
                <w:rFonts w:ascii="Times New Roman" w:hAnsi="Times New Roman" w:cs="Times New Roman"/>
                <w:sz w:val="18"/>
                <w:szCs w:val="18"/>
              </w:rPr>
              <w:t>Isppa_water</w:t>
            </w:r>
            <w:proofErr w:type="spellEnd"/>
            <w:r w:rsidRPr="003634F8">
              <w:rPr>
                <w:rFonts w:ascii="Times New Roman" w:hAnsi="Times New Roman" w:cs="Times New Roman"/>
                <w:sz w:val="18"/>
                <w:szCs w:val="18"/>
              </w:rPr>
              <w:t>: free water intensity at the spatial peak pulse average; Online: during stimulation; Offline: after stimulation; ERP: event related potential; ERSP: event related spectral perturbation; PSD: power spectrum density; SEP: sensory evoked potential; VEP: visual evoked potential.</w:t>
            </w:r>
          </w:p>
        </w:tc>
      </w:tr>
    </w:tbl>
    <w:p w14:paraId="4F09F546" w14:textId="77777777" w:rsidR="008072FE" w:rsidRDefault="008072FE" w:rsidP="008072FE">
      <w:pPr>
        <w:jc w:val="both"/>
        <w:rPr>
          <w:rFonts w:ascii="Times New Roman" w:hAnsi="Times New Roman" w:cs="Times New Roman"/>
          <w:sz w:val="22"/>
          <w:szCs w:val="22"/>
        </w:rPr>
      </w:pPr>
    </w:p>
    <w:p w14:paraId="4C1365E8" w14:textId="77777777" w:rsidR="008072FE" w:rsidRDefault="008072FE" w:rsidP="008072FE">
      <w:pPr>
        <w:jc w:val="both"/>
        <w:rPr>
          <w:rFonts w:ascii="Times New Roman" w:hAnsi="Times New Roman" w:cs="Times New Roman"/>
          <w:sz w:val="22"/>
          <w:szCs w:val="22"/>
        </w:rPr>
      </w:pPr>
    </w:p>
    <w:p w14:paraId="1F394934" w14:textId="77777777" w:rsidR="008072FE" w:rsidRDefault="008072FE" w:rsidP="008072FE">
      <w:pPr>
        <w:jc w:val="both"/>
        <w:rPr>
          <w:rFonts w:ascii="Times New Roman" w:hAnsi="Times New Roman" w:cs="Times New Roman"/>
          <w:sz w:val="22"/>
          <w:szCs w:val="22"/>
        </w:rPr>
      </w:pPr>
    </w:p>
    <w:p w14:paraId="73BA1426" w14:textId="77777777" w:rsidR="008072FE" w:rsidRDefault="008072FE" w:rsidP="008072FE">
      <w:pPr>
        <w:jc w:val="both"/>
        <w:rPr>
          <w:rFonts w:ascii="Times New Roman" w:hAnsi="Times New Roman" w:cs="Times New Roman"/>
          <w:sz w:val="22"/>
          <w:szCs w:val="22"/>
        </w:rPr>
      </w:pPr>
    </w:p>
    <w:p w14:paraId="44A3E1DA" w14:textId="77777777" w:rsidR="008072FE" w:rsidRDefault="008072FE" w:rsidP="008072FE">
      <w:pPr>
        <w:jc w:val="both"/>
        <w:rPr>
          <w:rFonts w:ascii="Times New Roman" w:hAnsi="Times New Roman" w:cs="Times New Roman"/>
          <w:sz w:val="22"/>
          <w:szCs w:val="22"/>
        </w:rPr>
      </w:pPr>
    </w:p>
    <w:p w14:paraId="5E1C3F56" w14:textId="77777777" w:rsidR="008072FE" w:rsidRDefault="008072FE" w:rsidP="008072FE">
      <w:pPr>
        <w:jc w:val="both"/>
        <w:rPr>
          <w:rFonts w:ascii="Times New Roman" w:hAnsi="Times New Roman" w:cs="Times New Roman"/>
          <w:sz w:val="22"/>
          <w:szCs w:val="22"/>
        </w:rPr>
      </w:pPr>
    </w:p>
    <w:p w14:paraId="7CB6A998" w14:textId="77777777" w:rsidR="008072FE" w:rsidRDefault="008072FE" w:rsidP="008072FE">
      <w:pPr>
        <w:jc w:val="both"/>
        <w:rPr>
          <w:rFonts w:ascii="Times New Roman" w:hAnsi="Times New Roman" w:cs="Times New Roman"/>
          <w:sz w:val="22"/>
          <w:szCs w:val="22"/>
        </w:rPr>
      </w:pPr>
    </w:p>
    <w:p w14:paraId="069526E1" w14:textId="77777777" w:rsidR="008072FE" w:rsidRDefault="008072FE" w:rsidP="008072FE">
      <w:pPr>
        <w:jc w:val="both"/>
        <w:rPr>
          <w:rFonts w:ascii="Times New Roman" w:hAnsi="Times New Roman" w:cs="Times New Roman"/>
          <w:sz w:val="22"/>
          <w:szCs w:val="22"/>
        </w:rPr>
      </w:pPr>
    </w:p>
    <w:p w14:paraId="2301468E" w14:textId="77777777" w:rsidR="008072FE" w:rsidRDefault="008072FE" w:rsidP="008072FE">
      <w:pPr>
        <w:jc w:val="both"/>
        <w:rPr>
          <w:rFonts w:ascii="Times New Roman" w:hAnsi="Times New Roman" w:cs="Times New Roman"/>
          <w:sz w:val="22"/>
          <w:szCs w:val="22"/>
        </w:rPr>
      </w:pPr>
    </w:p>
    <w:p w14:paraId="02FC6DA3" w14:textId="77777777" w:rsidR="008072FE" w:rsidRDefault="008072FE" w:rsidP="008072FE">
      <w:pPr>
        <w:jc w:val="both"/>
        <w:rPr>
          <w:rFonts w:ascii="Times New Roman" w:hAnsi="Times New Roman" w:cs="Times New Roman"/>
          <w:sz w:val="22"/>
          <w:szCs w:val="22"/>
        </w:rPr>
      </w:pPr>
    </w:p>
    <w:p w14:paraId="2906B499" w14:textId="77777777" w:rsidR="008072FE" w:rsidRDefault="008072FE" w:rsidP="008072FE">
      <w:pPr>
        <w:jc w:val="both"/>
        <w:rPr>
          <w:rFonts w:ascii="Times New Roman" w:hAnsi="Times New Roman" w:cs="Times New Roman"/>
          <w:sz w:val="22"/>
          <w:szCs w:val="22"/>
        </w:rPr>
      </w:pPr>
    </w:p>
    <w:p w14:paraId="014B15C6" w14:textId="77777777" w:rsidR="008072FE" w:rsidRPr="00575D0A" w:rsidRDefault="008072FE" w:rsidP="008072FE">
      <w:pPr>
        <w:jc w:val="both"/>
        <w:rPr>
          <w:rFonts w:ascii="Times New Roman" w:hAnsi="Times New Roman" w:cs="Times New Roman"/>
          <w:b/>
          <w:bCs/>
          <w:i/>
          <w:iCs/>
          <w:u w:val="single"/>
        </w:rPr>
      </w:pPr>
      <w:r>
        <w:rPr>
          <w:rFonts w:ascii="Times New Roman" w:hAnsi="Times New Roman" w:cs="Times New Roman"/>
          <w:b/>
          <w:bCs/>
          <w:i/>
          <w:iCs/>
          <w:u w:val="single"/>
        </w:rPr>
        <w:t xml:space="preserve">Supplementary </w:t>
      </w:r>
      <w:r w:rsidRPr="00575D0A">
        <w:rPr>
          <w:rFonts w:ascii="Times New Roman" w:hAnsi="Times New Roman" w:cs="Times New Roman"/>
          <w:b/>
          <w:bCs/>
          <w:i/>
          <w:iCs/>
          <w:u w:val="single"/>
        </w:rPr>
        <w:t>Table</w:t>
      </w:r>
      <w:r>
        <w:rPr>
          <w:rFonts w:ascii="Times New Roman" w:hAnsi="Times New Roman" w:cs="Times New Roman"/>
          <w:b/>
          <w:bCs/>
          <w:i/>
          <w:iCs/>
          <w:u w:val="single"/>
        </w:rPr>
        <w:t xml:space="preserve"> 2</w:t>
      </w:r>
      <w:r w:rsidRPr="00575D0A">
        <w:rPr>
          <w:rFonts w:ascii="Times New Roman" w:hAnsi="Times New Roman" w:cs="Times New Roman"/>
          <w:b/>
          <w:bCs/>
          <w:i/>
          <w:iCs/>
          <w:u w:val="single"/>
        </w:rPr>
        <w:t xml:space="preserve"> references</w:t>
      </w:r>
    </w:p>
    <w:p w14:paraId="388EFC49" w14:textId="77777777" w:rsidR="008072FE" w:rsidRDefault="008072FE" w:rsidP="008072FE">
      <w:pPr>
        <w:autoSpaceDE w:val="0"/>
        <w:ind w:hanging="640"/>
        <w:jc w:val="both"/>
        <w:rPr>
          <w:rFonts w:eastAsia="Times New Roman"/>
          <w:color w:val="000000"/>
        </w:rPr>
      </w:pPr>
    </w:p>
    <w:p w14:paraId="60714E91" w14:textId="77777777" w:rsidR="008072FE" w:rsidRPr="00575D0A" w:rsidRDefault="008072FE" w:rsidP="008072FE">
      <w:pPr>
        <w:autoSpaceDE w:val="0"/>
        <w:ind w:hanging="640"/>
        <w:jc w:val="both"/>
        <w:rPr>
          <w:rFonts w:eastAsia="Times New Roman"/>
          <w:color w:val="000000"/>
          <w:kern w:val="0"/>
          <w:sz w:val="22"/>
          <w:szCs w:val="22"/>
        </w:rPr>
      </w:pPr>
      <w:r w:rsidRPr="00782AEF">
        <w:rPr>
          <w:rFonts w:eastAsia="Times New Roman"/>
          <w:color w:val="000000"/>
        </w:rPr>
        <w:t>[</w:t>
      </w:r>
      <w:r w:rsidRPr="00575D0A">
        <w:rPr>
          <w:rFonts w:eastAsia="Times New Roman"/>
          <w:color w:val="000000"/>
          <w:sz w:val="22"/>
          <w:szCs w:val="22"/>
        </w:rPr>
        <w:t>1]</w:t>
      </w:r>
      <w:r w:rsidRPr="00575D0A">
        <w:rPr>
          <w:rFonts w:eastAsia="Times New Roman"/>
          <w:color w:val="000000"/>
          <w:sz w:val="22"/>
          <w:szCs w:val="22"/>
        </w:rPr>
        <w:tab/>
        <w:t xml:space="preserve">Legon W, Sato TF, Opitz A, Mueller J, Barbour A, Williams A, et al. Transcranial focused ultrasound modulates the activity of primary somatosensory cortex in humans. Nat </w:t>
      </w:r>
      <w:proofErr w:type="spellStart"/>
      <w:r w:rsidRPr="00575D0A">
        <w:rPr>
          <w:rFonts w:eastAsia="Times New Roman"/>
          <w:color w:val="000000"/>
          <w:sz w:val="22"/>
          <w:szCs w:val="22"/>
        </w:rPr>
        <w:t>Neurosci</w:t>
      </w:r>
      <w:proofErr w:type="spellEnd"/>
      <w:r w:rsidRPr="00575D0A">
        <w:rPr>
          <w:rFonts w:eastAsia="Times New Roman"/>
          <w:color w:val="000000"/>
          <w:sz w:val="22"/>
          <w:szCs w:val="22"/>
        </w:rPr>
        <w:t xml:space="preserve"> 2014;17:322–9. https://doi.org/10.1038/nn.3620.</w:t>
      </w:r>
    </w:p>
    <w:p w14:paraId="75DFF201" w14:textId="77777777" w:rsidR="008072FE" w:rsidRPr="00575D0A" w:rsidRDefault="008072FE" w:rsidP="008072FE">
      <w:pPr>
        <w:autoSpaceDE w:val="0"/>
        <w:ind w:hanging="640"/>
        <w:jc w:val="both"/>
        <w:rPr>
          <w:rFonts w:eastAsia="Times New Roman"/>
          <w:color w:val="000000"/>
          <w:sz w:val="22"/>
          <w:szCs w:val="22"/>
        </w:rPr>
      </w:pPr>
      <w:r w:rsidRPr="00575D0A">
        <w:rPr>
          <w:rFonts w:eastAsia="Times New Roman"/>
          <w:color w:val="000000"/>
          <w:sz w:val="22"/>
          <w:szCs w:val="22"/>
        </w:rPr>
        <w:t>[2]</w:t>
      </w:r>
      <w:r w:rsidRPr="00575D0A">
        <w:rPr>
          <w:rFonts w:eastAsia="Times New Roman"/>
          <w:color w:val="000000"/>
          <w:sz w:val="22"/>
          <w:szCs w:val="22"/>
        </w:rPr>
        <w:tab/>
        <w:t xml:space="preserve">Mueller J, Legon W, Opitz A, Sato TF, Tyler WJ. Transcranial Focused Ultrasound Modulates Intrinsic and Evoked EEG Dynamics. Brain </w:t>
      </w:r>
      <w:proofErr w:type="spellStart"/>
      <w:r w:rsidRPr="00575D0A">
        <w:rPr>
          <w:rFonts w:eastAsia="Times New Roman"/>
          <w:color w:val="000000"/>
          <w:sz w:val="22"/>
          <w:szCs w:val="22"/>
        </w:rPr>
        <w:t>Stimul</w:t>
      </w:r>
      <w:proofErr w:type="spellEnd"/>
      <w:r w:rsidRPr="00575D0A">
        <w:rPr>
          <w:rFonts w:eastAsia="Times New Roman"/>
          <w:color w:val="000000"/>
          <w:sz w:val="22"/>
          <w:szCs w:val="22"/>
        </w:rPr>
        <w:t xml:space="preserve"> 2014;7:900–8. https://doi.org/https://doi.org/10.1016/j.brs.2014.08.008.</w:t>
      </w:r>
    </w:p>
    <w:p w14:paraId="2B540EB2" w14:textId="77777777" w:rsidR="008072FE" w:rsidRPr="00575D0A" w:rsidRDefault="008072FE" w:rsidP="008072FE">
      <w:pPr>
        <w:autoSpaceDE w:val="0"/>
        <w:ind w:hanging="640"/>
        <w:jc w:val="both"/>
        <w:rPr>
          <w:rFonts w:eastAsia="Times New Roman"/>
          <w:color w:val="000000"/>
          <w:sz w:val="22"/>
          <w:szCs w:val="22"/>
        </w:rPr>
      </w:pPr>
      <w:r w:rsidRPr="00575D0A">
        <w:rPr>
          <w:rFonts w:eastAsia="Times New Roman"/>
          <w:color w:val="000000"/>
          <w:sz w:val="22"/>
          <w:szCs w:val="22"/>
        </w:rPr>
        <w:t>[3]</w:t>
      </w:r>
      <w:r w:rsidRPr="00575D0A">
        <w:rPr>
          <w:rFonts w:eastAsia="Times New Roman"/>
          <w:color w:val="000000"/>
          <w:sz w:val="22"/>
          <w:szCs w:val="22"/>
        </w:rPr>
        <w:tab/>
        <w:t>Lee W, Kim H, Jung Y, Song I-U, Chung YA, Yoo S-S. Image-Guided Transcranial Focused Ultrasound Stimulates Human Primary Somatosensory Cortex. Sci Rep 2015;5:8743. https://doi.org/10.1038/srep08743.</w:t>
      </w:r>
    </w:p>
    <w:p w14:paraId="52C47FBB" w14:textId="77777777" w:rsidR="008072FE" w:rsidRPr="00575D0A" w:rsidRDefault="008072FE" w:rsidP="008072FE">
      <w:pPr>
        <w:autoSpaceDE w:val="0"/>
        <w:ind w:hanging="640"/>
        <w:jc w:val="both"/>
        <w:rPr>
          <w:rFonts w:eastAsia="Times New Roman"/>
          <w:color w:val="000000"/>
          <w:sz w:val="22"/>
          <w:szCs w:val="22"/>
        </w:rPr>
      </w:pPr>
      <w:r w:rsidRPr="00575D0A">
        <w:rPr>
          <w:rFonts w:eastAsia="Times New Roman"/>
          <w:color w:val="000000"/>
          <w:sz w:val="22"/>
          <w:szCs w:val="22"/>
        </w:rPr>
        <w:t>[4]</w:t>
      </w:r>
      <w:r w:rsidRPr="00575D0A">
        <w:rPr>
          <w:rFonts w:eastAsia="Times New Roman"/>
          <w:color w:val="000000"/>
          <w:sz w:val="22"/>
          <w:szCs w:val="22"/>
        </w:rPr>
        <w:tab/>
        <w:t>Lee W, Kim H-C, Jung Y, Chung YA, Song I-U, Lee J-H, et al. Transcranial focused ultrasound stimulation of human primary visual cortex. Sci Rep 2016;6:34026. https://doi.org/10.1038/srep34026.</w:t>
      </w:r>
    </w:p>
    <w:p w14:paraId="57650432" w14:textId="77777777" w:rsidR="008072FE" w:rsidRPr="00575D0A" w:rsidRDefault="008072FE" w:rsidP="008072FE">
      <w:pPr>
        <w:autoSpaceDE w:val="0"/>
        <w:ind w:hanging="640"/>
        <w:jc w:val="both"/>
        <w:rPr>
          <w:rFonts w:eastAsia="Times New Roman"/>
          <w:color w:val="000000"/>
          <w:sz w:val="22"/>
          <w:szCs w:val="22"/>
        </w:rPr>
      </w:pPr>
      <w:r w:rsidRPr="00575D0A">
        <w:rPr>
          <w:rFonts w:eastAsia="Times New Roman"/>
          <w:color w:val="000000"/>
          <w:sz w:val="22"/>
          <w:szCs w:val="22"/>
        </w:rPr>
        <w:t>[5]</w:t>
      </w:r>
      <w:r w:rsidRPr="00575D0A">
        <w:rPr>
          <w:rFonts w:eastAsia="Times New Roman"/>
          <w:color w:val="000000"/>
          <w:sz w:val="22"/>
          <w:szCs w:val="22"/>
        </w:rPr>
        <w:tab/>
        <w:t>Legon W, Ai L, Bansal P, Mueller JK. Neuromodulation with single-element transcranial focused ultrasound in human thalamus. Hum Brain Mapp 2018;39:1995–2006. https://doi.org/https://doi.org/10.1002/hbm.23981.</w:t>
      </w:r>
    </w:p>
    <w:p w14:paraId="595ED525" w14:textId="77777777" w:rsidR="008072FE" w:rsidRPr="00575D0A" w:rsidRDefault="008072FE" w:rsidP="008072FE">
      <w:pPr>
        <w:autoSpaceDE w:val="0"/>
        <w:ind w:hanging="640"/>
        <w:jc w:val="both"/>
        <w:rPr>
          <w:rFonts w:eastAsia="Times New Roman"/>
          <w:color w:val="000000"/>
          <w:sz w:val="22"/>
          <w:szCs w:val="22"/>
        </w:rPr>
      </w:pPr>
      <w:r w:rsidRPr="00575D0A">
        <w:rPr>
          <w:rFonts w:eastAsia="Times New Roman"/>
          <w:color w:val="000000"/>
          <w:sz w:val="22"/>
          <w:szCs w:val="22"/>
        </w:rPr>
        <w:t>[6]</w:t>
      </w:r>
      <w:r w:rsidRPr="00575D0A">
        <w:rPr>
          <w:rFonts w:eastAsia="Times New Roman"/>
          <w:color w:val="000000"/>
          <w:sz w:val="22"/>
          <w:szCs w:val="22"/>
        </w:rPr>
        <w:tab/>
        <w:t xml:space="preserve">Butler CR, Rhodes E, Blackmore J, Cheng X, Peach RL, </w:t>
      </w:r>
      <w:proofErr w:type="spellStart"/>
      <w:r w:rsidRPr="00575D0A">
        <w:rPr>
          <w:rFonts w:eastAsia="Times New Roman"/>
          <w:color w:val="000000"/>
          <w:sz w:val="22"/>
          <w:szCs w:val="22"/>
        </w:rPr>
        <w:t>Veldsman</w:t>
      </w:r>
      <w:proofErr w:type="spellEnd"/>
      <w:r w:rsidRPr="00575D0A">
        <w:rPr>
          <w:rFonts w:eastAsia="Times New Roman"/>
          <w:color w:val="000000"/>
          <w:sz w:val="22"/>
          <w:szCs w:val="22"/>
        </w:rPr>
        <w:t xml:space="preserve"> M, et al. Transcranial ultrasound stimulation to human middle temporal complex improves visual motion detection and modulates electrophysiological responses. Brain </w:t>
      </w:r>
      <w:proofErr w:type="spellStart"/>
      <w:r w:rsidRPr="00575D0A">
        <w:rPr>
          <w:rFonts w:eastAsia="Times New Roman"/>
          <w:color w:val="000000"/>
          <w:sz w:val="22"/>
          <w:szCs w:val="22"/>
        </w:rPr>
        <w:t>Stimul</w:t>
      </w:r>
      <w:proofErr w:type="spellEnd"/>
      <w:r w:rsidRPr="00575D0A">
        <w:rPr>
          <w:rFonts w:eastAsia="Times New Roman"/>
          <w:color w:val="000000"/>
          <w:sz w:val="22"/>
          <w:szCs w:val="22"/>
        </w:rPr>
        <w:t xml:space="preserve"> 2022;15:1236–45. https://doi.org/https://doi.org/10.1016/j.brs.2022.08.022.</w:t>
      </w:r>
    </w:p>
    <w:p w14:paraId="2623C442" w14:textId="77777777" w:rsidR="008072FE" w:rsidRPr="00575D0A" w:rsidRDefault="008072FE" w:rsidP="008072FE">
      <w:pPr>
        <w:autoSpaceDE w:val="0"/>
        <w:ind w:hanging="640"/>
        <w:jc w:val="both"/>
        <w:rPr>
          <w:rFonts w:eastAsia="Times New Roman"/>
          <w:color w:val="000000"/>
          <w:sz w:val="22"/>
          <w:szCs w:val="22"/>
        </w:rPr>
      </w:pPr>
      <w:r w:rsidRPr="00575D0A">
        <w:rPr>
          <w:rFonts w:eastAsia="Times New Roman"/>
          <w:color w:val="000000"/>
          <w:sz w:val="22"/>
          <w:szCs w:val="22"/>
        </w:rPr>
        <w:t>[7]</w:t>
      </w:r>
      <w:r w:rsidRPr="00575D0A">
        <w:rPr>
          <w:rFonts w:eastAsia="Times New Roman"/>
          <w:color w:val="000000"/>
          <w:sz w:val="22"/>
          <w:szCs w:val="22"/>
        </w:rPr>
        <w:tab/>
        <w:t xml:space="preserve">Braun V, Blackmore J, Cleveland RO, Butler CR. Transcranial ultrasound stimulation in humans is associated with an auditory confound that can be effectively masked. Brain </w:t>
      </w:r>
      <w:proofErr w:type="spellStart"/>
      <w:r w:rsidRPr="00575D0A">
        <w:rPr>
          <w:rFonts w:eastAsia="Times New Roman"/>
          <w:color w:val="000000"/>
          <w:sz w:val="22"/>
          <w:szCs w:val="22"/>
        </w:rPr>
        <w:t>Stimul</w:t>
      </w:r>
      <w:proofErr w:type="spellEnd"/>
      <w:r w:rsidRPr="00575D0A">
        <w:rPr>
          <w:rFonts w:eastAsia="Times New Roman"/>
          <w:color w:val="000000"/>
          <w:sz w:val="22"/>
          <w:szCs w:val="22"/>
        </w:rPr>
        <w:t xml:space="preserve"> 2020;13:1527–34. https://doi.org/https://doi.org/10.1016/j.brs.2020.08.014.</w:t>
      </w:r>
    </w:p>
    <w:p w14:paraId="452CED52" w14:textId="77777777" w:rsidR="008072FE" w:rsidRPr="00575D0A" w:rsidRDefault="008072FE" w:rsidP="008072FE">
      <w:pPr>
        <w:autoSpaceDE w:val="0"/>
        <w:ind w:hanging="640"/>
        <w:jc w:val="both"/>
        <w:rPr>
          <w:rFonts w:eastAsia="Times New Roman"/>
          <w:color w:val="000000"/>
          <w:sz w:val="22"/>
          <w:szCs w:val="22"/>
        </w:rPr>
      </w:pPr>
      <w:r w:rsidRPr="00575D0A">
        <w:rPr>
          <w:rFonts w:eastAsia="Times New Roman"/>
          <w:color w:val="000000"/>
          <w:sz w:val="22"/>
          <w:szCs w:val="22"/>
        </w:rPr>
        <w:t>[8]</w:t>
      </w:r>
      <w:r w:rsidRPr="00575D0A">
        <w:rPr>
          <w:rFonts w:eastAsia="Times New Roman"/>
          <w:color w:val="000000"/>
          <w:sz w:val="22"/>
          <w:szCs w:val="22"/>
        </w:rPr>
        <w:tab/>
        <w:t>Yu K, Liu C, Niu X, He B. Transcranial Focused Ultrasound Neuromodulation of Voluntary Movement-Related Cortical Activity in Humans. IEEE Trans Biomed Eng 2021;68:1923–31. https://doi.org/10.1109/TBME.2020.3030892.</w:t>
      </w:r>
    </w:p>
    <w:p w14:paraId="6799385B" w14:textId="77777777" w:rsidR="008072FE" w:rsidRPr="00575D0A" w:rsidRDefault="008072FE" w:rsidP="008072FE">
      <w:pPr>
        <w:autoSpaceDE w:val="0"/>
        <w:ind w:hanging="640"/>
        <w:jc w:val="both"/>
        <w:rPr>
          <w:rFonts w:eastAsia="Times New Roman"/>
          <w:color w:val="000000"/>
          <w:sz w:val="22"/>
          <w:szCs w:val="22"/>
        </w:rPr>
      </w:pPr>
      <w:r w:rsidRPr="00575D0A">
        <w:rPr>
          <w:rFonts w:eastAsia="Times New Roman"/>
          <w:color w:val="000000"/>
          <w:sz w:val="22"/>
          <w:szCs w:val="22"/>
        </w:rPr>
        <w:t>[9]</w:t>
      </w:r>
      <w:r w:rsidRPr="00575D0A">
        <w:rPr>
          <w:rFonts w:eastAsia="Times New Roman"/>
          <w:color w:val="000000"/>
          <w:sz w:val="22"/>
          <w:szCs w:val="22"/>
        </w:rPr>
        <w:tab/>
        <w:t>Liu C, Yu K, Niu X, He B. Transcranial Focused Ultrasound Enhances Sensory Discrimination Capability through Somatosensory Cortical Excitation. Ultrasound Med Biol 2021;47:1356–66. https://doi.org/https://doi.org/10.1016/j.ultrasmedbio.2021.01.025.</w:t>
      </w:r>
    </w:p>
    <w:p w14:paraId="7C13E587" w14:textId="77777777" w:rsidR="008072FE" w:rsidRPr="00575D0A" w:rsidRDefault="008072FE" w:rsidP="008072FE">
      <w:pPr>
        <w:autoSpaceDE w:val="0"/>
        <w:ind w:hanging="640"/>
        <w:jc w:val="both"/>
        <w:rPr>
          <w:rFonts w:eastAsia="Times New Roman"/>
          <w:color w:val="000000"/>
          <w:sz w:val="22"/>
          <w:szCs w:val="22"/>
        </w:rPr>
      </w:pPr>
      <w:r w:rsidRPr="00575D0A">
        <w:rPr>
          <w:rFonts w:eastAsia="Times New Roman"/>
          <w:color w:val="000000"/>
          <w:sz w:val="22"/>
          <w:szCs w:val="22"/>
        </w:rPr>
        <w:t>[10]</w:t>
      </w:r>
      <w:r w:rsidRPr="00575D0A">
        <w:rPr>
          <w:rFonts w:eastAsia="Times New Roman"/>
          <w:color w:val="000000"/>
          <w:sz w:val="22"/>
          <w:szCs w:val="22"/>
        </w:rPr>
        <w:tab/>
        <w:t>Kim YG, Kim SE, Lee J, Hwang S, Yoo S-S, Lee HW. Neuromodulation Using Transcranial Focused Ultrasound on the Bilateral Medial Prefrontal Cortex. J Clin Med 2022;11. https://doi.org/10.3390/jcm11133809.</w:t>
      </w:r>
    </w:p>
    <w:p w14:paraId="22597085" w14:textId="77777777" w:rsidR="008072FE" w:rsidRPr="00575D0A" w:rsidRDefault="008072FE" w:rsidP="008072FE">
      <w:pPr>
        <w:autoSpaceDE w:val="0"/>
        <w:ind w:hanging="640"/>
        <w:jc w:val="both"/>
        <w:rPr>
          <w:rFonts w:eastAsia="Times New Roman"/>
          <w:color w:val="000000"/>
          <w:sz w:val="22"/>
          <w:szCs w:val="22"/>
        </w:rPr>
      </w:pPr>
      <w:r w:rsidRPr="00575D0A">
        <w:rPr>
          <w:rFonts w:eastAsia="Times New Roman"/>
          <w:color w:val="000000"/>
          <w:sz w:val="22"/>
          <w:szCs w:val="22"/>
        </w:rPr>
        <w:t>[11]</w:t>
      </w:r>
      <w:r w:rsidRPr="00575D0A">
        <w:rPr>
          <w:rFonts w:eastAsia="Times New Roman"/>
          <w:color w:val="000000"/>
          <w:sz w:val="22"/>
          <w:szCs w:val="22"/>
        </w:rPr>
        <w:tab/>
        <w:t xml:space="preserve">Nandi T, Johnstone A, Martin E, Zich C, Cooper R, </w:t>
      </w:r>
      <w:proofErr w:type="spellStart"/>
      <w:r w:rsidRPr="00575D0A">
        <w:rPr>
          <w:rFonts w:eastAsia="Times New Roman"/>
          <w:color w:val="000000"/>
          <w:sz w:val="22"/>
          <w:szCs w:val="22"/>
        </w:rPr>
        <w:t>Bestmann</w:t>
      </w:r>
      <w:proofErr w:type="spellEnd"/>
      <w:r w:rsidRPr="00575D0A">
        <w:rPr>
          <w:rFonts w:eastAsia="Times New Roman"/>
          <w:color w:val="000000"/>
          <w:sz w:val="22"/>
          <w:szCs w:val="22"/>
        </w:rPr>
        <w:t xml:space="preserve"> S, et al. Ramped V1 transcranial ultrasonic stimulation modulates but does not evoke visual evoked potentials. Brain </w:t>
      </w:r>
      <w:proofErr w:type="spellStart"/>
      <w:r w:rsidRPr="00575D0A">
        <w:rPr>
          <w:rFonts w:eastAsia="Times New Roman"/>
          <w:color w:val="000000"/>
          <w:sz w:val="22"/>
          <w:szCs w:val="22"/>
        </w:rPr>
        <w:t>Stimul</w:t>
      </w:r>
      <w:proofErr w:type="spellEnd"/>
      <w:r w:rsidRPr="00575D0A">
        <w:rPr>
          <w:rFonts w:eastAsia="Times New Roman"/>
          <w:color w:val="000000"/>
          <w:sz w:val="22"/>
          <w:szCs w:val="22"/>
        </w:rPr>
        <w:t xml:space="preserve"> 2023;16:553–5. https://doi.org/https://doi.org/10.1016/j.brs.2023.02.004.</w:t>
      </w:r>
    </w:p>
    <w:p w14:paraId="5C3E5730" w14:textId="77777777" w:rsidR="008072FE" w:rsidRPr="00575D0A" w:rsidRDefault="008072FE" w:rsidP="008072FE">
      <w:pPr>
        <w:autoSpaceDE w:val="0"/>
        <w:ind w:hanging="640"/>
        <w:jc w:val="both"/>
        <w:rPr>
          <w:rFonts w:eastAsia="Times New Roman"/>
          <w:color w:val="000000"/>
          <w:sz w:val="22"/>
          <w:szCs w:val="22"/>
        </w:rPr>
      </w:pPr>
      <w:r w:rsidRPr="00575D0A">
        <w:rPr>
          <w:rFonts w:eastAsia="Times New Roman"/>
          <w:color w:val="000000"/>
          <w:sz w:val="22"/>
          <w:szCs w:val="22"/>
        </w:rPr>
        <w:t>[12]</w:t>
      </w:r>
      <w:r w:rsidRPr="00575D0A">
        <w:rPr>
          <w:rFonts w:eastAsia="Times New Roman"/>
          <w:color w:val="000000"/>
          <w:sz w:val="22"/>
          <w:szCs w:val="22"/>
        </w:rPr>
        <w:tab/>
        <w:t xml:space="preserve">Kim H-C, Lee W, </w:t>
      </w:r>
      <w:proofErr w:type="spellStart"/>
      <w:r w:rsidRPr="00575D0A">
        <w:rPr>
          <w:rFonts w:eastAsia="Times New Roman"/>
          <w:color w:val="000000"/>
          <w:sz w:val="22"/>
          <w:szCs w:val="22"/>
        </w:rPr>
        <w:t>Weisholtz</w:t>
      </w:r>
      <w:proofErr w:type="spellEnd"/>
      <w:r w:rsidRPr="00575D0A">
        <w:rPr>
          <w:rFonts w:eastAsia="Times New Roman"/>
          <w:color w:val="000000"/>
          <w:sz w:val="22"/>
          <w:szCs w:val="22"/>
        </w:rPr>
        <w:t xml:space="preserve"> DS, Yoo S-S. Transcranial focused ultrasound stimulation of cortical and thalamic somatosensory areas in human. </w:t>
      </w:r>
      <w:proofErr w:type="spellStart"/>
      <w:r w:rsidRPr="00575D0A">
        <w:rPr>
          <w:rFonts w:eastAsia="Times New Roman"/>
          <w:color w:val="000000"/>
          <w:sz w:val="22"/>
          <w:szCs w:val="22"/>
        </w:rPr>
        <w:t>PLoS</w:t>
      </w:r>
      <w:proofErr w:type="spellEnd"/>
      <w:r w:rsidRPr="00575D0A">
        <w:rPr>
          <w:rFonts w:eastAsia="Times New Roman"/>
          <w:color w:val="000000"/>
          <w:sz w:val="22"/>
          <w:szCs w:val="22"/>
        </w:rPr>
        <w:t xml:space="preserve"> One 2023;18:e0288654-.</w:t>
      </w:r>
    </w:p>
    <w:p w14:paraId="5EA3A11B" w14:textId="77777777" w:rsidR="008072FE" w:rsidRPr="00575D0A" w:rsidRDefault="008072FE" w:rsidP="008072FE">
      <w:pPr>
        <w:autoSpaceDE w:val="0"/>
        <w:ind w:hanging="640"/>
        <w:jc w:val="both"/>
        <w:rPr>
          <w:rFonts w:eastAsia="Times New Roman"/>
          <w:color w:val="000000"/>
          <w:sz w:val="22"/>
          <w:szCs w:val="22"/>
        </w:rPr>
      </w:pPr>
      <w:r w:rsidRPr="00575D0A">
        <w:rPr>
          <w:rFonts w:eastAsia="Times New Roman"/>
          <w:color w:val="000000"/>
          <w:sz w:val="22"/>
          <w:szCs w:val="22"/>
        </w:rPr>
        <w:t>[13]</w:t>
      </w:r>
      <w:r w:rsidRPr="00575D0A">
        <w:rPr>
          <w:rFonts w:eastAsia="Times New Roman"/>
          <w:color w:val="000000"/>
          <w:sz w:val="22"/>
          <w:szCs w:val="22"/>
        </w:rPr>
        <w:tab/>
        <w:t xml:space="preserve">Fine JM, Mysore AS, Fini ME, Tyler WJ, Santello M. Transcranial focused ultrasound to human </w:t>
      </w:r>
      <w:proofErr w:type="spellStart"/>
      <w:r w:rsidRPr="00575D0A">
        <w:rPr>
          <w:rFonts w:eastAsia="Times New Roman"/>
          <w:color w:val="000000"/>
          <w:sz w:val="22"/>
          <w:szCs w:val="22"/>
        </w:rPr>
        <w:t>rIFG</w:t>
      </w:r>
      <w:proofErr w:type="spellEnd"/>
      <w:r w:rsidRPr="00575D0A">
        <w:rPr>
          <w:rFonts w:eastAsia="Times New Roman"/>
          <w:color w:val="000000"/>
          <w:sz w:val="22"/>
          <w:szCs w:val="22"/>
        </w:rPr>
        <w:t xml:space="preserve"> improves response inhibition through modulation of the P300 onset latency. Elife 2023;12:e86190. https://doi.org/10.7554/eLife.86190.</w:t>
      </w:r>
    </w:p>
    <w:p w14:paraId="46686C63" w14:textId="77777777" w:rsidR="008072FE" w:rsidRPr="00575D0A" w:rsidRDefault="008072FE" w:rsidP="008072FE">
      <w:pPr>
        <w:autoSpaceDE w:val="0"/>
        <w:ind w:hanging="640"/>
        <w:jc w:val="both"/>
        <w:rPr>
          <w:rFonts w:eastAsia="Times New Roman"/>
          <w:color w:val="000000"/>
          <w:sz w:val="22"/>
          <w:szCs w:val="22"/>
        </w:rPr>
      </w:pPr>
      <w:r w:rsidRPr="00575D0A">
        <w:rPr>
          <w:rFonts w:eastAsia="Times New Roman"/>
          <w:color w:val="000000"/>
          <w:sz w:val="22"/>
          <w:szCs w:val="22"/>
        </w:rPr>
        <w:t>[14]</w:t>
      </w:r>
      <w:r w:rsidRPr="00575D0A">
        <w:rPr>
          <w:rFonts w:eastAsia="Times New Roman"/>
          <w:color w:val="000000"/>
          <w:sz w:val="22"/>
          <w:szCs w:val="22"/>
        </w:rPr>
        <w:tab/>
      </w:r>
      <w:proofErr w:type="spellStart"/>
      <w:r w:rsidRPr="00575D0A">
        <w:rPr>
          <w:rFonts w:eastAsia="Times New Roman"/>
          <w:color w:val="000000"/>
          <w:sz w:val="22"/>
          <w:szCs w:val="22"/>
        </w:rPr>
        <w:t>Kosnoff</w:t>
      </w:r>
      <w:proofErr w:type="spellEnd"/>
      <w:r w:rsidRPr="00575D0A">
        <w:rPr>
          <w:rFonts w:eastAsia="Times New Roman"/>
          <w:color w:val="000000"/>
          <w:sz w:val="22"/>
          <w:szCs w:val="22"/>
        </w:rPr>
        <w:t xml:space="preserve"> J, Yu K, Liu C, He B. Transcranial focused ultrasound to V5 enhances human visual motion brain-computer interface by modulating feature-based attention. Nat Commun 2024;15:4382. https://doi.org/10.1038/s41467-024-48576-8.</w:t>
      </w:r>
    </w:p>
    <w:p w14:paraId="2F12FB2A" w14:textId="77777777" w:rsidR="008072FE" w:rsidRPr="00575D0A" w:rsidRDefault="008072FE" w:rsidP="008072FE">
      <w:pPr>
        <w:autoSpaceDE w:val="0"/>
        <w:ind w:hanging="640"/>
        <w:jc w:val="both"/>
        <w:rPr>
          <w:rFonts w:eastAsia="Times New Roman"/>
          <w:color w:val="000000"/>
          <w:sz w:val="22"/>
          <w:szCs w:val="22"/>
        </w:rPr>
      </w:pPr>
      <w:r w:rsidRPr="00575D0A">
        <w:rPr>
          <w:rFonts w:eastAsia="Times New Roman"/>
          <w:color w:val="000000"/>
          <w:sz w:val="22"/>
          <w:szCs w:val="22"/>
        </w:rPr>
        <w:t>[15]</w:t>
      </w:r>
      <w:r w:rsidRPr="00575D0A">
        <w:rPr>
          <w:rFonts w:eastAsia="Times New Roman"/>
          <w:color w:val="000000"/>
          <w:sz w:val="22"/>
          <w:szCs w:val="22"/>
        </w:rPr>
        <w:tab/>
        <w:t xml:space="preserve">Tang KWK, Jeong J, Hsieh J-C, Yao M, Ding H, Wang W, et al. </w:t>
      </w:r>
      <w:proofErr w:type="spellStart"/>
      <w:r w:rsidRPr="00575D0A">
        <w:rPr>
          <w:rFonts w:eastAsia="Times New Roman"/>
          <w:color w:val="000000"/>
          <w:sz w:val="22"/>
          <w:szCs w:val="22"/>
        </w:rPr>
        <w:t>Bioadhesive</w:t>
      </w:r>
      <w:proofErr w:type="spellEnd"/>
      <w:r w:rsidRPr="00575D0A">
        <w:rPr>
          <w:rFonts w:eastAsia="Times New Roman"/>
          <w:color w:val="000000"/>
          <w:sz w:val="22"/>
          <w:szCs w:val="22"/>
        </w:rPr>
        <w:t xml:space="preserve"> hydrogel-coupled and miniaturized ultrasound transducer system for long-term, wearable neuromodulation. Nat Commun 2025;16:4940. https://doi.org/10.1038/s41467-025-60181-x.</w:t>
      </w:r>
    </w:p>
    <w:p w14:paraId="063A5500" w14:textId="77777777" w:rsidR="008072FE" w:rsidRPr="00575D0A" w:rsidRDefault="008072FE" w:rsidP="008072FE">
      <w:pPr>
        <w:autoSpaceDE w:val="0"/>
        <w:ind w:hanging="640"/>
        <w:jc w:val="both"/>
        <w:rPr>
          <w:rFonts w:eastAsia="Times New Roman"/>
          <w:color w:val="000000"/>
          <w:sz w:val="22"/>
          <w:szCs w:val="22"/>
        </w:rPr>
      </w:pPr>
      <w:r w:rsidRPr="00575D0A">
        <w:rPr>
          <w:rFonts w:eastAsia="Times New Roman"/>
          <w:color w:val="000000"/>
          <w:sz w:val="22"/>
          <w:szCs w:val="22"/>
        </w:rPr>
        <w:t>[16]</w:t>
      </w:r>
      <w:r w:rsidRPr="00575D0A">
        <w:rPr>
          <w:rFonts w:eastAsia="Times New Roman"/>
          <w:color w:val="000000"/>
          <w:sz w:val="22"/>
          <w:szCs w:val="22"/>
        </w:rPr>
        <w:tab/>
        <w:t xml:space="preserve">Dunsford S, Murphy K, </w:t>
      </w:r>
      <w:proofErr w:type="spellStart"/>
      <w:r w:rsidRPr="00575D0A">
        <w:rPr>
          <w:rFonts w:eastAsia="Times New Roman"/>
          <w:color w:val="000000"/>
          <w:sz w:val="22"/>
          <w:szCs w:val="22"/>
        </w:rPr>
        <w:t>Darrieutort</w:t>
      </w:r>
      <w:proofErr w:type="spellEnd"/>
      <w:r w:rsidRPr="00575D0A">
        <w:rPr>
          <w:rFonts w:eastAsia="Times New Roman"/>
          <w:color w:val="000000"/>
          <w:sz w:val="22"/>
          <w:szCs w:val="22"/>
        </w:rPr>
        <w:t xml:space="preserve"> E, </w:t>
      </w:r>
      <w:proofErr w:type="spellStart"/>
      <w:r w:rsidRPr="00575D0A">
        <w:rPr>
          <w:rFonts w:eastAsia="Times New Roman"/>
          <w:color w:val="000000"/>
          <w:sz w:val="22"/>
          <w:szCs w:val="22"/>
        </w:rPr>
        <w:t>Fouragnan</w:t>
      </w:r>
      <w:proofErr w:type="spellEnd"/>
      <w:r w:rsidRPr="00575D0A">
        <w:rPr>
          <w:rFonts w:eastAsia="Times New Roman"/>
          <w:color w:val="000000"/>
          <w:sz w:val="22"/>
          <w:szCs w:val="22"/>
        </w:rPr>
        <w:t xml:space="preserve"> E, Ganis G. Unilateral online ultrasound stimulation of early visual cortex suppresses responses to contralateral visual stimuli. Brain </w:t>
      </w:r>
      <w:proofErr w:type="spellStart"/>
      <w:r w:rsidRPr="00575D0A">
        <w:rPr>
          <w:rFonts w:eastAsia="Times New Roman"/>
          <w:color w:val="000000"/>
          <w:sz w:val="22"/>
          <w:szCs w:val="22"/>
        </w:rPr>
        <w:t>Stimul</w:t>
      </w:r>
      <w:proofErr w:type="spellEnd"/>
      <w:r w:rsidRPr="00575D0A">
        <w:rPr>
          <w:rFonts w:eastAsia="Times New Roman"/>
          <w:color w:val="000000"/>
          <w:sz w:val="22"/>
          <w:szCs w:val="22"/>
        </w:rPr>
        <w:t xml:space="preserve"> 2026;19:103023. https://doi.org/https://doi.org/10.1016/j.brs.2025.103023.</w:t>
      </w:r>
    </w:p>
    <w:p w14:paraId="06DB9335" w14:textId="77777777" w:rsidR="008072FE" w:rsidRPr="00AC1E82" w:rsidRDefault="008072FE" w:rsidP="008072FE">
      <w:pPr>
        <w:autoSpaceDE w:val="0"/>
        <w:ind w:hanging="640"/>
        <w:jc w:val="both"/>
        <w:rPr>
          <w:rFonts w:eastAsia="Times New Roman"/>
          <w:color w:val="000000"/>
          <w:sz w:val="22"/>
          <w:szCs w:val="22"/>
        </w:rPr>
      </w:pPr>
      <w:r w:rsidRPr="00575D0A">
        <w:rPr>
          <w:rFonts w:eastAsia="Times New Roman"/>
          <w:color w:val="000000"/>
          <w:sz w:val="22"/>
          <w:szCs w:val="22"/>
          <w:lang w:val="da-DK"/>
        </w:rPr>
        <w:t>[17]</w:t>
      </w:r>
      <w:r w:rsidRPr="00575D0A">
        <w:rPr>
          <w:rFonts w:eastAsia="Times New Roman"/>
          <w:color w:val="000000"/>
          <w:sz w:val="22"/>
          <w:szCs w:val="22"/>
          <w:lang w:val="da-DK"/>
        </w:rPr>
        <w:tab/>
        <w:t xml:space="preserve">Kosnoff J, Gonsisko C, Yu K, Zhang J, Ding Y, Zhang Y, et al. </w:t>
      </w:r>
      <w:r w:rsidRPr="00575D0A">
        <w:rPr>
          <w:rFonts w:eastAsia="Times New Roman"/>
          <w:color w:val="000000"/>
          <w:sz w:val="22"/>
          <w:szCs w:val="22"/>
        </w:rPr>
        <w:t xml:space="preserve">Transcranial focused ultrasound induces source localizable cortical activation in resting state humans when applied concurrently with transcranial electric stimulation. </w:t>
      </w:r>
      <w:r w:rsidRPr="00AC1E82">
        <w:rPr>
          <w:rFonts w:eastAsia="Times New Roman"/>
          <w:color w:val="000000"/>
          <w:sz w:val="22"/>
          <w:szCs w:val="22"/>
        </w:rPr>
        <w:t>Nat Commun 2026;17:2023. https://doi.org/10.1038/s41467-026-69853-8.</w:t>
      </w:r>
    </w:p>
    <w:p w14:paraId="30AB0031" w14:textId="77777777" w:rsidR="008072FE" w:rsidRPr="00AC1E82" w:rsidRDefault="008072FE" w:rsidP="008072FE">
      <w:pPr>
        <w:jc w:val="both"/>
      </w:pPr>
      <w:r w:rsidRPr="00AC1E82">
        <w:rPr>
          <w:rFonts w:eastAsia="Times New Roman"/>
          <w:color w:val="000000"/>
        </w:rPr>
        <w:t> </w:t>
      </w:r>
    </w:p>
    <w:p w14:paraId="2B332A86" w14:textId="77777777" w:rsidR="008072FE" w:rsidRPr="00AC1E82" w:rsidRDefault="008072FE" w:rsidP="008072FE">
      <w:pPr>
        <w:jc w:val="both"/>
        <w:rPr>
          <w:rFonts w:ascii="Times New Roman" w:hAnsi="Times New Roman" w:cs="Times New Roman"/>
          <w:sz w:val="22"/>
          <w:szCs w:val="22"/>
        </w:rPr>
      </w:pPr>
    </w:p>
    <w:p w14:paraId="64F31E89" w14:textId="77777777" w:rsidR="008072FE" w:rsidRPr="00AC1E82" w:rsidRDefault="008072FE" w:rsidP="008072FE">
      <w:pPr>
        <w:jc w:val="both"/>
        <w:rPr>
          <w:rFonts w:ascii="Times New Roman" w:hAnsi="Times New Roman" w:cs="Times New Roman"/>
          <w:sz w:val="22"/>
          <w:szCs w:val="22"/>
        </w:rPr>
      </w:pPr>
    </w:p>
    <w:p w14:paraId="5DE74F06" w14:textId="77777777" w:rsidR="008072FE" w:rsidRPr="00AC1E82" w:rsidRDefault="008072FE" w:rsidP="008072FE">
      <w:pPr>
        <w:jc w:val="both"/>
        <w:rPr>
          <w:rFonts w:ascii="Times New Roman" w:hAnsi="Times New Roman" w:cs="Times New Roman"/>
          <w:sz w:val="22"/>
          <w:szCs w:val="22"/>
        </w:rPr>
      </w:pPr>
    </w:p>
    <w:p w14:paraId="0DCF908B" w14:textId="77777777" w:rsidR="008072FE" w:rsidRPr="00AC1E82" w:rsidRDefault="008072FE" w:rsidP="008072FE">
      <w:pPr>
        <w:jc w:val="both"/>
        <w:rPr>
          <w:rFonts w:ascii="Times New Roman" w:hAnsi="Times New Roman" w:cs="Times New Roman"/>
          <w:sz w:val="22"/>
          <w:szCs w:val="22"/>
        </w:rPr>
      </w:pPr>
    </w:p>
    <w:p w14:paraId="5DE01C48" w14:textId="77777777" w:rsidR="008B07A6" w:rsidRDefault="008B07A6"/>
    <w:sectPr w:rsidR="008B07A6" w:rsidSect="008072FE">
      <w:footerReference w:type="default" r:id="rId7"/>
      <w:pgSz w:w="11906" w:h="16838" w:code="9"/>
      <w:pgMar w:top="1134" w:right="1134" w:bottom="1134" w:left="1134"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Noto Serif CJK SC">
    <w:altName w:val="Calibri"/>
    <w:charset w:val="00"/>
    <w:family w:val="auto"/>
    <w:pitch w:val="variable"/>
  </w:font>
  <w:font w:name="Lohit Devanagari">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822406"/>
      <w:docPartObj>
        <w:docPartGallery w:val="Page Numbers (Bottom of Page)"/>
        <w:docPartUnique/>
      </w:docPartObj>
    </w:sdtPr>
    <w:sdtContent>
      <w:p w14:paraId="6CA6901B" w14:textId="77777777" w:rsidR="008072FE" w:rsidRDefault="008072FE">
        <w:pPr>
          <w:pStyle w:val="Footer"/>
        </w:pPr>
        <w:r>
          <w:fldChar w:fldCharType="begin"/>
        </w:r>
        <w:r>
          <w:instrText>PAGE   \* MERGEFORMAT</w:instrText>
        </w:r>
        <w:r>
          <w:fldChar w:fldCharType="separate"/>
        </w:r>
        <w:r>
          <w:rPr>
            <w:lang w:val="da-DK"/>
          </w:rPr>
          <w:t>2</w:t>
        </w:r>
        <w:r>
          <w:fldChar w:fldCharType="end"/>
        </w:r>
      </w:p>
    </w:sdtContent>
  </w:sdt>
  <w:p w14:paraId="4CF35F88" w14:textId="77777777" w:rsidR="008072FE" w:rsidRDefault="008072FE">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2FE"/>
    <w:rsid w:val="00066677"/>
    <w:rsid w:val="0030497F"/>
    <w:rsid w:val="003A4E89"/>
    <w:rsid w:val="00556784"/>
    <w:rsid w:val="008072FE"/>
    <w:rsid w:val="008B07A6"/>
    <w:rsid w:val="00987B63"/>
    <w:rsid w:val="00D31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F366C"/>
  <w15:chartTrackingRefBased/>
  <w15:docId w15:val="{02E98E54-912A-46BF-8F89-6F75108F1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2FE"/>
    <w:pPr>
      <w:suppressAutoHyphens/>
      <w:autoSpaceDN w:val="0"/>
      <w:spacing w:after="0" w:line="240" w:lineRule="auto"/>
      <w:textAlignment w:val="baseline"/>
    </w:pPr>
    <w:rPr>
      <w:rFonts w:ascii="Liberation Serif" w:eastAsia="Noto Serif CJK SC" w:hAnsi="Liberation Serif" w:cs="Lohit Devanagari"/>
      <w:kern w:val="3"/>
      <w:lang w:eastAsia="zh-CN" w:bidi="hi-IN"/>
      <w14:ligatures w14:val="none"/>
    </w:rPr>
  </w:style>
  <w:style w:type="paragraph" w:styleId="Heading1">
    <w:name w:val="heading 1"/>
    <w:basedOn w:val="Normal"/>
    <w:next w:val="Normal"/>
    <w:link w:val="Heading1Char"/>
    <w:uiPriority w:val="9"/>
    <w:qFormat/>
    <w:rsid w:val="008072FE"/>
    <w:pPr>
      <w:keepNext/>
      <w:keepLines/>
      <w:suppressAutoHyphens w:val="0"/>
      <w:autoSpaceDN/>
      <w:spacing w:before="360" w:after="80" w:line="278" w:lineRule="auto"/>
      <w:textAlignment w:val="auto"/>
      <w:outlineLvl w:val="0"/>
    </w:pPr>
    <w:rPr>
      <w:rFonts w:asciiTheme="majorHAnsi" w:eastAsiaTheme="majorEastAsia" w:hAnsiTheme="majorHAnsi" w:cstheme="majorBidi"/>
      <w:color w:val="0F4761" w:themeColor="accent1" w:themeShade="BF"/>
      <w:kern w:val="2"/>
      <w:sz w:val="40"/>
      <w:szCs w:val="40"/>
      <w:lang w:eastAsia="en-US" w:bidi="ar-SA"/>
      <w14:ligatures w14:val="standardContextual"/>
    </w:rPr>
  </w:style>
  <w:style w:type="paragraph" w:styleId="Heading2">
    <w:name w:val="heading 2"/>
    <w:basedOn w:val="Normal"/>
    <w:next w:val="Normal"/>
    <w:link w:val="Heading2Char"/>
    <w:uiPriority w:val="9"/>
    <w:semiHidden/>
    <w:unhideWhenUsed/>
    <w:qFormat/>
    <w:rsid w:val="008072FE"/>
    <w:pPr>
      <w:keepNext/>
      <w:keepLines/>
      <w:suppressAutoHyphens w:val="0"/>
      <w:autoSpaceDN/>
      <w:spacing w:before="160" w:after="80" w:line="278" w:lineRule="auto"/>
      <w:textAlignment w:val="auto"/>
      <w:outlineLvl w:val="1"/>
    </w:pPr>
    <w:rPr>
      <w:rFonts w:asciiTheme="majorHAnsi" w:eastAsiaTheme="majorEastAsia" w:hAnsiTheme="majorHAnsi" w:cstheme="majorBidi"/>
      <w:color w:val="0F4761" w:themeColor="accent1" w:themeShade="BF"/>
      <w:kern w:val="2"/>
      <w:sz w:val="32"/>
      <w:szCs w:val="32"/>
      <w:lang w:eastAsia="en-US" w:bidi="ar-SA"/>
      <w14:ligatures w14:val="standardContextual"/>
    </w:rPr>
  </w:style>
  <w:style w:type="paragraph" w:styleId="Heading3">
    <w:name w:val="heading 3"/>
    <w:basedOn w:val="Normal"/>
    <w:next w:val="Normal"/>
    <w:link w:val="Heading3Char"/>
    <w:uiPriority w:val="9"/>
    <w:semiHidden/>
    <w:unhideWhenUsed/>
    <w:qFormat/>
    <w:rsid w:val="008072FE"/>
    <w:pPr>
      <w:keepNext/>
      <w:keepLines/>
      <w:suppressAutoHyphens w:val="0"/>
      <w:autoSpaceDN/>
      <w:spacing w:before="160" w:after="80" w:line="278" w:lineRule="auto"/>
      <w:textAlignment w:val="auto"/>
      <w:outlineLvl w:val="2"/>
    </w:pPr>
    <w:rPr>
      <w:rFonts w:asciiTheme="minorHAnsi" w:eastAsiaTheme="majorEastAsia" w:hAnsiTheme="minorHAnsi" w:cstheme="majorBidi"/>
      <w:color w:val="0F4761" w:themeColor="accent1" w:themeShade="BF"/>
      <w:kern w:val="2"/>
      <w:sz w:val="28"/>
      <w:szCs w:val="28"/>
      <w:lang w:eastAsia="en-US" w:bidi="ar-SA"/>
      <w14:ligatures w14:val="standardContextual"/>
    </w:rPr>
  </w:style>
  <w:style w:type="paragraph" w:styleId="Heading4">
    <w:name w:val="heading 4"/>
    <w:basedOn w:val="Normal"/>
    <w:next w:val="Normal"/>
    <w:link w:val="Heading4Char"/>
    <w:uiPriority w:val="9"/>
    <w:semiHidden/>
    <w:unhideWhenUsed/>
    <w:qFormat/>
    <w:rsid w:val="008072FE"/>
    <w:pPr>
      <w:keepNext/>
      <w:keepLines/>
      <w:suppressAutoHyphens w:val="0"/>
      <w:autoSpaceDN/>
      <w:spacing w:before="80" w:after="40" w:line="278" w:lineRule="auto"/>
      <w:textAlignment w:val="auto"/>
      <w:outlineLvl w:val="3"/>
    </w:pPr>
    <w:rPr>
      <w:rFonts w:asciiTheme="minorHAnsi" w:eastAsiaTheme="majorEastAsia" w:hAnsiTheme="minorHAnsi" w:cstheme="majorBidi"/>
      <w:i/>
      <w:iCs/>
      <w:color w:val="0F4761" w:themeColor="accent1" w:themeShade="BF"/>
      <w:kern w:val="2"/>
      <w:lang w:eastAsia="en-US" w:bidi="ar-SA"/>
      <w14:ligatures w14:val="standardContextual"/>
    </w:rPr>
  </w:style>
  <w:style w:type="paragraph" w:styleId="Heading5">
    <w:name w:val="heading 5"/>
    <w:basedOn w:val="Normal"/>
    <w:next w:val="Normal"/>
    <w:link w:val="Heading5Char"/>
    <w:uiPriority w:val="9"/>
    <w:semiHidden/>
    <w:unhideWhenUsed/>
    <w:qFormat/>
    <w:rsid w:val="008072FE"/>
    <w:pPr>
      <w:keepNext/>
      <w:keepLines/>
      <w:suppressAutoHyphens w:val="0"/>
      <w:autoSpaceDN/>
      <w:spacing w:before="80" w:after="40" w:line="278" w:lineRule="auto"/>
      <w:textAlignment w:val="auto"/>
      <w:outlineLvl w:val="4"/>
    </w:pPr>
    <w:rPr>
      <w:rFonts w:asciiTheme="minorHAnsi" w:eastAsiaTheme="majorEastAsia" w:hAnsiTheme="minorHAnsi" w:cstheme="majorBidi"/>
      <w:color w:val="0F4761" w:themeColor="accent1" w:themeShade="BF"/>
      <w:kern w:val="2"/>
      <w:lang w:eastAsia="en-US" w:bidi="ar-SA"/>
      <w14:ligatures w14:val="standardContextual"/>
    </w:rPr>
  </w:style>
  <w:style w:type="paragraph" w:styleId="Heading6">
    <w:name w:val="heading 6"/>
    <w:basedOn w:val="Normal"/>
    <w:next w:val="Normal"/>
    <w:link w:val="Heading6Char"/>
    <w:uiPriority w:val="9"/>
    <w:semiHidden/>
    <w:unhideWhenUsed/>
    <w:qFormat/>
    <w:rsid w:val="008072FE"/>
    <w:pPr>
      <w:keepNext/>
      <w:keepLines/>
      <w:suppressAutoHyphens w:val="0"/>
      <w:autoSpaceDN/>
      <w:spacing w:before="40" w:line="278" w:lineRule="auto"/>
      <w:textAlignment w:val="auto"/>
      <w:outlineLvl w:val="5"/>
    </w:pPr>
    <w:rPr>
      <w:rFonts w:asciiTheme="minorHAnsi" w:eastAsiaTheme="majorEastAsia" w:hAnsiTheme="minorHAnsi" w:cstheme="majorBidi"/>
      <w:i/>
      <w:iCs/>
      <w:color w:val="595959" w:themeColor="text1" w:themeTint="A6"/>
      <w:kern w:val="2"/>
      <w:lang w:eastAsia="en-US" w:bidi="ar-SA"/>
      <w14:ligatures w14:val="standardContextual"/>
    </w:rPr>
  </w:style>
  <w:style w:type="paragraph" w:styleId="Heading7">
    <w:name w:val="heading 7"/>
    <w:basedOn w:val="Normal"/>
    <w:next w:val="Normal"/>
    <w:link w:val="Heading7Char"/>
    <w:uiPriority w:val="9"/>
    <w:semiHidden/>
    <w:unhideWhenUsed/>
    <w:qFormat/>
    <w:rsid w:val="008072FE"/>
    <w:pPr>
      <w:keepNext/>
      <w:keepLines/>
      <w:suppressAutoHyphens w:val="0"/>
      <w:autoSpaceDN/>
      <w:spacing w:before="40" w:line="278" w:lineRule="auto"/>
      <w:textAlignment w:val="auto"/>
      <w:outlineLvl w:val="6"/>
    </w:pPr>
    <w:rPr>
      <w:rFonts w:asciiTheme="minorHAnsi" w:eastAsiaTheme="majorEastAsia" w:hAnsiTheme="minorHAnsi" w:cstheme="majorBidi"/>
      <w:color w:val="595959" w:themeColor="text1" w:themeTint="A6"/>
      <w:kern w:val="2"/>
      <w:lang w:eastAsia="en-US" w:bidi="ar-SA"/>
      <w14:ligatures w14:val="standardContextual"/>
    </w:rPr>
  </w:style>
  <w:style w:type="paragraph" w:styleId="Heading8">
    <w:name w:val="heading 8"/>
    <w:basedOn w:val="Normal"/>
    <w:next w:val="Normal"/>
    <w:link w:val="Heading8Char"/>
    <w:uiPriority w:val="9"/>
    <w:semiHidden/>
    <w:unhideWhenUsed/>
    <w:qFormat/>
    <w:rsid w:val="008072FE"/>
    <w:pPr>
      <w:keepNext/>
      <w:keepLines/>
      <w:suppressAutoHyphens w:val="0"/>
      <w:autoSpaceDN/>
      <w:spacing w:line="278" w:lineRule="auto"/>
      <w:textAlignment w:val="auto"/>
      <w:outlineLvl w:val="7"/>
    </w:pPr>
    <w:rPr>
      <w:rFonts w:asciiTheme="minorHAnsi" w:eastAsiaTheme="majorEastAsia" w:hAnsiTheme="minorHAnsi" w:cstheme="majorBidi"/>
      <w:i/>
      <w:iCs/>
      <w:color w:val="272727" w:themeColor="text1" w:themeTint="D8"/>
      <w:kern w:val="2"/>
      <w:lang w:eastAsia="en-US" w:bidi="ar-SA"/>
      <w14:ligatures w14:val="standardContextual"/>
    </w:rPr>
  </w:style>
  <w:style w:type="paragraph" w:styleId="Heading9">
    <w:name w:val="heading 9"/>
    <w:basedOn w:val="Normal"/>
    <w:next w:val="Normal"/>
    <w:link w:val="Heading9Char"/>
    <w:uiPriority w:val="9"/>
    <w:semiHidden/>
    <w:unhideWhenUsed/>
    <w:qFormat/>
    <w:rsid w:val="008072FE"/>
    <w:pPr>
      <w:keepNext/>
      <w:keepLines/>
      <w:suppressAutoHyphens w:val="0"/>
      <w:autoSpaceDN/>
      <w:spacing w:line="278" w:lineRule="auto"/>
      <w:textAlignment w:val="auto"/>
      <w:outlineLvl w:val="8"/>
    </w:pPr>
    <w:rPr>
      <w:rFonts w:asciiTheme="minorHAnsi" w:eastAsiaTheme="majorEastAsia" w:hAnsiTheme="minorHAnsi" w:cstheme="majorBidi"/>
      <w:color w:val="272727" w:themeColor="text1" w:themeTint="D8"/>
      <w:kern w:val="2"/>
      <w:lang w:eastAsia="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2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72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72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72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72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72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72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72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72FE"/>
    <w:rPr>
      <w:rFonts w:eastAsiaTheme="majorEastAsia" w:cstheme="majorBidi"/>
      <w:color w:val="272727" w:themeColor="text1" w:themeTint="D8"/>
    </w:rPr>
  </w:style>
  <w:style w:type="paragraph" w:styleId="Title">
    <w:name w:val="Title"/>
    <w:basedOn w:val="Normal"/>
    <w:next w:val="Normal"/>
    <w:link w:val="TitleChar"/>
    <w:uiPriority w:val="10"/>
    <w:qFormat/>
    <w:rsid w:val="008072FE"/>
    <w:pPr>
      <w:suppressAutoHyphens w:val="0"/>
      <w:autoSpaceDN/>
      <w:spacing w:after="80"/>
      <w:contextualSpacing/>
      <w:textAlignment w:val="auto"/>
    </w:pPr>
    <w:rPr>
      <w:rFonts w:asciiTheme="majorHAnsi" w:eastAsiaTheme="majorEastAsia" w:hAnsiTheme="majorHAnsi" w:cstheme="majorBidi"/>
      <w:spacing w:val="-10"/>
      <w:kern w:val="28"/>
      <w:sz w:val="56"/>
      <w:szCs w:val="56"/>
      <w:lang w:eastAsia="en-US" w:bidi="ar-SA"/>
      <w14:ligatures w14:val="standardContextual"/>
    </w:rPr>
  </w:style>
  <w:style w:type="character" w:customStyle="1" w:styleId="TitleChar">
    <w:name w:val="Title Char"/>
    <w:basedOn w:val="DefaultParagraphFont"/>
    <w:link w:val="Title"/>
    <w:uiPriority w:val="10"/>
    <w:rsid w:val="008072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72FE"/>
    <w:pPr>
      <w:numPr>
        <w:ilvl w:val="1"/>
      </w:numPr>
      <w:suppressAutoHyphens w:val="0"/>
      <w:autoSpaceDN/>
      <w:spacing w:after="160" w:line="278" w:lineRule="auto"/>
      <w:textAlignment w:val="auto"/>
    </w:pPr>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character" w:customStyle="1" w:styleId="SubtitleChar">
    <w:name w:val="Subtitle Char"/>
    <w:basedOn w:val="DefaultParagraphFont"/>
    <w:link w:val="Subtitle"/>
    <w:uiPriority w:val="11"/>
    <w:rsid w:val="008072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72FE"/>
    <w:pPr>
      <w:suppressAutoHyphens w:val="0"/>
      <w:autoSpaceDN/>
      <w:spacing w:before="160" w:after="160" w:line="278" w:lineRule="auto"/>
      <w:jc w:val="center"/>
      <w:textAlignment w:val="auto"/>
    </w:pPr>
    <w:rPr>
      <w:rFonts w:asciiTheme="minorHAnsi" w:eastAsiaTheme="minorHAnsi" w:hAnsiTheme="minorHAnsi" w:cstheme="minorBidi"/>
      <w:i/>
      <w:iCs/>
      <w:color w:val="404040" w:themeColor="text1" w:themeTint="BF"/>
      <w:kern w:val="2"/>
      <w:lang w:eastAsia="en-US" w:bidi="ar-SA"/>
      <w14:ligatures w14:val="standardContextual"/>
    </w:rPr>
  </w:style>
  <w:style w:type="character" w:customStyle="1" w:styleId="QuoteChar">
    <w:name w:val="Quote Char"/>
    <w:basedOn w:val="DefaultParagraphFont"/>
    <w:link w:val="Quote"/>
    <w:uiPriority w:val="29"/>
    <w:rsid w:val="008072FE"/>
    <w:rPr>
      <w:i/>
      <w:iCs/>
      <w:color w:val="404040" w:themeColor="text1" w:themeTint="BF"/>
    </w:rPr>
  </w:style>
  <w:style w:type="paragraph" w:styleId="ListParagraph">
    <w:name w:val="List Paragraph"/>
    <w:basedOn w:val="Normal"/>
    <w:uiPriority w:val="34"/>
    <w:qFormat/>
    <w:rsid w:val="008072FE"/>
    <w:pPr>
      <w:suppressAutoHyphens w:val="0"/>
      <w:autoSpaceDN/>
      <w:spacing w:after="160" w:line="278" w:lineRule="auto"/>
      <w:ind w:left="720"/>
      <w:contextualSpacing/>
      <w:textAlignment w:val="auto"/>
    </w:pPr>
    <w:rPr>
      <w:rFonts w:asciiTheme="minorHAnsi" w:eastAsiaTheme="minorHAnsi" w:hAnsiTheme="minorHAnsi" w:cstheme="minorBidi"/>
      <w:kern w:val="2"/>
      <w:lang w:eastAsia="en-US" w:bidi="ar-SA"/>
      <w14:ligatures w14:val="standardContextual"/>
    </w:rPr>
  </w:style>
  <w:style w:type="character" w:styleId="IntenseEmphasis">
    <w:name w:val="Intense Emphasis"/>
    <w:basedOn w:val="DefaultParagraphFont"/>
    <w:uiPriority w:val="21"/>
    <w:qFormat/>
    <w:rsid w:val="008072FE"/>
    <w:rPr>
      <w:i/>
      <w:iCs/>
      <w:color w:val="0F4761" w:themeColor="accent1" w:themeShade="BF"/>
    </w:rPr>
  </w:style>
  <w:style w:type="paragraph" w:styleId="IntenseQuote">
    <w:name w:val="Intense Quote"/>
    <w:basedOn w:val="Normal"/>
    <w:next w:val="Normal"/>
    <w:link w:val="IntenseQuoteChar"/>
    <w:uiPriority w:val="30"/>
    <w:qFormat/>
    <w:rsid w:val="008072FE"/>
    <w:pPr>
      <w:pBdr>
        <w:top w:val="single" w:sz="4" w:space="10" w:color="0F4761" w:themeColor="accent1" w:themeShade="BF"/>
        <w:bottom w:val="single" w:sz="4" w:space="10" w:color="0F4761" w:themeColor="accent1" w:themeShade="BF"/>
      </w:pBdr>
      <w:suppressAutoHyphens w:val="0"/>
      <w:autoSpaceDN/>
      <w:spacing w:before="360" w:after="360" w:line="278" w:lineRule="auto"/>
      <w:ind w:left="864" w:right="864"/>
      <w:jc w:val="center"/>
      <w:textAlignment w:val="auto"/>
    </w:pPr>
    <w:rPr>
      <w:rFonts w:asciiTheme="minorHAnsi" w:eastAsiaTheme="minorHAnsi" w:hAnsiTheme="minorHAnsi" w:cstheme="minorBidi"/>
      <w:i/>
      <w:iCs/>
      <w:color w:val="0F4761" w:themeColor="accent1" w:themeShade="BF"/>
      <w:kern w:val="2"/>
      <w:lang w:eastAsia="en-US" w:bidi="ar-SA"/>
      <w14:ligatures w14:val="standardContextual"/>
    </w:rPr>
  </w:style>
  <w:style w:type="character" w:customStyle="1" w:styleId="IntenseQuoteChar">
    <w:name w:val="Intense Quote Char"/>
    <w:basedOn w:val="DefaultParagraphFont"/>
    <w:link w:val="IntenseQuote"/>
    <w:uiPriority w:val="30"/>
    <w:rsid w:val="008072FE"/>
    <w:rPr>
      <w:i/>
      <w:iCs/>
      <w:color w:val="0F4761" w:themeColor="accent1" w:themeShade="BF"/>
    </w:rPr>
  </w:style>
  <w:style w:type="character" w:styleId="IntenseReference">
    <w:name w:val="Intense Reference"/>
    <w:basedOn w:val="DefaultParagraphFont"/>
    <w:uiPriority w:val="32"/>
    <w:qFormat/>
    <w:rsid w:val="008072FE"/>
    <w:rPr>
      <w:b/>
      <w:bCs/>
      <w:smallCaps/>
      <w:color w:val="0F4761" w:themeColor="accent1" w:themeShade="BF"/>
      <w:spacing w:val="5"/>
    </w:rPr>
  </w:style>
  <w:style w:type="paragraph" w:customStyle="1" w:styleId="Standard">
    <w:name w:val="Standard"/>
    <w:rsid w:val="008072FE"/>
    <w:pPr>
      <w:suppressAutoHyphens/>
      <w:autoSpaceDN w:val="0"/>
      <w:spacing w:after="0" w:line="240" w:lineRule="auto"/>
      <w:textAlignment w:val="baseline"/>
    </w:pPr>
    <w:rPr>
      <w:rFonts w:ascii="Liberation Serif" w:eastAsia="Noto Serif CJK SC" w:hAnsi="Liberation Serif" w:cs="Lohit Devanagari"/>
      <w:kern w:val="3"/>
      <w:lang w:eastAsia="zh-CN" w:bidi="hi-IN"/>
      <w14:ligatures w14:val="none"/>
    </w:rPr>
  </w:style>
  <w:style w:type="paragraph" w:customStyle="1" w:styleId="Textbody">
    <w:name w:val="Text body"/>
    <w:basedOn w:val="Standard"/>
    <w:rsid w:val="008072FE"/>
    <w:pPr>
      <w:spacing w:after="140" w:line="276" w:lineRule="auto"/>
    </w:pPr>
  </w:style>
  <w:style w:type="paragraph" w:customStyle="1" w:styleId="TableContents">
    <w:name w:val="Table Contents"/>
    <w:basedOn w:val="Standard"/>
    <w:rsid w:val="008072FE"/>
    <w:pPr>
      <w:widowControl w:val="0"/>
      <w:suppressLineNumbers/>
    </w:pPr>
  </w:style>
  <w:style w:type="character" w:styleId="Hyperlink">
    <w:name w:val="Hyperlink"/>
    <w:basedOn w:val="DefaultParagraphFont"/>
    <w:uiPriority w:val="99"/>
    <w:unhideWhenUsed/>
    <w:rsid w:val="008072FE"/>
    <w:rPr>
      <w:color w:val="0070C0"/>
      <w:u w:val="single"/>
    </w:rPr>
  </w:style>
  <w:style w:type="paragraph" w:styleId="NormalWeb">
    <w:name w:val="Normal (Web)"/>
    <w:basedOn w:val="Normal"/>
    <w:uiPriority w:val="99"/>
    <w:semiHidden/>
    <w:unhideWhenUsed/>
    <w:rsid w:val="008072FE"/>
    <w:rPr>
      <w:rFonts w:ascii="Times New Roman" w:hAnsi="Times New Roman" w:cs="Mangal"/>
      <w:szCs w:val="21"/>
    </w:rPr>
  </w:style>
  <w:style w:type="paragraph" w:styleId="Footer">
    <w:name w:val="footer"/>
    <w:basedOn w:val="Normal"/>
    <w:link w:val="FooterChar"/>
    <w:uiPriority w:val="99"/>
    <w:unhideWhenUsed/>
    <w:rsid w:val="008072FE"/>
    <w:pPr>
      <w:tabs>
        <w:tab w:val="center" w:pos="4986"/>
        <w:tab w:val="right" w:pos="9972"/>
      </w:tabs>
    </w:pPr>
    <w:rPr>
      <w:rFonts w:cs="Mangal"/>
      <w:szCs w:val="21"/>
    </w:rPr>
  </w:style>
  <w:style w:type="character" w:customStyle="1" w:styleId="FooterChar">
    <w:name w:val="Footer Char"/>
    <w:basedOn w:val="DefaultParagraphFont"/>
    <w:link w:val="Footer"/>
    <w:uiPriority w:val="99"/>
    <w:rsid w:val="008072FE"/>
    <w:rPr>
      <w:rFonts w:ascii="Liberation Serif" w:eastAsia="Noto Serif CJK SC" w:hAnsi="Liberation Serif" w:cs="Mangal"/>
      <w:kern w:val="3"/>
      <w:szCs w:val="21"/>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ithub.com/XavierCorominas/SAFE-FUS" TargetMode="External"/><Relationship Id="rId5" Type="http://schemas.openxmlformats.org/officeDocument/2006/relationships/hyperlink" Target="https://www.ru.nl/"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0997E24A9E7442BAA9EE691C0E9766A"/>
        <w:category>
          <w:name w:val="General"/>
          <w:gallery w:val="placeholder"/>
        </w:category>
        <w:types>
          <w:type w:val="bbPlcHdr"/>
        </w:types>
        <w:behaviors>
          <w:behavior w:val="content"/>
        </w:behaviors>
        <w:guid w:val="{37818E00-F4AD-4C67-90AC-8D1024DA31FA}"/>
      </w:docPartPr>
      <w:docPartBody>
        <w:p w:rsidR="00000000" w:rsidRDefault="00551B87" w:rsidP="00551B87">
          <w:pPr>
            <w:pStyle w:val="F0997E24A9E7442BAA9EE691C0E9766A"/>
          </w:pPr>
          <w:r w:rsidRPr="00E27CC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Noto Serif CJK SC">
    <w:altName w:val="Calibri"/>
    <w:charset w:val="00"/>
    <w:family w:val="auto"/>
    <w:pitch w:val="variable"/>
  </w:font>
  <w:font w:name="Lohit Devanagari">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B87"/>
    <w:rsid w:val="0030497F"/>
    <w:rsid w:val="00551B87"/>
    <w:rsid w:val="00635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1B87"/>
    <w:rPr>
      <w:color w:val="666666"/>
    </w:rPr>
  </w:style>
  <w:style w:type="paragraph" w:customStyle="1" w:styleId="F0997E24A9E7442BAA9EE691C0E9766A">
    <w:name w:val="F0997E24A9E7442BAA9EE691C0E9766A"/>
    <w:rsid w:val="00551B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4920</Words>
  <Characters>28046</Characters>
  <Application>Microsoft Office Word</Application>
  <DocSecurity>0</DocSecurity>
  <Lines>233</Lines>
  <Paragraphs>65</Paragraphs>
  <ScaleCrop>false</ScaleCrop>
  <Company/>
  <LinksUpToDate>false</LinksUpToDate>
  <CharactersWithSpaces>32901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Sachin Maharnur</dc:creator>
  <cp:keywords/>
  <dc:description/>
  <cp:lastModifiedBy>Sachin Maharnur</cp:lastModifiedBy>
  <cp:revision>1</cp:revision>
  <dcterms:created xsi:type="dcterms:W3CDTF">2026-05-11T06:33:00Z</dcterms:created>
  <dcterms:modified xsi:type="dcterms:W3CDTF">2026-05-11T06:33:00Z</dcterms:modified>
</cp:coreProperties>
</file>