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20A2" w:rsidRPr="005B5A05" w:rsidRDefault="00C820A2" w:rsidP="000B56F8">
      <w:pPr>
        <w:spacing w:line="480" w:lineRule="auto"/>
        <w:rPr>
          <w:rFonts w:ascii="Times New Roman" w:hAnsi="Times New Roman" w:cs="Times New Roman"/>
          <w:b/>
          <w:color w:val="000000"/>
        </w:rPr>
      </w:pPr>
      <w:r w:rsidRPr="005B5A05">
        <w:rPr>
          <w:rFonts w:ascii="Times New Roman" w:hAnsi="Times New Roman" w:cs="Times New Roman" w:hint="eastAsia"/>
          <w:b/>
          <w:color w:val="000000"/>
        </w:rPr>
        <w:t>A</w:t>
      </w:r>
      <w:r w:rsidRPr="005B5A05">
        <w:rPr>
          <w:rFonts w:ascii="Times New Roman" w:hAnsi="Times New Roman" w:cs="Times New Roman"/>
          <w:b/>
          <w:color w:val="000000"/>
        </w:rPr>
        <w:t>dditional file 1: On the vertical eigenfrequency and related parameters of CT #036</w:t>
      </w:r>
    </w:p>
    <w:p w:rsidR="00C820A2" w:rsidRPr="00C820A2" w:rsidRDefault="00C820A2" w:rsidP="000B56F8">
      <w:pPr>
        <w:spacing w:line="480" w:lineRule="auto"/>
        <w:rPr>
          <w:rFonts w:ascii="Times New Roman" w:hAnsi="Times New Roman" w:cs="Times New Roman"/>
          <w:color w:val="000000"/>
        </w:rPr>
      </w:pPr>
    </w:p>
    <w:p w:rsidR="000B56F8" w:rsidRDefault="000B56F8" w:rsidP="000B56F8">
      <w:pPr>
        <w:spacing w:line="480" w:lineRule="auto"/>
        <w:rPr>
          <w:rFonts w:ascii="Times New Roman" w:hAnsi="Times New Roman" w:cs="Times New Roman"/>
          <w:color w:val="000000"/>
        </w:rPr>
      </w:pPr>
      <w:r>
        <w:rPr>
          <w:rFonts w:ascii="Times New Roman" w:hAnsi="Times New Roman" w:cs="Times New Roman"/>
          <w:color w:val="000000"/>
        </w:rPr>
        <w:t>From equation (4</w:t>
      </w:r>
      <w:r w:rsidR="00EE4992">
        <w:rPr>
          <w:rFonts w:ascii="Times New Roman" w:hAnsi="Times New Roman" w:cs="Times New Roman"/>
          <w:color w:val="000000"/>
        </w:rPr>
        <w:t>8</w:t>
      </w:r>
      <w:r>
        <w:rPr>
          <w:rFonts w:ascii="Times New Roman" w:hAnsi="Times New Roman" w:cs="Times New Roman"/>
          <w:color w:val="000000"/>
        </w:rPr>
        <w:t>)</w:t>
      </w:r>
      <w:r w:rsidR="00EE4992">
        <w:rPr>
          <w:rFonts w:ascii="Times New Roman" w:hAnsi="Times New Roman" w:cs="Times New Roman"/>
          <w:color w:val="000000"/>
        </w:rPr>
        <w:t xml:space="preserve"> of the main text</w:t>
      </w:r>
      <w:r>
        <w:rPr>
          <w:rFonts w:ascii="Times New Roman" w:hAnsi="Times New Roman" w:cs="Times New Roman"/>
          <w:color w:val="000000"/>
        </w:rPr>
        <w:t xml:space="preserve">, the eigenfrequency </w:t>
      </w:r>
      <m:oMath>
        <m:sSub>
          <m:sSubPr>
            <m:ctrlPr>
              <w:rPr>
                <w:rFonts w:ascii="Cambria Math" w:hAnsi="Cambria Math"/>
                <w:i/>
              </w:rPr>
            </m:ctrlPr>
          </m:sSubPr>
          <m:e>
            <m:r>
              <w:rPr>
                <w:rFonts w:ascii="Cambria Math" w:hAnsi="Cambria Math"/>
              </w:rPr>
              <m:t>f</m:t>
            </m:r>
          </m:e>
          <m:sub>
            <m:r>
              <w:rPr>
                <w:rFonts w:ascii="Cambria Math" w:hAnsi="Cambria Math"/>
              </w:rPr>
              <m:t>V</m:t>
            </m:r>
          </m:sub>
        </m:sSub>
      </m:oMath>
      <w:r>
        <w:rPr>
          <w:rFonts w:ascii="Times New Roman" w:hAnsi="Times New Roman" w:cs="Times New Roman"/>
          <w:color w:val="000000"/>
        </w:rPr>
        <w:t xml:space="preserve"> of CT</w:t>
      </w:r>
      <w:r w:rsidR="00BC7EF2">
        <w:rPr>
          <w:rFonts w:ascii="Times New Roman" w:hAnsi="Times New Roman" w:cs="Times New Roman"/>
          <w:color w:val="000000"/>
        </w:rPr>
        <w:t xml:space="preserve"> </w:t>
      </w:r>
      <w:r>
        <w:rPr>
          <w:rFonts w:ascii="Times New Roman" w:hAnsi="Times New Roman" w:cs="Times New Roman"/>
          <w:color w:val="000000"/>
        </w:rPr>
        <w:t>#036 at Ishigakijima in the vertical component is given by</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28"/>
        <w:gridCol w:w="670"/>
      </w:tblGrid>
      <w:tr w:rsidR="000B56F8" w:rsidTr="00D433DE">
        <w:tc>
          <w:tcPr>
            <w:tcW w:w="8148" w:type="dxa"/>
          </w:tcPr>
          <w:p w:rsidR="000B56F8" w:rsidRPr="00EE074B" w:rsidRDefault="00C034BD" w:rsidP="00D433DE">
            <m:oMathPara>
              <m:oMathParaPr>
                <m:jc m:val="left"/>
              </m:oMathParaPr>
              <m:oMath>
                <m:sSub>
                  <m:sSubPr>
                    <m:ctrlPr>
                      <w:rPr>
                        <w:rFonts w:ascii="Cambria Math" w:hAnsi="Cambria Math"/>
                        <w:i/>
                      </w:rPr>
                    </m:ctrlPr>
                  </m:sSubPr>
                  <m:e>
                    <m:r>
                      <w:rPr>
                        <w:rFonts w:ascii="Cambria Math" w:hAnsi="Cambria Math"/>
                      </w:rPr>
                      <m:t>f</m:t>
                    </m:r>
                  </m:e>
                  <m:sub>
                    <m:r>
                      <w:rPr>
                        <w:rFonts w:ascii="Cambria Math" w:hAnsi="Cambria Math"/>
                      </w:rPr>
                      <m:t>V</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ω</m:t>
                        </m:r>
                      </m:e>
                      <m:sub>
                        <m:r>
                          <w:rPr>
                            <w:rFonts w:ascii="Cambria Math" w:hAnsi="Cambria Math"/>
                          </w:rPr>
                          <m:t>V</m:t>
                        </m:r>
                      </m:sub>
                    </m:sSub>
                  </m:num>
                  <m:den>
                    <m:r>
                      <w:rPr>
                        <w:rFonts w:ascii="Cambria Math" w:hAnsi="Cambria Math"/>
                      </w:rPr>
                      <m:t>2π</m:t>
                    </m:r>
                  </m:den>
                </m:f>
                <m:r>
                  <w:rPr>
                    <w:rFonts w:ascii="Cambria Math" w:hAnsi="Cambria Math"/>
                  </w:rPr>
                  <m:t>=</m:t>
                </m:r>
                <m:d>
                  <m:dPr>
                    <m:ctrlPr>
                      <w:rPr>
                        <w:rFonts w:ascii="Cambria Math" w:hAnsi="Cambria Math"/>
                        <w:i/>
                      </w:rPr>
                    </m:ctrlPr>
                  </m:dPr>
                  <m:e>
                    <m:r>
                      <w:rPr>
                        <w:rFonts w:ascii="Cambria Math" w:hAnsi="Cambria Math"/>
                      </w:rPr>
                      <m:t>0.1305±0.0007</m:t>
                    </m:r>
                  </m:e>
                </m:d>
                <m:r>
                  <w:rPr>
                    <w:rFonts w:ascii="Cambria Math" w:hAnsi="Cambria Math" w:cs="Times New Roman"/>
                  </w:rPr>
                  <m:t xml:space="preserve"> </m:t>
                </m:r>
                <m:sSup>
                  <m:sSupPr>
                    <m:ctrlPr>
                      <w:rPr>
                        <w:rFonts w:ascii="Cambria Math" w:hAnsi="Cambria Math"/>
                        <w:i/>
                      </w:rPr>
                    </m:ctrlPr>
                  </m:sSupPr>
                  <m:e>
                    <m:r>
                      <m:rPr>
                        <m:nor/>
                      </m:rPr>
                      <w:rPr>
                        <w:rFonts w:ascii="Cambria Math" w:hAnsi="Cambria Math"/>
                      </w:rPr>
                      <m:t>s</m:t>
                    </m:r>
                  </m:e>
                  <m:sup>
                    <m:r>
                      <w:rPr>
                        <w:rFonts w:ascii="Cambria Math" w:hAnsi="Cambria Math"/>
                      </w:rPr>
                      <m:t>-1</m:t>
                    </m:r>
                  </m:sup>
                </m:sSup>
              </m:oMath>
            </m:oMathPara>
          </w:p>
        </w:tc>
        <w:tc>
          <w:tcPr>
            <w:tcW w:w="548" w:type="dxa"/>
            <w:vAlign w:val="center"/>
          </w:tcPr>
          <w:p w:rsidR="000B56F8" w:rsidRDefault="000B56F8" w:rsidP="00D433DE">
            <w:pPr>
              <w:jc w:val="right"/>
            </w:pPr>
            <w:r>
              <w:rPr>
                <w:rFonts w:ascii="Times New Roman" w:hAnsi="Times New Roman" w:cs="Times New Roman"/>
              </w:rPr>
              <w:t>(A1</w:t>
            </w:r>
            <w:r w:rsidRPr="003861A8">
              <w:rPr>
                <w:rFonts w:ascii="Times New Roman" w:hAnsi="Times New Roman" w:cs="Times New Roman"/>
              </w:rPr>
              <w:t>)</w:t>
            </w:r>
          </w:p>
        </w:tc>
      </w:tr>
    </w:tbl>
    <w:p w:rsidR="000B56F8" w:rsidRPr="00F21760" w:rsidRDefault="000B56F8" w:rsidP="000B56F8">
      <w:pPr>
        <w:spacing w:line="480" w:lineRule="auto"/>
        <w:rPr>
          <w:rFonts w:ascii="Times New Roman" w:hAnsi="Times New Roman" w:cs="Times New Roman"/>
        </w:rPr>
      </w:pPr>
      <w:r>
        <w:rPr>
          <w:rFonts w:ascii="Times New Roman" w:hAnsi="Times New Roman" w:cs="Times New Roman" w:hint="eastAsia"/>
          <w:color w:val="000000"/>
        </w:rPr>
        <w:t>T</w:t>
      </w:r>
      <w:r>
        <w:rPr>
          <w:rFonts w:ascii="Times New Roman" w:hAnsi="Times New Roman" w:cs="Times New Roman"/>
          <w:color w:val="000000"/>
        </w:rPr>
        <w:t xml:space="preserve">his value is </w:t>
      </w:r>
      <w:r w:rsidR="00BC7EF2">
        <w:rPr>
          <w:rFonts w:ascii="Times New Roman" w:hAnsi="Times New Roman" w:cs="Times New Roman"/>
          <w:color w:val="000000"/>
        </w:rPr>
        <w:t xml:space="preserve">significantly </w:t>
      </w:r>
      <w:r>
        <w:rPr>
          <w:rFonts w:ascii="Times New Roman" w:hAnsi="Times New Roman" w:cs="Times New Roman"/>
          <w:color w:val="000000"/>
        </w:rPr>
        <w:t xml:space="preserve">higher than </w:t>
      </w:r>
      <m:oMath>
        <m:r>
          <w:rPr>
            <w:rFonts w:ascii="Cambria Math" w:hAnsi="Cambria Math"/>
          </w:rPr>
          <m:t xml:space="preserve">0.112 </m:t>
        </m:r>
        <m:sSup>
          <m:sSupPr>
            <m:ctrlPr>
              <w:rPr>
                <w:rFonts w:ascii="Cambria Math" w:hAnsi="Cambria Math"/>
                <w:i/>
              </w:rPr>
            </m:ctrlPr>
          </m:sSupPr>
          <m:e>
            <m:r>
              <m:rPr>
                <m:sty m:val="p"/>
              </m:rPr>
              <w:rPr>
                <w:rFonts w:ascii="Cambria Math" w:hAnsi="Cambria Math"/>
              </w:rPr>
              <m:t>s</m:t>
            </m:r>
          </m:e>
          <m:sup>
            <m:r>
              <w:rPr>
                <w:rFonts w:ascii="Cambria Math" w:hAnsi="Cambria Math"/>
              </w:rPr>
              <m:t>-1</m:t>
            </m:r>
          </m:sup>
        </m:sSup>
      </m:oMath>
      <w:r>
        <w:rPr>
          <w:rFonts w:ascii="Times New Roman" w:hAnsi="Times New Roman" w:cs="Times New Roman" w:hint="eastAsia"/>
        </w:rPr>
        <w:t>,</w:t>
      </w:r>
      <w:r>
        <w:rPr>
          <w:rFonts w:ascii="Times New Roman" w:hAnsi="Times New Roman" w:cs="Times New Roman"/>
          <w:color w:val="000000"/>
        </w:rPr>
        <w:t xml:space="preserve"> the value which Imanishi et al. (2018) theoretically predicted based on the eigenfrequency measured at Tsukuba and the ratio of magnetic gradients at the two sites. Also, </w:t>
      </w:r>
      <w:r w:rsidR="00895BA0">
        <w:rPr>
          <w:rFonts w:ascii="Times New Roman" w:hAnsi="Times New Roman" w:cs="Times New Roman"/>
          <w:color w:val="000000"/>
        </w:rPr>
        <w:t xml:space="preserve">from equation (50), </w:t>
      </w:r>
      <w:r>
        <w:rPr>
          <w:rFonts w:ascii="Times New Roman" w:hAnsi="Times New Roman" w:cs="Times New Roman"/>
          <w:color w:val="000000"/>
        </w:rPr>
        <w:t xml:space="preserve">the dissipation parameter </w:t>
      </w:r>
      <m:oMath>
        <m:r>
          <w:rPr>
            <w:rFonts w:ascii="Cambria Math" w:hAnsi="Cambria Math"/>
          </w:rPr>
          <m:t>η</m:t>
        </m:r>
      </m:oMath>
      <w:r>
        <w:rPr>
          <w:rFonts w:ascii="Times New Roman" w:hAnsi="Times New Roman" w:cs="Times New Roman"/>
          <w:color w:val="000000"/>
        </w:rPr>
        <w:t xml:space="preserve"> </w:t>
      </w:r>
      <w:r w:rsidR="00895BA0">
        <w:rPr>
          <w:rFonts w:ascii="Times New Roman" w:hAnsi="Times New Roman" w:cs="Times New Roman"/>
        </w:rPr>
        <w:t xml:space="preserve">turned out </w:t>
      </w:r>
      <w:r w:rsidR="00895BA0">
        <w:rPr>
          <w:rFonts w:ascii="Times New Roman" w:hAnsi="Times New Roman" w:cs="Times New Roman"/>
        </w:rPr>
        <w:t xml:space="preserve">to </w:t>
      </w:r>
      <w:r w:rsidR="00895BA0">
        <w:rPr>
          <w:rFonts w:ascii="Times New Roman" w:hAnsi="Times New Roman" w:cs="Times New Roman"/>
        </w:rPr>
        <w:t>be higher than</w:t>
      </w:r>
      <w:r>
        <w:rPr>
          <w:rFonts w:ascii="Times New Roman" w:hAnsi="Times New Roman" w:cs="Times New Roman"/>
          <w:color w:val="000000"/>
        </w:rPr>
        <w:t xml:space="preserve"> </w:t>
      </w:r>
      <w:r w:rsidR="00895BA0">
        <w:rPr>
          <w:rFonts w:ascii="Times New Roman" w:hAnsi="Times New Roman" w:cs="Times New Roman"/>
          <w:color w:val="000000"/>
        </w:rPr>
        <w:t>the</w:t>
      </w:r>
      <w:r>
        <w:rPr>
          <w:rFonts w:ascii="Times New Roman" w:hAnsi="Times New Roman" w:cs="Times New Roman"/>
          <w:color w:val="000000"/>
        </w:rPr>
        <w:t xml:space="preserve"> assum</w:t>
      </w:r>
      <w:r w:rsidR="00895BA0">
        <w:rPr>
          <w:rFonts w:ascii="Times New Roman" w:hAnsi="Times New Roman" w:cs="Times New Roman"/>
          <w:color w:val="000000"/>
        </w:rPr>
        <w:t>ption</w:t>
      </w:r>
      <w:r w:rsidR="00895BA0">
        <w:rPr>
          <w:rFonts w:ascii="Times New Roman" w:hAnsi="Times New Roman" w:cs="Times New Roman"/>
          <w:color w:val="000000"/>
        </w:rPr>
        <w:t xml:space="preserve"> (</w:t>
      </w:r>
      <m:oMath>
        <m:r>
          <w:rPr>
            <w:rFonts w:ascii="Cambria Math" w:hAnsi="Cambria Math"/>
          </w:rPr>
          <m:t xml:space="preserve">η=4.833 </m:t>
        </m:r>
        <m:sSup>
          <m:sSupPr>
            <m:ctrlPr>
              <w:rPr>
                <w:rFonts w:ascii="Cambria Math" w:hAnsi="Cambria Math"/>
                <w:i/>
              </w:rPr>
            </m:ctrlPr>
          </m:sSupPr>
          <m:e>
            <m:r>
              <m:rPr>
                <m:nor/>
              </m:rPr>
              <w:rPr>
                <w:rFonts w:ascii="Cambria Math" w:hAnsi="Cambria Math"/>
              </w:rPr>
              <m:t>s</m:t>
            </m:r>
          </m:e>
          <m:sup>
            <m:r>
              <w:rPr>
                <w:rFonts w:ascii="Cambria Math" w:hAnsi="Cambria Math"/>
              </w:rPr>
              <m:t>-1</m:t>
            </m:r>
          </m:sup>
        </m:sSup>
      </m:oMath>
      <w:r w:rsidR="00895BA0">
        <w:rPr>
          <w:rFonts w:ascii="Times New Roman" w:hAnsi="Times New Roman" w:cs="Times New Roman" w:hint="eastAsia"/>
        </w:rPr>
        <w:t>)</w:t>
      </w:r>
      <w:r w:rsidR="00895BA0">
        <w:rPr>
          <w:rFonts w:ascii="Times New Roman" w:hAnsi="Times New Roman" w:cs="Times New Roman"/>
          <w:color w:val="000000"/>
        </w:rPr>
        <w:t xml:space="preserve"> </w:t>
      </w:r>
      <w:r w:rsidR="00895BA0">
        <w:rPr>
          <w:rFonts w:ascii="Times New Roman" w:hAnsi="Times New Roman" w:cs="Times New Roman"/>
        </w:rPr>
        <w:t>in Imanishi et al. (2018)</w:t>
      </w:r>
      <w:r w:rsidR="00895BA0">
        <w:rPr>
          <w:rFonts w:ascii="Times New Roman" w:hAnsi="Times New Roman" w:cs="Times New Roman"/>
          <w:color w:val="000000"/>
        </w:rPr>
        <w:t xml:space="preserve"> taken from the measured value at</w:t>
      </w:r>
      <w:r>
        <w:rPr>
          <w:rFonts w:ascii="Times New Roman" w:hAnsi="Times New Roman" w:cs="Times New Roman"/>
          <w:color w:val="000000"/>
        </w:rPr>
        <w:t xml:space="preserve"> Tsukuba</w:t>
      </w:r>
      <w:r>
        <w:rPr>
          <w:rFonts w:ascii="Times New Roman" w:hAnsi="Times New Roman" w:cs="Times New Roman"/>
        </w:rPr>
        <w:t xml:space="preserve">. </w:t>
      </w:r>
      <w:r w:rsidR="00FF576A">
        <w:rPr>
          <w:rFonts w:ascii="Times New Roman" w:hAnsi="Times New Roman" w:cs="Times New Roman"/>
        </w:rPr>
        <w:t>We regard the values obtained in th</w:t>
      </w:r>
      <w:r w:rsidR="00C034BD">
        <w:rPr>
          <w:rFonts w:ascii="Times New Roman" w:hAnsi="Times New Roman" w:cs="Times New Roman"/>
        </w:rPr>
        <w:t>e present</w:t>
      </w:r>
      <w:r w:rsidR="00FF576A">
        <w:rPr>
          <w:rFonts w:ascii="Times New Roman" w:hAnsi="Times New Roman" w:cs="Times New Roman"/>
        </w:rPr>
        <w:t xml:space="preserve"> study as more precise, because they are the results of in situ measurement</w:t>
      </w:r>
      <w:r w:rsidR="00C034BD">
        <w:rPr>
          <w:rFonts w:ascii="Times New Roman" w:hAnsi="Times New Roman" w:cs="Times New Roman"/>
        </w:rPr>
        <w:t>s</w:t>
      </w:r>
      <w:r w:rsidR="00FF576A">
        <w:rPr>
          <w:rFonts w:ascii="Times New Roman" w:hAnsi="Times New Roman" w:cs="Times New Roman"/>
        </w:rPr>
        <w:t xml:space="preserve"> for CT #036</w:t>
      </w:r>
      <w:r w:rsidR="00C034BD">
        <w:rPr>
          <w:rFonts w:ascii="Times New Roman" w:hAnsi="Times New Roman" w:cs="Times New Roman"/>
        </w:rPr>
        <w:t xml:space="preserve"> at Ishigkijima</w:t>
      </w:r>
      <w:r w:rsidR="00FF576A">
        <w:rPr>
          <w:rFonts w:ascii="Times New Roman" w:hAnsi="Times New Roman" w:cs="Times New Roman"/>
        </w:rPr>
        <w:t xml:space="preserve">. </w:t>
      </w:r>
      <w:r>
        <w:rPr>
          <w:rFonts w:ascii="Times New Roman" w:hAnsi="Times New Roman" w:cs="Times New Roman"/>
        </w:rPr>
        <w:t>Based on these revised values, equations (44) through (48) in Imanishi et al. (2018) must be corrected as follows:</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828"/>
        <w:gridCol w:w="670"/>
      </w:tblGrid>
      <w:tr w:rsidR="000B56F8" w:rsidTr="00D433DE">
        <w:tc>
          <w:tcPr>
            <w:tcW w:w="7882" w:type="dxa"/>
          </w:tcPr>
          <w:p w:rsidR="000B56F8" w:rsidRPr="00E218C1" w:rsidRDefault="00C034BD" w:rsidP="00D433DE">
            <m:oMathPara>
              <m:oMathParaPr>
                <m:jc m:val="left"/>
              </m:oMathParaPr>
              <m:oMath>
                <m:sSub>
                  <m:sSubPr>
                    <m:ctrlPr>
                      <w:rPr>
                        <w:rFonts w:ascii="Cambria Math" w:hAnsi="Cambria Math"/>
                        <w:i/>
                      </w:rPr>
                    </m:ctrlPr>
                  </m:sSubPr>
                  <m:e>
                    <m:r>
                      <w:rPr>
                        <w:rFonts w:ascii="Cambria Math" w:hAnsi="Cambria Math"/>
                      </w:rPr>
                      <m:t>α</m:t>
                    </m:r>
                  </m:e>
                  <m:sub>
                    <m:r>
                      <w:rPr>
                        <w:rFonts w:ascii="Cambria Math" w:hAnsi="Cambria Math"/>
                      </w:rPr>
                      <m:t>H</m:t>
                    </m:r>
                  </m:sub>
                </m:sSub>
                <m:r>
                  <w:rPr>
                    <w:rFonts w:ascii="Cambria Math" w:hAnsi="Cambria Math"/>
                  </w:rPr>
                  <m:t xml:space="preserve">’=3.03 × </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m:rPr>
                        <m:sty m:val="p"/>
                      </m:rPr>
                      <w:rPr>
                        <w:rFonts w:ascii="Cambria Math" w:hAnsi="Cambria Math"/>
                      </w:rPr>
                      <m:t>s</m:t>
                    </m:r>
                  </m:e>
                  <m:sup>
                    <m:r>
                      <w:rPr>
                        <w:rFonts w:ascii="Cambria Math" w:hAnsi="Cambria Math"/>
                      </w:rPr>
                      <m:t>-2</m:t>
                    </m:r>
                  </m:sup>
                </m:sSup>
              </m:oMath>
            </m:oMathPara>
          </w:p>
        </w:tc>
        <w:tc>
          <w:tcPr>
            <w:tcW w:w="616" w:type="dxa"/>
            <w:vAlign w:val="center"/>
          </w:tcPr>
          <w:p w:rsidR="000B56F8" w:rsidRDefault="000B56F8" w:rsidP="00D433DE">
            <w:pPr>
              <w:jc w:val="right"/>
            </w:pPr>
            <w:r>
              <w:rPr>
                <w:rFonts w:ascii="Times New Roman" w:hAnsi="Times New Roman" w:cs="Times New Roman"/>
              </w:rPr>
              <w:t>(A2</w:t>
            </w:r>
            <w:r w:rsidRPr="003861A8">
              <w:rPr>
                <w:rFonts w:ascii="Times New Roman" w:hAnsi="Times New Roman" w:cs="Times New Roman"/>
              </w:rPr>
              <w:t>)</w:t>
            </w:r>
          </w:p>
        </w:tc>
      </w:tr>
      <w:tr w:rsidR="000B56F8" w:rsidTr="00D433DE">
        <w:tc>
          <w:tcPr>
            <w:tcW w:w="7882" w:type="dxa"/>
          </w:tcPr>
          <w:p w:rsidR="000B56F8" w:rsidRPr="00E218C1" w:rsidRDefault="00C034BD" w:rsidP="00D433DE">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H</m:t>
                    </m:r>
                  </m:sub>
                </m:sSub>
                <m:r>
                  <w:rPr>
                    <w:rFonts w:ascii="Cambria Math" w:hAnsi="Cambria Math"/>
                  </w:rPr>
                  <m:t xml:space="preserve">’=1.77 × </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m:t>
                </m:r>
                <m:sSup>
                  <m:sSupPr>
                    <m:ctrlPr>
                      <w:rPr>
                        <w:rFonts w:ascii="Cambria Math" w:hAnsi="Cambria Math"/>
                        <w:i/>
                      </w:rPr>
                    </m:ctrlPr>
                  </m:sSupPr>
                  <m:e>
                    <m:sSup>
                      <m:sSupPr>
                        <m:ctrlPr>
                          <w:rPr>
                            <w:rFonts w:ascii="Cambria Math" w:hAnsi="Cambria Math"/>
                            <w:i/>
                          </w:rPr>
                        </m:ctrlPr>
                      </m:sSupPr>
                      <m:e>
                        <m:r>
                          <m:rPr>
                            <m:sty m:val="p"/>
                          </m:rPr>
                          <w:rPr>
                            <w:rFonts w:ascii="Cambria Math" w:hAnsi="Cambria Math"/>
                          </w:rPr>
                          <m:t>m</m:t>
                        </m:r>
                      </m:e>
                      <m:sup>
                        <m:r>
                          <w:rPr>
                            <w:rFonts w:ascii="Cambria Math" w:hAnsi="Cambria Math"/>
                          </w:rPr>
                          <m:t>-1</m:t>
                        </m:r>
                      </m:sup>
                    </m:sSup>
                    <m:r>
                      <m:rPr>
                        <m:sty m:val="p"/>
                      </m:rPr>
                      <w:rPr>
                        <w:rFonts w:ascii="Cambria Math" w:hAnsi="Cambria Math"/>
                      </w:rPr>
                      <m:t>s</m:t>
                    </m:r>
                  </m:e>
                  <m:sup>
                    <m:r>
                      <w:rPr>
                        <w:rFonts w:ascii="Cambria Math" w:hAnsi="Cambria Math"/>
                      </w:rPr>
                      <m:t>-2</m:t>
                    </m:r>
                  </m:sup>
                </m:sSup>
              </m:oMath>
            </m:oMathPara>
          </w:p>
        </w:tc>
        <w:tc>
          <w:tcPr>
            <w:tcW w:w="616" w:type="dxa"/>
            <w:vAlign w:val="center"/>
          </w:tcPr>
          <w:p w:rsidR="000B56F8" w:rsidRDefault="000B56F8" w:rsidP="00D433DE">
            <w:pPr>
              <w:jc w:val="right"/>
            </w:pPr>
            <w:r>
              <w:rPr>
                <w:rFonts w:ascii="Times New Roman" w:hAnsi="Times New Roman" w:cs="Times New Roman"/>
              </w:rPr>
              <w:t>(A3</w:t>
            </w:r>
            <w:r w:rsidRPr="003861A8">
              <w:rPr>
                <w:rFonts w:ascii="Times New Roman" w:hAnsi="Times New Roman" w:cs="Times New Roman"/>
              </w:rPr>
              <w:t>)</w:t>
            </w:r>
          </w:p>
        </w:tc>
      </w:tr>
      <w:tr w:rsidR="000B56F8" w:rsidTr="00D433D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82" w:type="dxa"/>
            <w:tcBorders>
              <w:top w:val="nil"/>
              <w:left w:val="nil"/>
              <w:bottom w:val="nil"/>
              <w:right w:val="nil"/>
            </w:tcBorders>
          </w:tcPr>
          <w:p w:rsidR="000B56F8" w:rsidRPr="00E218C1" w:rsidRDefault="00C034BD" w:rsidP="00D433DE">
            <m:oMathPara>
              <m:oMathParaPr>
                <m:jc m:val="left"/>
              </m:oMathParaPr>
              <m:oMath>
                <m:sSub>
                  <m:sSubPr>
                    <m:ctrlPr>
                      <w:rPr>
                        <w:rFonts w:ascii="Cambria Math" w:hAnsi="Cambria Math"/>
                        <w:i/>
                      </w:rPr>
                    </m:ctrlPr>
                  </m:sSubPr>
                  <m:e>
                    <m:r>
                      <w:rPr>
                        <w:rFonts w:ascii="Cambria Math" w:hAnsi="Cambria Math"/>
                      </w:rPr>
                      <m:t>ω</m:t>
                    </m:r>
                  </m:e>
                  <m:sub>
                    <m:r>
                      <w:rPr>
                        <w:rFonts w:ascii="Cambria Math" w:hAnsi="Cambria Math"/>
                      </w:rPr>
                      <m:t>H</m:t>
                    </m:r>
                  </m:sub>
                </m:sSub>
                <m:r>
                  <w:rPr>
                    <w:rFonts w:ascii="Cambria Math" w:hAnsi="Cambria Math"/>
                  </w:rPr>
                  <m:t>=</m:t>
                </m:r>
                <m:rad>
                  <m:radPr>
                    <m:degHide m:val="1"/>
                    <m:ctrlPr>
                      <w:rPr>
                        <w:rFonts w:ascii="Cambria Math" w:hAnsi="Cambria Math"/>
                        <w:i/>
                      </w:rPr>
                    </m:ctrlPr>
                  </m:radPr>
                  <m:deg/>
                  <m:e>
                    <m:sSub>
                      <m:sSubPr>
                        <m:ctrlPr>
                          <w:rPr>
                            <w:rFonts w:ascii="Cambria Math" w:hAnsi="Cambria Math"/>
                            <w:i/>
                          </w:rPr>
                        </m:ctrlPr>
                      </m:sSubPr>
                      <m:e>
                        <m:r>
                          <w:rPr>
                            <w:rFonts w:ascii="Cambria Math" w:hAnsi="Cambria Math"/>
                          </w:rPr>
                          <m:t>α</m:t>
                        </m:r>
                      </m:e>
                      <m:sub>
                        <m:r>
                          <w:rPr>
                            <w:rFonts w:ascii="Cambria Math" w:hAnsi="Cambria Math"/>
                          </w:rPr>
                          <m:t>H</m:t>
                        </m:r>
                      </m:sub>
                    </m:sSub>
                    <m:r>
                      <w:rPr>
                        <w:rFonts w:ascii="Cambria Math" w:hAnsi="Cambria Math"/>
                      </w:rPr>
                      <m:t>’</m:t>
                    </m:r>
                  </m:e>
                </m:rad>
                <m:r>
                  <w:rPr>
                    <w:rFonts w:ascii="Cambria Math" w:hAnsi="Cambria Math"/>
                  </w:rPr>
                  <m:t xml:space="preserve">=17.4 </m:t>
                </m:r>
                <m:sSup>
                  <m:sSupPr>
                    <m:ctrlPr>
                      <w:rPr>
                        <w:rFonts w:ascii="Cambria Math" w:hAnsi="Cambria Math"/>
                        <w:i/>
                      </w:rPr>
                    </m:ctrlPr>
                  </m:sSupPr>
                  <m:e>
                    <m:r>
                      <m:rPr>
                        <m:sty m:val="p"/>
                      </m:rPr>
                      <w:rPr>
                        <w:rFonts w:ascii="Cambria Math" w:hAnsi="Cambria Math"/>
                      </w:rPr>
                      <m:t>s</m:t>
                    </m:r>
                  </m:e>
                  <m:sup>
                    <m:r>
                      <w:rPr>
                        <w:rFonts w:ascii="Cambria Math" w:hAnsi="Cambria Math"/>
                      </w:rPr>
                      <m:t>-1</m:t>
                    </m:r>
                  </m:sup>
                </m:sSup>
              </m:oMath>
            </m:oMathPara>
          </w:p>
        </w:tc>
        <w:tc>
          <w:tcPr>
            <w:tcW w:w="616" w:type="dxa"/>
            <w:tcBorders>
              <w:top w:val="nil"/>
              <w:left w:val="nil"/>
              <w:bottom w:val="nil"/>
              <w:right w:val="nil"/>
            </w:tcBorders>
          </w:tcPr>
          <w:p w:rsidR="000B56F8" w:rsidRDefault="000B56F8" w:rsidP="00D433DE">
            <w:pPr>
              <w:jc w:val="right"/>
            </w:pPr>
            <w:r>
              <w:rPr>
                <w:rFonts w:ascii="Times New Roman" w:hAnsi="Times New Roman" w:cs="Times New Roman"/>
              </w:rPr>
              <w:t>(A4</w:t>
            </w:r>
            <w:r w:rsidRPr="003861A8">
              <w:rPr>
                <w:rFonts w:ascii="Times New Roman" w:hAnsi="Times New Roman" w:cs="Times New Roman"/>
              </w:rPr>
              <w:t>)</w:t>
            </w:r>
          </w:p>
        </w:tc>
      </w:tr>
      <w:tr w:rsidR="000B56F8" w:rsidTr="00D433D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82" w:type="dxa"/>
            <w:tcBorders>
              <w:top w:val="nil"/>
              <w:left w:val="nil"/>
              <w:bottom w:val="nil"/>
              <w:right w:val="nil"/>
            </w:tcBorders>
          </w:tcPr>
          <w:p w:rsidR="000B56F8" w:rsidRPr="00E218C1" w:rsidRDefault="00C034BD" w:rsidP="00D433DE">
            <m:oMathPara>
              <m:oMathParaPr>
                <m:jc m:val="left"/>
              </m:oMathParaPr>
              <m:oMath>
                <m:sSub>
                  <m:sSubPr>
                    <m:ctrlPr>
                      <w:rPr>
                        <w:rFonts w:ascii="Cambria Math" w:hAnsi="Cambria Math"/>
                        <w:i/>
                      </w:rPr>
                    </m:ctrlPr>
                  </m:sSubPr>
                  <m:e>
                    <m:r>
                      <w:rPr>
                        <w:rFonts w:ascii="Cambria Math" w:hAnsi="Cambria Math"/>
                      </w:rPr>
                      <m:t>f</m:t>
                    </m:r>
                  </m:e>
                  <m:sub>
                    <m:r>
                      <w:rPr>
                        <w:rFonts w:ascii="Cambria Math" w:hAnsi="Cambria Math"/>
                      </w:rPr>
                      <m:t>H</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ω</m:t>
                        </m:r>
                      </m:e>
                      <m:sub>
                        <m:r>
                          <w:rPr>
                            <w:rFonts w:ascii="Cambria Math" w:hAnsi="Cambria Math"/>
                          </w:rPr>
                          <m:t>H</m:t>
                        </m:r>
                      </m:sub>
                    </m:sSub>
                  </m:num>
                  <m:den>
                    <m:r>
                      <w:rPr>
                        <w:rFonts w:ascii="Cambria Math" w:hAnsi="Cambria Math"/>
                      </w:rPr>
                      <m:t>2π</m:t>
                    </m:r>
                  </m:den>
                </m:f>
                <m:r>
                  <w:rPr>
                    <w:rFonts w:ascii="Cambria Math" w:hAnsi="Cambria Math"/>
                  </w:rPr>
                  <m:t xml:space="preserve">=2.77 </m:t>
                </m:r>
                <m:sSup>
                  <m:sSupPr>
                    <m:ctrlPr>
                      <w:rPr>
                        <w:rFonts w:ascii="Cambria Math" w:hAnsi="Cambria Math"/>
                        <w:i/>
                      </w:rPr>
                    </m:ctrlPr>
                  </m:sSupPr>
                  <m:e>
                    <m:r>
                      <m:rPr>
                        <m:sty m:val="p"/>
                      </m:rPr>
                      <w:rPr>
                        <w:rFonts w:ascii="Cambria Math" w:hAnsi="Cambria Math"/>
                      </w:rPr>
                      <m:t>s</m:t>
                    </m:r>
                  </m:e>
                  <m:sup>
                    <m:r>
                      <w:rPr>
                        <w:rFonts w:ascii="Cambria Math" w:hAnsi="Cambria Math"/>
                      </w:rPr>
                      <m:t>-1</m:t>
                    </m:r>
                  </m:sup>
                </m:sSup>
              </m:oMath>
            </m:oMathPara>
          </w:p>
        </w:tc>
        <w:tc>
          <w:tcPr>
            <w:tcW w:w="616" w:type="dxa"/>
            <w:tcBorders>
              <w:top w:val="nil"/>
              <w:left w:val="nil"/>
              <w:bottom w:val="nil"/>
              <w:right w:val="nil"/>
            </w:tcBorders>
            <w:vAlign w:val="center"/>
          </w:tcPr>
          <w:p w:rsidR="000B56F8" w:rsidRDefault="000B56F8" w:rsidP="00D433DE">
            <w:pPr>
              <w:jc w:val="right"/>
            </w:pPr>
            <w:r>
              <w:rPr>
                <w:rFonts w:ascii="Times New Roman" w:hAnsi="Times New Roman" w:cs="Times New Roman"/>
              </w:rPr>
              <w:t>(A5</w:t>
            </w:r>
            <w:r w:rsidRPr="003861A8">
              <w:rPr>
                <w:rFonts w:ascii="Times New Roman" w:hAnsi="Times New Roman" w:cs="Times New Roman"/>
              </w:rPr>
              <w:t>)</w:t>
            </w:r>
          </w:p>
        </w:tc>
      </w:tr>
      <w:tr w:rsidR="000B56F8" w:rsidTr="00D433D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882" w:type="dxa"/>
            <w:tcBorders>
              <w:top w:val="nil"/>
              <w:left w:val="nil"/>
              <w:bottom w:val="nil"/>
              <w:right w:val="nil"/>
            </w:tcBorders>
          </w:tcPr>
          <w:p w:rsidR="000B56F8" w:rsidRPr="00E218C1" w:rsidRDefault="00C034BD" w:rsidP="00D433DE">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H</m:t>
                    </m:r>
                  </m:sub>
                </m:sSub>
                <m:r>
                  <w:rPr>
                    <w:rFonts w:ascii="Cambria Math" w:hAnsi="Cambria Math"/>
                  </w:rPr>
                  <m:t>=0.378</m:t>
                </m:r>
              </m:oMath>
            </m:oMathPara>
          </w:p>
        </w:tc>
        <w:tc>
          <w:tcPr>
            <w:tcW w:w="616" w:type="dxa"/>
            <w:tcBorders>
              <w:top w:val="nil"/>
              <w:left w:val="nil"/>
              <w:bottom w:val="nil"/>
              <w:right w:val="nil"/>
            </w:tcBorders>
          </w:tcPr>
          <w:p w:rsidR="000B56F8" w:rsidRDefault="000B56F8" w:rsidP="00D433DE">
            <w:pPr>
              <w:jc w:val="right"/>
            </w:pPr>
            <w:r>
              <w:rPr>
                <w:rFonts w:ascii="Times New Roman" w:hAnsi="Times New Roman" w:cs="Times New Roman"/>
              </w:rPr>
              <w:t>(A6</w:t>
            </w:r>
            <w:r w:rsidRPr="003861A8">
              <w:rPr>
                <w:rFonts w:ascii="Times New Roman" w:hAnsi="Times New Roman" w:cs="Times New Roman"/>
              </w:rPr>
              <w:t>)</w:t>
            </w:r>
          </w:p>
        </w:tc>
      </w:tr>
    </w:tbl>
    <w:p w:rsidR="000B56F8" w:rsidRDefault="00C034BD" w:rsidP="000B56F8">
      <w:pPr>
        <w:spacing w:line="480" w:lineRule="auto"/>
        <w:rPr>
          <w:rFonts w:ascii="Times New Roman" w:hAnsi="Times New Roman" w:cs="Times New Roman"/>
          <w:color w:val="000000"/>
        </w:rPr>
      </w:pPr>
      <w:r>
        <w:rPr>
          <w:rFonts w:ascii="Times New Roman" w:hAnsi="Times New Roman" w:cs="Times New Roman"/>
          <w:color w:val="000000"/>
        </w:rPr>
        <w:lastRenderedPageBreak/>
        <w:t>T</w:t>
      </w:r>
      <w:r w:rsidR="000B56F8">
        <w:rPr>
          <w:rFonts w:ascii="Times New Roman" w:hAnsi="Times New Roman" w:cs="Times New Roman"/>
          <w:color w:val="000000"/>
        </w:rPr>
        <w:t xml:space="preserve">he main conclusions of Imanishi et al. (2018) are not affected by this revision. For example, the estimate of the horizontal eigenfrequency </w:t>
      </w:r>
      <m:oMath>
        <m:sSub>
          <m:sSubPr>
            <m:ctrlPr>
              <w:rPr>
                <w:rFonts w:ascii="Cambria Math" w:hAnsi="Cambria Math"/>
                <w:i/>
              </w:rPr>
            </m:ctrlPr>
          </m:sSubPr>
          <m:e>
            <m:r>
              <w:rPr>
                <w:rFonts w:ascii="Cambria Math" w:hAnsi="Cambria Math"/>
              </w:rPr>
              <m:t>f</m:t>
            </m:r>
          </m:e>
          <m:sub>
            <m:r>
              <w:rPr>
                <w:rFonts w:ascii="Cambria Math" w:hAnsi="Cambria Math"/>
              </w:rPr>
              <m:t>H</m:t>
            </m:r>
          </m:sub>
        </m:sSub>
      </m:oMath>
      <w:r w:rsidR="000B56F8">
        <w:rPr>
          <w:rFonts w:ascii="Times New Roman" w:hAnsi="Times New Roman" w:cs="Times New Roman"/>
          <w:color w:val="000000"/>
        </w:rPr>
        <w:t xml:space="preserve"> changes only slightly from </w:t>
      </w:r>
      <m:oMath>
        <m:r>
          <w:rPr>
            <w:rFonts w:ascii="Cambria Math" w:hAnsi="Cambria Math"/>
          </w:rPr>
          <m:t xml:space="preserve">2.70 </m:t>
        </m:r>
        <m:sSup>
          <m:sSupPr>
            <m:ctrlPr>
              <w:rPr>
                <w:rFonts w:ascii="Cambria Math" w:hAnsi="Cambria Math"/>
                <w:i/>
              </w:rPr>
            </m:ctrlPr>
          </m:sSupPr>
          <m:e>
            <m:r>
              <m:rPr>
                <m:sty m:val="p"/>
              </m:rPr>
              <w:rPr>
                <w:rFonts w:ascii="Cambria Math" w:hAnsi="Cambria Math"/>
              </w:rPr>
              <m:t>s</m:t>
            </m:r>
          </m:e>
          <m:sup>
            <m:r>
              <w:rPr>
                <w:rFonts w:ascii="Cambria Math" w:hAnsi="Cambria Math"/>
              </w:rPr>
              <m:t>-1</m:t>
            </m:r>
          </m:sup>
        </m:sSup>
      </m:oMath>
      <w:r w:rsidR="000B56F8">
        <w:rPr>
          <w:rFonts w:ascii="Times New Roman" w:hAnsi="Times New Roman" w:cs="Times New Roman"/>
          <w:color w:val="000000"/>
        </w:rPr>
        <w:t xml:space="preserve"> to </w:t>
      </w:r>
      <m:oMath>
        <m:r>
          <w:rPr>
            <w:rFonts w:ascii="Cambria Math" w:hAnsi="Cambria Math"/>
          </w:rPr>
          <m:t xml:space="preserve">2.77 </m:t>
        </m:r>
        <m:sSup>
          <m:sSupPr>
            <m:ctrlPr>
              <w:rPr>
                <w:rFonts w:ascii="Cambria Math" w:hAnsi="Cambria Math"/>
                <w:i/>
              </w:rPr>
            </m:ctrlPr>
          </m:sSupPr>
          <m:e>
            <m:r>
              <m:rPr>
                <m:sty m:val="p"/>
              </m:rPr>
              <w:rPr>
                <w:rFonts w:ascii="Cambria Math" w:hAnsi="Cambria Math"/>
              </w:rPr>
              <m:t>s</m:t>
            </m:r>
          </m:e>
          <m:sup>
            <m:r>
              <w:rPr>
                <w:rFonts w:ascii="Cambria Math" w:hAnsi="Cambria Math"/>
              </w:rPr>
              <m:t>-1</m:t>
            </m:r>
          </m:sup>
        </m:sSup>
      </m:oMath>
      <w:r w:rsidR="000B56F8">
        <w:rPr>
          <w:rFonts w:ascii="Times New Roman" w:hAnsi="Times New Roman" w:cs="Times New Roman" w:hint="eastAsia"/>
        </w:rPr>
        <w:t>.</w:t>
      </w:r>
    </w:p>
    <w:p w:rsidR="000B56F8" w:rsidRDefault="000B56F8" w:rsidP="000B56F8">
      <w:pPr>
        <w:spacing w:line="480" w:lineRule="auto"/>
        <w:rPr>
          <w:rFonts w:ascii="Times New Roman" w:hAnsi="Times New Roman" w:cs="Times New Roman"/>
          <w:color w:val="000000"/>
        </w:rPr>
      </w:pPr>
    </w:p>
    <w:p w:rsidR="00F877FD" w:rsidRPr="0030359E" w:rsidRDefault="000B56F8" w:rsidP="0030359E">
      <w:pPr>
        <w:spacing w:line="480" w:lineRule="auto"/>
        <w:rPr>
          <w:rFonts w:ascii="Times New Roman" w:hAnsi="Times New Roman" w:cs="Times New Roman"/>
          <w:color w:val="000000"/>
        </w:rPr>
      </w:pPr>
      <w:r>
        <w:rPr>
          <w:rFonts w:ascii="Times New Roman" w:hAnsi="Times New Roman" w:cs="Times New Roman" w:hint="eastAsia"/>
          <w:color w:val="000000"/>
        </w:rPr>
        <w:t>T</w:t>
      </w:r>
      <w:r>
        <w:rPr>
          <w:rFonts w:ascii="Times New Roman" w:hAnsi="Times New Roman" w:cs="Times New Roman"/>
          <w:color w:val="000000"/>
        </w:rPr>
        <w:t xml:space="preserve">he precise reason for the disagreement in the eigenfrequency </w:t>
      </w:r>
      <m:oMath>
        <m:sSub>
          <m:sSubPr>
            <m:ctrlPr>
              <w:rPr>
                <w:rFonts w:ascii="Cambria Math" w:hAnsi="Cambria Math"/>
                <w:i/>
              </w:rPr>
            </m:ctrlPr>
          </m:sSubPr>
          <m:e>
            <m:r>
              <w:rPr>
                <w:rFonts w:ascii="Cambria Math" w:hAnsi="Cambria Math"/>
              </w:rPr>
              <m:t>f</m:t>
            </m:r>
          </m:e>
          <m:sub>
            <m:r>
              <w:rPr>
                <w:rFonts w:ascii="Cambria Math" w:hAnsi="Cambria Math"/>
              </w:rPr>
              <m:t>V</m:t>
            </m:r>
          </m:sub>
        </m:sSub>
      </m:oMath>
      <w:r>
        <w:rPr>
          <w:rFonts w:ascii="Times New Roman" w:hAnsi="Times New Roman" w:cs="Times New Roman" w:hint="eastAsia"/>
        </w:rPr>
        <w:t xml:space="preserve"> </w:t>
      </w:r>
      <w:r>
        <w:rPr>
          <w:rFonts w:ascii="Times New Roman" w:hAnsi="Times New Roman" w:cs="Times New Roman"/>
          <w:color w:val="000000"/>
        </w:rPr>
        <w:t>between the theoretical prediction of Imanishi et al. (2018) and the measurement</w:t>
      </w:r>
      <w:r w:rsidR="0030359E">
        <w:rPr>
          <w:rFonts w:ascii="Times New Roman" w:hAnsi="Times New Roman" w:cs="Times New Roman"/>
          <w:color w:val="000000"/>
        </w:rPr>
        <w:t xml:space="preserve"> in this study</w:t>
      </w:r>
      <w:r>
        <w:rPr>
          <w:rFonts w:ascii="Times New Roman" w:hAnsi="Times New Roman" w:cs="Times New Roman"/>
          <w:color w:val="000000"/>
        </w:rPr>
        <w:t xml:space="preserve"> is unknown. For the present, we are aware of </w:t>
      </w:r>
      <w:r w:rsidR="0030359E">
        <w:rPr>
          <w:rFonts w:ascii="Times New Roman" w:hAnsi="Times New Roman" w:cs="Times New Roman"/>
          <w:color w:val="000000"/>
        </w:rPr>
        <w:t xml:space="preserve">at least </w:t>
      </w:r>
      <w:r w:rsidR="00EE4992">
        <w:rPr>
          <w:rFonts w:ascii="Times New Roman" w:hAnsi="Times New Roman" w:cs="Times New Roman"/>
          <w:color w:val="000000"/>
        </w:rPr>
        <w:t>two</w:t>
      </w:r>
      <w:r>
        <w:rPr>
          <w:rFonts w:ascii="Times New Roman" w:hAnsi="Times New Roman" w:cs="Times New Roman"/>
          <w:color w:val="000000"/>
        </w:rPr>
        <w:t xml:space="preserve"> possible factors that may be responsible</w:t>
      </w:r>
      <w:r w:rsidRPr="00F81873">
        <w:rPr>
          <w:rFonts w:ascii="Times New Roman" w:hAnsi="Times New Roman" w:cs="Times New Roman"/>
          <w:color w:val="000000"/>
        </w:rPr>
        <w:t xml:space="preserve"> </w:t>
      </w:r>
      <w:r>
        <w:rPr>
          <w:rFonts w:ascii="Times New Roman" w:hAnsi="Times New Roman" w:cs="Times New Roman"/>
          <w:color w:val="000000"/>
        </w:rPr>
        <w:t>for the disagreement</w:t>
      </w:r>
      <w:r w:rsidR="00EE4992">
        <w:rPr>
          <w:rFonts w:ascii="Times New Roman" w:hAnsi="Times New Roman" w:cs="Times New Roman"/>
          <w:color w:val="000000"/>
        </w:rPr>
        <w:t>. For one thing,</w:t>
      </w:r>
      <w:r>
        <w:rPr>
          <w:rFonts w:ascii="Times New Roman" w:hAnsi="Times New Roman" w:cs="Times New Roman"/>
          <w:color w:val="000000"/>
        </w:rPr>
        <w:t xml:space="preserve"> </w:t>
      </w:r>
      <w:r w:rsidR="00EE4992">
        <w:rPr>
          <w:rFonts w:ascii="Times New Roman" w:hAnsi="Times New Roman" w:cs="Times New Roman"/>
          <w:color w:val="000000"/>
        </w:rPr>
        <w:t>t</w:t>
      </w:r>
      <w:r>
        <w:rPr>
          <w:rFonts w:ascii="Times New Roman" w:hAnsi="Times New Roman" w:cs="Times New Roman"/>
          <w:color w:val="000000"/>
        </w:rPr>
        <w:t xml:space="preserve">he magnetic gradient quoted in Ikeda et al. (2013), 1.613 V / 10 mA, was wrong. The correct value is 1.799 V / 10 mA. </w:t>
      </w:r>
      <w:r w:rsidR="00AB5BC2">
        <w:rPr>
          <w:rFonts w:ascii="Times New Roman" w:hAnsi="Times New Roman" w:cs="Times New Roman"/>
          <w:color w:val="000000"/>
        </w:rPr>
        <w:t xml:space="preserve">Following the discussion of Imanishi et al. (2018), a revised value of the predicted eigenfrequency would be </w:t>
      </w:r>
      <m:oMath>
        <m:r>
          <w:rPr>
            <w:rFonts w:ascii="Cambria Math" w:hAnsi="Cambria Math"/>
          </w:rPr>
          <m:t xml:space="preserve">0.119 </m:t>
        </m:r>
        <m:sSup>
          <m:sSupPr>
            <m:ctrlPr>
              <w:rPr>
                <w:rFonts w:ascii="Cambria Math" w:hAnsi="Cambria Math"/>
                <w:i/>
              </w:rPr>
            </m:ctrlPr>
          </m:sSupPr>
          <m:e>
            <m:r>
              <m:rPr>
                <m:sty m:val="p"/>
              </m:rPr>
              <w:rPr>
                <w:rFonts w:ascii="Cambria Math" w:hAnsi="Cambria Math"/>
              </w:rPr>
              <m:t>s</m:t>
            </m:r>
          </m:e>
          <m:sup>
            <m:r>
              <w:rPr>
                <w:rFonts w:ascii="Cambria Math" w:hAnsi="Cambria Math"/>
              </w:rPr>
              <m:t>-1</m:t>
            </m:r>
          </m:sup>
        </m:sSup>
      </m:oMath>
      <w:r w:rsidR="00AB5BC2">
        <w:rPr>
          <w:rFonts w:ascii="Times New Roman" w:hAnsi="Times New Roman" w:cs="Times New Roman" w:hint="eastAsia"/>
        </w:rPr>
        <w:t>,</w:t>
      </w:r>
      <w:r w:rsidR="00AB5BC2">
        <w:rPr>
          <w:rFonts w:ascii="Times New Roman" w:hAnsi="Times New Roman" w:cs="Times New Roman"/>
          <w:color w:val="000000"/>
        </w:rPr>
        <w:t xml:space="preserve"> closer to the one experimentally determined </w:t>
      </w:r>
      <w:r w:rsidR="00C034BD">
        <w:rPr>
          <w:rFonts w:ascii="Times New Roman" w:hAnsi="Times New Roman" w:cs="Times New Roman"/>
          <w:color w:val="000000"/>
        </w:rPr>
        <w:t>in this study</w:t>
      </w:r>
      <w:r w:rsidR="00AB5BC2">
        <w:rPr>
          <w:rFonts w:ascii="Times New Roman" w:hAnsi="Times New Roman" w:cs="Times New Roman"/>
          <w:color w:val="000000"/>
        </w:rPr>
        <w:t xml:space="preserve">. </w:t>
      </w:r>
      <w:r w:rsidR="0030359E">
        <w:rPr>
          <w:rFonts w:ascii="Times New Roman" w:hAnsi="Times New Roman" w:cs="Times New Roman"/>
          <w:color w:val="000000"/>
        </w:rPr>
        <w:t>For a</w:t>
      </w:r>
      <w:r w:rsidR="00AB5BC2">
        <w:rPr>
          <w:rFonts w:ascii="Times New Roman" w:hAnsi="Times New Roman" w:cs="Times New Roman"/>
          <w:color w:val="000000"/>
        </w:rPr>
        <w:t>nother</w:t>
      </w:r>
      <w:r w:rsidR="0030359E">
        <w:rPr>
          <w:rFonts w:ascii="Times New Roman" w:hAnsi="Times New Roman" w:cs="Times New Roman"/>
          <w:color w:val="000000"/>
        </w:rPr>
        <w:t>,</w:t>
      </w:r>
      <w:r w:rsidR="00AB5BC2">
        <w:rPr>
          <w:rFonts w:ascii="Times New Roman" w:hAnsi="Times New Roman" w:cs="Times New Roman"/>
          <w:color w:val="000000"/>
        </w:rPr>
        <w:t xml:space="preserve"> </w:t>
      </w:r>
      <w:r w:rsidR="0030359E">
        <w:rPr>
          <w:rFonts w:ascii="Times New Roman" w:hAnsi="Times New Roman" w:cs="Times New Roman"/>
          <w:color w:val="000000"/>
        </w:rPr>
        <w:t>the result of measurements at Tsukuba may have been biased. Indeed, a significant degree of nonlinearity was observed in gravimeter’s response to injected signals, probably due to the fact that the vertical position of the sphere was far off the center (Gravity Balance ~ –8 V).</w:t>
      </w:r>
      <w:bookmarkStart w:id="0" w:name="_GoBack"/>
      <w:bookmarkEnd w:id="0"/>
    </w:p>
    <w:sectPr w:rsidR="00F877FD" w:rsidRPr="0030359E" w:rsidSect="004C14B7">
      <w:pgSz w:w="11900" w:h="16840"/>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6F8"/>
    <w:rsid w:val="000B56F8"/>
    <w:rsid w:val="00176805"/>
    <w:rsid w:val="0030359E"/>
    <w:rsid w:val="004C14B7"/>
    <w:rsid w:val="005B5A05"/>
    <w:rsid w:val="00895BA0"/>
    <w:rsid w:val="00AB5BC2"/>
    <w:rsid w:val="00BC7EF2"/>
    <w:rsid w:val="00C034BD"/>
    <w:rsid w:val="00C820A2"/>
    <w:rsid w:val="00EE4992"/>
    <w:rsid w:val="00F877FD"/>
    <w:rsid w:val="00FF57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48ECB5CB"/>
  <w15:chartTrackingRefBased/>
  <w15:docId w15:val="{8F307F7B-602A-6447-8132-0A5762665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56F8"/>
    <w:rPr>
      <w:rFonts w:ascii="ＭＳ Ｐゴシック" w:eastAsia="ＭＳ Ｐゴシック" w:hAnsi="ＭＳ Ｐゴシック" w:cs="ＭＳ Ｐゴシック"/>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B56F8"/>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329</Words>
  <Characters>1878</Characters>
  <Application>Microsoft Office Word</Application>
  <DocSecurity>0</DocSecurity>
  <Lines>15</Lines>
  <Paragraphs>4</Paragraphs>
  <ScaleCrop>false</ScaleCrop>
  <Company/>
  <LinksUpToDate>false</LinksUpToDate>
  <CharactersWithSpaces>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今西　祐一</dc:creator>
  <cp:keywords/>
  <dc:description/>
  <cp:lastModifiedBy>今西　祐一</cp:lastModifiedBy>
  <cp:revision>3</cp:revision>
  <dcterms:created xsi:type="dcterms:W3CDTF">2021-10-08T01:16:00Z</dcterms:created>
  <dcterms:modified xsi:type="dcterms:W3CDTF">2021-10-08T01:18:00Z</dcterms:modified>
</cp:coreProperties>
</file>