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125"/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2977"/>
      </w:tblGrid>
      <w:tr w:rsidR="00E1033C" w:rsidRPr="00332976" w14:paraId="4E9D48CE" w14:textId="45E21C82" w:rsidTr="004244BA">
        <w:trPr>
          <w:trHeight w:val="3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D1A0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Characteristics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C84E" w14:textId="5EEBE26A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AJOU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=3019)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7647" w14:textId="514ACF94" w:rsidR="00E1033C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CENTER (n=</w:t>
            </w:r>
            <w:r w:rsidR="00B64FE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1155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E1033C" w:rsidRPr="00332976" w14:paraId="77D6659B" w14:textId="72024D78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ED30B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Sex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F610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DFF7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033C" w:rsidRPr="00332976" w14:paraId="2ADD6B63" w14:textId="3536EBCF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D911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Males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5624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2294 (76.0%)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F51" w14:textId="214B9695" w:rsidR="00E1033C" w:rsidRPr="00332976" w:rsidRDefault="00B64FE6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824</w:t>
            </w:r>
            <w:r w:rsidR="00CD070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71.3</w:t>
            </w:r>
            <w:r w:rsidR="00CD070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2C07F4BF" w14:textId="25E6B51C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734F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Females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D55F9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725 (24.0%)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ACDE" w14:textId="175E3D56" w:rsidR="00E1033C" w:rsidRPr="00332976" w:rsidRDefault="00B64FE6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331</w:t>
            </w:r>
            <w:r w:rsidR="00CD070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28.7</w:t>
            </w:r>
            <w:r w:rsidR="00CD070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7BCBC329" w14:textId="13FA953F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FB36" w14:textId="23F374D5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Age, mean (SD)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11F6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 ± 17.9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823" w14:textId="43E1007A" w:rsidR="00E1033C" w:rsidRPr="00332976" w:rsidRDefault="00CD070E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51.</w:t>
            </w:r>
            <w:r w:rsidR="00B64FE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19.</w:t>
            </w:r>
            <w:r w:rsidR="00B64FE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E1033C" w:rsidRPr="00332976" w14:paraId="70ADCF15" w14:textId="16A82DAD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EFF5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18 - 3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71C7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648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F9D9" w14:textId="31A0E118" w:rsidR="00B110C0" w:rsidRPr="00DD1793" w:rsidRDefault="00B64FE6" w:rsidP="00B110C0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358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(31.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3795148C" w14:textId="3A39D5EB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5921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-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E349D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1340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44.4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B46" w14:textId="7CFF77EC" w:rsidR="00E1033C" w:rsidRPr="00DD1793" w:rsidRDefault="00B64FE6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461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(39.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7F408130" w14:textId="741623A3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0A76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65 -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3546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1031 (34.2%)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240C" w14:textId="0811291A" w:rsidR="00E1033C" w:rsidRPr="00332976" w:rsidRDefault="00B64FE6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336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0E7A5E3E" w14:textId="200D8F57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90892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Hours since injury, mean (SD)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A5E0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 ± 2.1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D22C" w14:textId="296ED9D9" w:rsidR="00E1033C" w:rsidRPr="00332976" w:rsidRDefault="00B110C0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</w:t>
            </w:r>
            <w:r w:rsidR="006A3F4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2.</w:t>
            </w:r>
            <w:r w:rsidR="00B64FE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</w:p>
        </w:tc>
      </w:tr>
      <w:tr w:rsidR="00E1033C" w:rsidRPr="00332976" w14:paraId="24FD7627" w14:textId="28CBCC76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182A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&lt; 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BA1C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1460 (48.4%)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829E" w14:textId="7416BD5F" w:rsidR="00E1033C" w:rsidRPr="00332976" w:rsidRDefault="00B64FE6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389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3.7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3875FDCA" w14:textId="29F2A045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A6F91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1 – 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C665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949 (31.4%)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4BBC" w14:textId="7046D58F" w:rsidR="00E1033C" w:rsidRPr="00332976" w:rsidRDefault="00B64FE6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543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7.0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0D69945F" w14:textId="52954EE0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5F3D8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&gt; 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678F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610 (20.2%)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D093" w14:textId="7D035428" w:rsidR="00E1033C" w:rsidRPr="00332976" w:rsidRDefault="00B64FE6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223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19.3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46625739" w14:textId="24F17224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B590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Cause of injury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B1FDD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A7A4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E1033C" w:rsidRPr="00332976" w14:paraId="0472DF44" w14:textId="7690333D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FBCD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Road traffic accident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B5FF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1205 (39.9%)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A43F" w14:textId="093A4B90" w:rsidR="00E1033C" w:rsidRPr="00332976" w:rsidRDefault="00EC578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458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39.7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5E7A484A" w14:textId="544BCCBE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BEF32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Incidental fall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4338C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1423 (47.1%)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647" w14:textId="49BFEB64" w:rsidR="00E1033C" w:rsidRPr="00332976" w:rsidRDefault="00EC578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508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(44.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6888B994" w14:textId="75987927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3533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Other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91BC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391 (13.0%)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B4A4" w14:textId="1D2B4799" w:rsidR="00E1033C" w:rsidRPr="00332976" w:rsidRDefault="00B110C0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 (1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124804BA" w14:textId="665AF1EF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44C43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GCS, mean (SD)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9CF4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10.6 ± 4.4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4F7D" w14:textId="7BFD4237" w:rsidR="00E1033C" w:rsidRPr="00332976" w:rsidRDefault="00273B6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4.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E1033C" w:rsidRPr="00332976" w14:paraId="40E083F2" w14:textId="08F65D4F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FD01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ild (≥13)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FA5B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1550 (51.3%)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4C94" w14:textId="5F4D760C" w:rsidR="00E1033C" w:rsidRPr="00332976" w:rsidRDefault="00EC578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615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3518AF8B" w14:textId="6594C266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2C3BE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moderate (9-12)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C07EC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406 (13.4%)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ADFB" w14:textId="29AB2E71" w:rsidR="00E1033C" w:rsidRPr="00332976" w:rsidRDefault="00B110C0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(12.6%)</w:t>
            </w:r>
          </w:p>
        </w:tc>
      </w:tr>
      <w:tr w:rsidR="00E1033C" w:rsidRPr="00332976" w14:paraId="69ECB7F9" w14:textId="77093160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4250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severe (≤8)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3B03B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1063 (35.2%)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1CBF" w14:textId="183AF98F" w:rsidR="00E1033C" w:rsidRPr="00332976" w:rsidRDefault="00EC578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94 (3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B110C0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3E5CD330" w14:textId="5033A261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AC511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Head/neck AIS, mean (SD)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6EF72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3.9 ± 1.0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38A8" w14:textId="22896066" w:rsidR="00E1033C" w:rsidRPr="00332976" w:rsidRDefault="00273B6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± 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E1033C" w:rsidRPr="00332976" w14:paraId="16B19CB3" w14:textId="792F6191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AC10" w14:textId="5517835A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B8A33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1154 (38.3%)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DE08" w14:textId="6ADE6FBE" w:rsidR="00E1033C" w:rsidRPr="00332976" w:rsidRDefault="00EC578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604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(52.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00CD7381" w14:textId="1A58912E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2E28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980A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729 (24.1%)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54FF" w14:textId="43845DF8" w:rsidR="00273B65" w:rsidRPr="00332976" w:rsidRDefault="00EC5785" w:rsidP="00273B6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278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5F555552" w14:textId="1DB798D3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D45B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3A59D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1136 (37.6%)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967E" w14:textId="7A532671" w:rsidR="00E1033C" w:rsidRPr="00332976" w:rsidRDefault="00EC578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273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6E253E4D" w14:textId="58903052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70A19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ISS, mean (SD)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3CB7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21.6 ± 10.7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DBF" w14:textId="19D73C09" w:rsidR="00E1033C" w:rsidRPr="00332976" w:rsidRDefault="00273B6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1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E1033C" w:rsidRPr="00332976" w14:paraId="515841E0" w14:textId="7CA267B3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F9B3" w14:textId="604BF2D4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 day Death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F06E4" w14:textId="1AEB505C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 = 2889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A85" w14:textId="4E424D18" w:rsidR="00E1033C" w:rsidRDefault="00273B65" w:rsidP="00D275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n = 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1040</w:t>
            </w:r>
          </w:p>
        </w:tc>
      </w:tr>
      <w:tr w:rsidR="00E1033C" w:rsidRPr="00332976" w14:paraId="38F06A1A" w14:textId="7979311D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4218A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Survived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8BF0" w14:textId="77777777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2516 (87.1%)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2F08" w14:textId="7D93BC8B" w:rsidR="00E1033C" w:rsidRPr="00332976" w:rsidRDefault="00EC5785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918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76E64A5F" w14:textId="6D3F055E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4135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Death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7F52" w14:textId="77777777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373 (12.9%)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E195" w14:textId="59BC9BDA" w:rsidR="00E1033C" w:rsidRPr="00332976" w:rsidRDefault="00EC5785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122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 w:rsidR="00273B6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77750EF4" w14:textId="0083E37B" w:rsidTr="004244BA">
        <w:trPr>
          <w:trHeight w:val="3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19B1" w14:textId="1906DBA2" w:rsidR="00E1033C" w:rsidRPr="00DD1793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Unfavorable outcome at 3 month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CD2" w14:textId="05D01736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n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=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8AB2" w14:textId="28472AF0" w:rsidR="00E1033C" w:rsidRPr="00332976" w:rsidRDefault="002A43E9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n = 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974</w:t>
            </w:r>
          </w:p>
        </w:tc>
      </w:tr>
      <w:tr w:rsidR="00E1033C" w:rsidRPr="00332976" w14:paraId="6CB755A2" w14:textId="3567C487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AF75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Favorable (GOSE≥5)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0F6C" w14:textId="77777777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1347 (58.3%)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49A1" w14:textId="775DDC9E" w:rsidR="00E1033C" w:rsidRPr="00332976" w:rsidRDefault="00EC5785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574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5C2B53E8" w14:textId="2574967B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D18EB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Unfavorable (GOSE≤4)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D87F" w14:textId="77777777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963 (41.7%)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C33B" w14:textId="49758D90" w:rsidR="00E1033C" w:rsidRPr="00332976" w:rsidRDefault="00EC5785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400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5739ED0F" w14:textId="7EF75A0A" w:rsidTr="004244BA">
        <w:trPr>
          <w:trHeight w:val="3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C7F9" w14:textId="3CAF0C2E" w:rsidR="00E1033C" w:rsidRPr="00DD1793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Unfavorable outcome at 6 month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4305" w14:textId="641CE15E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 = 2722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26E5" w14:textId="448B6030" w:rsidR="00E1033C" w:rsidRDefault="002A43E9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n = </w:t>
            </w:r>
            <w:r w:rsidR="00EC578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984</w:t>
            </w:r>
          </w:p>
        </w:tc>
      </w:tr>
      <w:tr w:rsidR="00E1033C" w:rsidRPr="00332976" w14:paraId="6A7B2525" w14:textId="084F0360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34E9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Favorable (GOSE≥5)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AE07" w14:textId="77777777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1685 (61.9%)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27CE" w14:textId="0D9C8144" w:rsidR="00E1033C" w:rsidRPr="00332976" w:rsidRDefault="00EC5785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650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545D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66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2545D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1768013E" w14:textId="10A0F0F1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CFE25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Unfavorable (GOSE≤4)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9507" w14:textId="77777777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1037 (38.1%)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FEA2" w14:textId="0DA5DDD1" w:rsidR="00E1033C" w:rsidRPr="00332976" w:rsidRDefault="00EC5785" w:rsidP="002545D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334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2545D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2545D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%)</w:t>
            </w:r>
          </w:p>
        </w:tc>
      </w:tr>
      <w:tr w:rsidR="00E1033C" w:rsidRPr="00332976" w14:paraId="304E3FE3" w14:textId="2A003F5B" w:rsidTr="004244BA">
        <w:trPr>
          <w:trHeight w:val="3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56E2" w14:textId="03ED4833" w:rsidR="00E1033C" w:rsidRPr="00DD1793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Unfavorable outcome at 12 month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C7CA" w14:textId="443B7E29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 = 1827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49DE" w14:textId="3F4E2DBC" w:rsidR="002A43E9" w:rsidRDefault="002A43E9" w:rsidP="002A43E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n = </w:t>
            </w:r>
            <w:r w:rsidR="002545D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985</w:t>
            </w:r>
          </w:p>
        </w:tc>
      </w:tr>
      <w:tr w:rsidR="00E1033C" w:rsidRPr="00332976" w14:paraId="7C3FD426" w14:textId="089DB241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C773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Favorable (GOSE≥5)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5468" w14:textId="77777777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1107 (60.6%)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0A9B" w14:textId="3A297107" w:rsidR="00E1033C" w:rsidRPr="00332976" w:rsidRDefault="002545D9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673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.3%)</w:t>
            </w:r>
          </w:p>
        </w:tc>
      </w:tr>
      <w:tr w:rsidR="00E1033C" w:rsidRPr="00332976" w14:paraId="10A0604A" w14:textId="42BFAF7B" w:rsidTr="004244BA">
        <w:trPr>
          <w:trHeight w:val="31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A2C0" w14:textId="77777777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ab/>
              <w:t>Unfavorable (GOSE≤4)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7DCA" w14:textId="77777777" w:rsidR="00E1033C" w:rsidRPr="00332976" w:rsidRDefault="00E1033C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720 (39.4%)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CCFC" w14:textId="0EF2A2EB" w:rsidR="00E1033C" w:rsidRPr="00332976" w:rsidRDefault="002545D9" w:rsidP="00DD179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312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(3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2A43E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.7%)</w:t>
            </w:r>
          </w:p>
        </w:tc>
      </w:tr>
      <w:tr w:rsidR="00E1033C" w:rsidRPr="00332976" w14:paraId="0F5E1EE8" w14:textId="15B3CE72" w:rsidTr="004244BA">
        <w:trPr>
          <w:trHeight w:val="47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984C" w14:textId="07A195F0" w:rsidR="00E1033C" w:rsidRPr="00332976" w:rsidRDefault="00E1033C" w:rsidP="00D2759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Values are number (%) except indicated otherwise.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refers to number of patients.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SD: standard deviation, GCS: Glasgow Coma Scale, AIS: Abbreviated Injury Score, ISS: Injury Severity Score,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GOSE: Glasgow Outcome Scale Extended</w:t>
            </w:r>
          </w:p>
        </w:tc>
      </w:tr>
    </w:tbl>
    <w:p w14:paraId="1F3932A3" w14:textId="1975ED45" w:rsidR="00880551" w:rsidRPr="005B07E0" w:rsidRDefault="00880551" w:rsidP="00880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1. General characteristics of study population</w:t>
      </w:r>
      <w:r>
        <w:rPr>
          <w:rFonts w:ascii="Times New Roman" w:hAnsi="Times New Roman" w:cs="Times New Roman" w:hint="eastAsia"/>
        </w:rPr>
        <w:t xml:space="preserve"> and CENTER dataset.</w:t>
      </w:r>
    </w:p>
    <w:p w14:paraId="44F3FE06" w14:textId="5F650D83" w:rsidR="00880551" w:rsidRPr="005B07E0" w:rsidRDefault="005B07E0" w:rsidP="005B07E0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485627" w14:textId="308C8277" w:rsidR="00955D72" w:rsidRPr="006D2802" w:rsidRDefault="00955D72" w:rsidP="00955D72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 xml:space="preserve"> 2</w:t>
      </w:r>
      <w:r>
        <w:rPr>
          <w:rFonts w:ascii="Times New Roman" w:hAnsi="Times New Roman" w:cs="Times New Roman"/>
        </w:rPr>
        <w:t xml:space="preserve">. Multivariable analysis </w:t>
      </w:r>
      <w:r>
        <w:rPr>
          <w:rFonts w:ascii="Times New Roman" w:hAnsi="Times New Roman" w:cs="Times New Roman" w:hint="eastAsia"/>
        </w:rPr>
        <w:t>with clinical, CT and laboratory variables: 14-day mortality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-month unfavorable outcome</w:t>
      </w:r>
    </w:p>
    <w:tbl>
      <w:tblPr>
        <w:tblW w:w="89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"/>
        <w:gridCol w:w="977"/>
        <w:gridCol w:w="865"/>
        <w:gridCol w:w="992"/>
        <w:gridCol w:w="596"/>
        <w:gridCol w:w="1105"/>
        <w:gridCol w:w="596"/>
        <w:gridCol w:w="1032"/>
        <w:gridCol w:w="596"/>
        <w:gridCol w:w="993"/>
        <w:gridCol w:w="596"/>
      </w:tblGrid>
      <w:tr w:rsidR="00603224" w:rsidRPr="005B07E0" w14:paraId="5194603F" w14:textId="521CAFB9" w:rsidTr="00C51ECD">
        <w:trPr>
          <w:trHeight w:val="312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1AF1" w14:textId="77777777" w:rsidR="00603224" w:rsidRPr="00603224" w:rsidRDefault="00603224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Field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644C" w14:textId="77777777" w:rsidR="00603224" w:rsidRPr="00603224" w:rsidRDefault="00603224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Prognostic Variable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07BCC" w14:textId="77777777" w:rsidR="00603224" w:rsidRPr="00603224" w:rsidRDefault="00603224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Category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FFD3" w14:textId="5929518A" w:rsidR="00603224" w:rsidRPr="00603224" w:rsidRDefault="00603224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14 day death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1CC3" w14:textId="436E2EEC" w:rsidR="00603224" w:rsidRPr="00603224" w:rsidRDefault="00603224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 Month Unfavorable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03A3" w14:textId="1C7E3F80" w:rsidR="00603224" w:rsidRPr="00603224" w:rsidRDefault="00603224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 Month Unfavorable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B5E" w14:textId="6AFB46D5" w:rsidR="00603224" w:rsidRPr="00603224" w:rsidRDefault="00603224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12 Month Unfavorable</w:t>
            </w:r>
          </w:p>
        </w:tc>
      </w:tr>
      <w:tr w:rsidR="00C51ECD" w:rsidRPr="005B07E0" w14:paraId="2CC5F910" w14:textId="362282DA" w:rsidTr="00C51ECD">
        <w:trPr>
          <w:trHeight w:val="312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30F2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8881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BFD6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C620F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OR (95% CI)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DA2D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LR p-value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CC96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OR (95% CI)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560F8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LR p-value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5D98" w14:textId="3DE8AA5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OR (95% CI)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7634" w14:textId="21DB938A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LR p-value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391" w14:textId="7FB7D6FE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OR (95% CI)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A688" w14:textId="4ABFC183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LR p-value</w:t>
            </w:r>
          </w:p>
        </w:tc>
      </w:tr>
      <w:tr w:rsidR="00C51ECD" w:rsidRPr="005B07E0" w14:paraId="143CF65C" w14:textId="31BB983B" w:rsidTr="00C51ECD">
        <w:trPr>
          <w:trHeight w:val="26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B507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Clinical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9BB1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Age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C074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Per unit increase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CBDF" w14:textId="52111A50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1.028 (1.017-1.039)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30E3" w14:textId="5F794A2F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F2624" w14:textId="142D79F9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1.033 (1.025-1.042)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71D55" w14:textId="3C8148AE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7F4C" w14:textId="396FA684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1.037 (1.029-1.046)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C4FE" w14:textId="0B53ED53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4651" w14:textId="2DC434B0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1.035 (1.024-1.045)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DB3" w14:textId="5B260BDE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</w:tr>
      <w:tr w:rsidR="003662D6" w:rsidRPr="005B07E0" w14:paraId="74C9BD05" w14:textId="1E6A8C79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EEE8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F8B2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AIS (vs 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AA45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EF3D" w14:textId="0457469A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2.75 (1.40-5.43)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A64B" w14:textId="3814C4D2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B4863" w14:textId="59D6C015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1.78 (1.26-2.51)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E032" w14:textId="3B16A86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F6C3" w14:textId="5DA22BDF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1.87 (1.36-2.59)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0F734" w14:textId="3179FD41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F40E" w14:textId="2FF5680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1.51 (0.98-2.33)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BCA61" w14:textId="74A49DF8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</w:tr>
      <w:tr w:rsidR="003662D6" w:rsidRPr="005B07E0" w14:paraId="4F4C7C91" w14:textId="0BAFF5EF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675E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7969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D7927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D95FF" w14:textId="7D6506E8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7.32 (3.86-13.86)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6C1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74244" w14:textId="1E93D3ED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4.12 (2.87-5.93)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09C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6740" w14:textId="6A4D3398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4.88 (3.46-6.87)</w:t>
            </w: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7AD9" w14:textId="12D1660B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B8D0" w14:textId="2EC13BD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4.24 (2.72-6.61)</w:t>
            </w: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8DB0" w14:textId="0F5E9402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C51ECD" w:rsidRPr="005B07E0" w14:paraId="1AF79E17" w14:textId="109A9E2A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B618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D9461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LOC (vs Alert)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22907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Drowsy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CB893" w14:textId="19C06109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1.50 (0.69-3.27)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C0BC" w14:textId="3163C638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BC444" w14:textId="6F8BF1FA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2.02 (1.36-2.98)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5219E" w14:textId="4C459B22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E236" w14:textId="462176FB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2.01 (1.40-2.88)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8A638" w14:textId="0CDE46CA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1E53" w14:textId="464E716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1.88 (1.14-3.08)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2633D" w14:textId="4A62255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</w:tr>
      <w:tr w:rsidR="00C51ECD" w:rsidRPr="005B07E0" w14:paraId="6CAF1709" w14:textId="5495D48E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9D37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1E0C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8EC0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Stupor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E0DCE" w14:textId="7444C56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2.96 (1.37-6.39)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5834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777E" w14:textId="618B89CA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3.30 (2.12-5.16)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E3E0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161" w14:textId="32400E31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3.85 (2.57-5.77)</w:t>
            </w: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2C200" w14:textId="512FD85B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8910" w14:textId="5E6D4A7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3.29 (1.89-5.73)</w:t>
            </w: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82AAC" w14:textId="44E611C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C51ECD" w:rsidRPr="005B07E0" w14:paraId="37EE08A3" w14:textId="3B59CF38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AE7B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620D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5D7F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Semicoma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6A3A1" w14:textId="05D11E2A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5.49 (2.57-11.71)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72B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CD3E1" w14:textId="1320A9E2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5.10 (3.10-8.40)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2E9D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329A" w14:textId="21CF6B56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4.91 (3.08-7.84)</w:t>
            </w: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ABFFD" w14:textId="1AB7D34F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59D9" w14:textId="2D55987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5.51 (3.02-10.06)</w:t>
            </w: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F5CCC" w14:textId="0BA80F5F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C51ECD" w:rsidRPr="005B07E0" w14:paraId="7D0199B5" w14:textId="6E480CEC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399E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4B86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2773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4376" w14:textId="1F1BD164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8.16 (3.59-18.54)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FA28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2A6C7" w14:textId="4E77C1B8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5.63 (2.58-12.26)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D665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E20" w14:textId="47C7A982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6.40 (3.15-12.97)</w:t>
            </w: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B525" w14:textId="35CBFA90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7DB" w14:textId="51BEBF9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5.18 (2.14-12.52)</w:t>
            </w: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9BAA" w14:textId="5D1DA55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C51ECD" w:rsidRPr="005B07E0" w14:paraId="23DAA8A9" w14:textId="6074B22E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BDB9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53D8B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Pupillary light reflex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E773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Both non-reactive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9D41C" w14:textId="3DDA17A5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2.83 (1.94-4.14)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0BE4" w14:textId="22DBF915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3FBDF" w14:textId="20365056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3.26 (2.13-4.99)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963E" w14:textId="427C2033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8B85" w14:textId="1DC9A648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2.40 (1.59-3.63)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6288" w14:textId="5BFCCD21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473C" w14:textId="0C5654F1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1.92 (1.18-3.14)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7E5A" w14:textId="67054EE1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0.0086</w:t>
            </w:r>
          </w:p>
        </w:tc>
      </w:tr>
      <w:tr w:rsidR="00C51ECD" w:rsidRPr="005B07E0" w14:paraId="2759BFEF" w14:textId="13D03544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1099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6FB6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Injury cause (vs Fall)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C6074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Road traffic accident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CF29F" w14:textId="23ED7569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1.25 (0.89-1.76)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4853E" w14:textId="1E8618BE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0.0147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804E" w14:textId="6AE1D2BB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1.15 (0.87-1.52)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EEF93" w14:textId="6012CA0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0.076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F256" w14:textId="51B009D2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1.31 (1.01-1.70)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54426" w14:textId="69758F55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0.0206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71B" w14:textId="5E08AC1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81AD7" w14:textId="0DBF8E29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</w:tr>
      <w:tr w:rsidR="00C51ECD" w:rsidRPr="005B07E0" w14:paraId="2CC324CD" w14:textId="274A793B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EC19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3E5E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7A56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Other non-intentional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4F514" w14:textId="3D2FE000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1.90 (0.83-4.37)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F72E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5D4D" w14:textId="745E2E0A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0.61 (0.32-1.14)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38A7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DF76" w14:textId="08BD6229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1.00 (0.55-1.80)</w:t>
            </w: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0AABC" w14:textId="3777A8BB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8562" w14:textId="646B7943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99F14" w14:textId="7D0812DC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C51ECD" w:rsidRPr="005B07E0" w14:paraId="66B1E5C9" w14:textId="44F8A984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A6E9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1BB4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80D1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Unknown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47CC8" w14:textId="00FDA4D0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0.49 (0.26-0.92)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00F7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DB53" w14:textId="75139CC0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0.68 (0.40-1.15)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BF97" w14:textId="7777777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CB78" w14:textId="0A17EC4A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0.62 (0.38-1.01)</w:t>
            </w: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7E8" w14:textId="44D956F5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60D" w14:textId="52D08A67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127C" w14:textId="5CB1E1C8" w:rsidR="003662D6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</w:tr>
      <w:tr w:rsidR="00C51ECD" w:rsidRPr="005B07E0" w14:paraId="7F0B3367" w14:textId="22ADD73F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395E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B3D3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Pupil size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175FA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Bilateral mydriasis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7C6DF" w14:textId="7C16DB51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1.88 (1.13-3.14)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24B0" w14:textId="6A379DB5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0.0146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5F50" w14:textId="781C04BA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3EC7" w14:textId="2012BC85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F64" w14:textId="255A821D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3.26 (1.32-8.07)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E3F4" w14:textId="1C3E4D35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0.0061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7BAE" w14:textId="1D24A659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3.51 (1.25-9.85)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4835" w14:textId="220E71BC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0.0111</w:t>
            </w:r>
          </w:p>
        </w:tc>
      </w:tr>
      <w:tr w:rsidR="00C51ECD" w:rsidRPr="005B07E0" w14:paraId="33DA416F" w14:textId="3809D533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1D3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D0BC9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Manual motor test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9F9A8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Quadriparesis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B817E" w14:textId="3B78E7C2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81FC" w14:textId="055C6BE5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77C4" w14:textId="251BA5A6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2.23 (1.50-3.34)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5E2B" w14:textId="3F0B9FDF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3970" w14:textId="1F2E0520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2.00 (1.39-2.89)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94A3" w14:textId="43876F92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C873" w14:textId="3DD010CD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2.49 (1.58-3.91)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C4FE" w14:textId="72215D5D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</w:tr>
      <w:tr w:rsidR="00C51ECD" w:rsidRPr="005B07E0" w14:paraId="15924B3B" w14:textId="25462F59" w:rsidTr="00C51ECD">
        <w:trPr>
          <w:trHeight w:val="26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0070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Image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69C9C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EDH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2D0EE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Present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62682" w14:textId="73409963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0.34 (0.23-0.51)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2039" w14:textId="76EB1C82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D9C4" w14:textId="71FEAF01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0.46 (0.34-0.62)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EEA61" w14:textId="3DCEDBDB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B422" w14:textId="0507B146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0.46 (0.35-0.61)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5681" w14:textId="132880E8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2A23" w14:textId="13E5F9C8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0.42 (0.30-0.61)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28A" w14:textId="78AC3BA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</w:tr>
      <w:tr w:rsidR="00C51ECD" w:rsidRPr="005B07E0" w14:paraId="45C02628" w14:textId="7A069D5D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CE8F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CF94D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SAH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BF09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Present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1A1B9" w14:textId="7DB8114A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1.86 (1.23-2.82)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0DF4" w14:textId="4E546961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F1A7" w14:textId="189FF16B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1.70 (1.25-2.33)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06D5C" w14:textId="0BBBDFAA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582" w14:textId="0279793F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1.32 (0.99-1.76)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FCB8" w14:textId="092D17DE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0.0618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5C72" w14:textId="21F9590C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1.50 (1.05-2.14)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2B1" w14:textId="75D9F112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0.0255</w:t>
            </w:r>
          </w:p>
        </w:tc>
      </w:tr>
      <w:tr w:rsidR="00C51ECD" w:rsidRPr="005B07E0" w14:paraId="0CD3EA05" w14:textId="469E5E85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AE29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4EBC" w14:textId="6F8C4C23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Diffuse axonal injury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553E" w14:textId="77777777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Present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0849" w14:textId="029729E0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0.14 (0.03-0.66)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4AD6B" w14:textId="29DF0295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D8DA2" w14:textId="75240846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F3653" w14:textId="6DA1E126" w:rsidR="00603224" w:rsidRPr="00603224" w:rsidRDefault="00603224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AA72" w14:textId="7940C82D" w:rsidR="00603224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0B57" w14:textId="1EE1A2BA" w:rsidR="00603224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59C6" w14:textId="34AD2580" w:rsidR="00603224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F5A6" w14:textId="014CBA80" w:rsidR="00603224" w:rsidRPr="00603224" w:rsidRDefault="003662D6" w:rsidP="00603224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</w:tr>
      <w:tr w:rsidR="00C51ECD" w:rsidRPr="005B07E0" w14:paraId="29503F01" w14:textId="5488B945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D8EE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6FDCC" w14:textId="1A5F4215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IVH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3650E" w14:textId="3B24507A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Present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8C425" w14:textId="0293E57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9528" w14:textId="2BC556B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C17F0" w14:textId="1D3F9FB5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1.47 (1.03-2.11)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4E6A" w14:textId="3EA04421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0.0342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1B92" w14:textId="7FE94D64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 (1.16-2.2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B029" w14:textId="344AF635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0.0044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AEAD" w14:textId="3AD412EA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1.43 (0.93-2.21)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6F59" w14:textId="74E675AB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0.1040</w:t>
            </w:r>
          </w:p>
        </w:tc>
      </w:tr>
      <w:tr w:rsidR="00C51ECD" w:rsidRPr="005B07E0" w14:paraId="462837B6" w14:textId="3C1476A9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6974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645B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Cisternal compresion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A90A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Present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9E07" w14:textId="213808B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51A1" w14:textId="2EE70D0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543A" w14:textId="15A74961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1.73 (1.26-2.38)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0D42A" w14:textId="35D72E9B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0.0008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BD2C" w14:textId="6DE91DF6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1.46 (1.09-1.95)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AE05" w14:textId="232F4E98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0.0107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CFB" w14:textId="68E6EA2B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2.73 (1.84-4.05)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640" w14:textId="7DB2625D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</w:tr>
      <w:tr w:rsidR="00C51ECD" w:rsidRPr="005B07E0" w14:paraId="486339C5" w14:textId="70ABF2AD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A8F2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017D" w14:textId="23657442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Contusion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EED62" w14:textId="69A0F374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Present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57B54" w14:textId="07A3649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91E3C" w14:textId="541189FA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9B0AC" w14:textId="4CACA520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1.65 (1.21-2.25)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9E42" w14:textId="44E06A25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E984" w14:textId="1BDC5E2A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1.84 (1.38-2.45)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2E9A" w14:textId="70152E36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27AF" w14:textId="779AB19B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D9C0" w14:textId="049C83C5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</w:tr>
      <w:tr w:rsidR="00C51ECD" w:rsidRPr="005B07E0" w14:paraId="083FE2C6" w14:textId="36735AD1" w:rsidTr="00C51ECD">
        <w:trPr>
          <w:trHeight w:val="264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9DFB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1AF73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Midline shift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C5FD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Present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C5461" w14:textId="2C07D971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DBC11" w14:textId="35D6872B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C62C" w14:textId="3D26873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1.50 (1.07-2.12)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3696A" w14:textId="43D0823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0.0193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AC49" w14:textId="11E34EA6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1.22 (0.9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-1.66)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0EBF" w14:textId="584D02CE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0.202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13C9" w14:textId="1D718423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1.63 (1.09-2.43)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C305" w14:textId="26E6EA63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0.0164</w:t>
            </w:r>
          </w:p>
        </w:tc>
      </w:tr>
      <w:tr w:rsidR="003662D6" w:rsidRPr="005B07E0" w14:paraId="7230A38E" w14:textId="1499480C" w:rsidTr="00C51ECD">
        <w:trPr>
          <w:trHeight w:val="264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B828D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Lab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C0CAE" w14:textId="516CB5F2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aPTT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1E32" w14:textId="4DBFA570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Spline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6135F" w14:textId="5F64E6FF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E7A0" w14:textId="4DD5F8FF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F9CE0" w14:textId="5D5A3D21" w:rsidR="003662D6" w:rsidRPr="00603224" w:rsidRDefault="003662D6" w:rsidP="00C51ECD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F63F" w14:textId="473A4759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8DB2" w14:textId="3006A4D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 xml:space="preserve">Nonlinear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D94A" w14:textId="3CF234C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46FC" w14:textId="67CC2E0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 (df=4)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B4CD" w14:textId="640B9C11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</w:tr>
      <w:tr w:rsidR="003662D6" w:rsidRPr="005B07E0" w14:paraId="7AE77866" w14:textId="26BDEF0C" w:rsidTr="00C51ECD">
        <w:trPr>
          <w:trHeight w:val="26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69EA1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45A6" w14:textId="3E87C53E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CRP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F639" w14:textId="7FB748FB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Spline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EF1E6" w14:textId="28AF1674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F4E0" w14:textId="27CBFD68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8F391" w14:textId="30CEABE6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4D260" w14:textId="12EE2D10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0.0009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204" w14:textId="4397C252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 xml:space="preserve">Nonlinear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4458" w14:textId="3DD360F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0.0002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1EEE" w14:textId="686B6234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 (df=4)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5947" w14:textId="06389550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</w:tr>
      <w:tr w:rsidR="003662D6" w:rsidRPr="005B07E0" w14:paraId="5FB53248" w14:textId="0CD5E24C" w:rsidTr="00C51ECD">
        <w:trPr>
          <w:trHeight w:val="26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2E4DB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6C85" w14:textId="6EA6FF9A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Sodium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DE51" w14:textId="3C70569B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Spline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2A582" w14:textId="60B4A384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757F" w14:textId="3935A5F5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0.0060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59FC" w14:textId="05A14D80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F203" w14:textId="75FD09FA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0.0033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9F4" w14:textId="679D65D6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A51F" w14:textId="3C8B584F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0.0524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AC9" w14:textId="48C7A1F2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2780" w14:textId="2D9C9330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</w:tr>
      <w:tr w:rsidR="003662D6" w:rsidRPr="005B07E0" w14:paraId="099978A4" w14:textId="1E92FB38" w:rsidTr="00C51ECD">
        <w:trPr>
          <w:trHeight w:val="26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6E227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BE85" w14:textId="6AEC5D6F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Platelet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D1AD" w14:textId="2756D0A2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Spline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BC020" w14:textId="7B6B868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66324" w14:textId="119AEAE0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0.0028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63BEA" w14:textId="2A641896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3FB3" w14:textId="22D94F74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5BF8" w14:textId="0002AFB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6E3E" w14:textId="7FF3F85D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6FEF" w14:textId="5DE1376E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6325" w14:textId="1480A33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</w:tr>
      <w:tr w:rsidR="003662D6" w:rsidRPr="005B07E0" w14:paraId="60440F58" w14:textId="61344713" w:rsidTr="00C51ECD">
        <w:trPr>
          <w:trHeight w:val="26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B5F169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B2E12" w14:textId="4DAEA782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AST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5C13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Spline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0488C" w14:textId="65D0EC6B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289C" w14:textId="39DF14B1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0.0029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A4FC" w14:textId="4B76AD65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C6038" w14:textId="775ED23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155" w14:textId="0B1E46ED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6CA9" w14:textId="14A64B7E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E8CB" w14:textId="32C8E548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8C6E" w14:textId="0C58553E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</w:tr>
      <w:tr w:rsidR="003662D6" w:rsidRPr="005B07E0" w14:paraId="709E9B11" w14:textId="29F31A59" w:rsidTr="00C51ECD">
        <w:trPr>
          <w:trHeight w:val="26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6E481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8CC02" w14:textId="7F3CCBFF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ALP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72378" w14:textId="16609A2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Spline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89C05" w14:textId="69BFF655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3519" w14:textId="101B62D0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FCC49" w14:textId="2C797E7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CDBF3" w14:textId="3263F1F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0.0004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CD42" w14:textId="54A16241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806D" w14:textId="19A1332C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0.0029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322C" w14:textId="0487ACE6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F9F" w14:textId="01BF1966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&lt;0.0001</w:t>
            </w:r>
          </w:p>
        </w:tc>
      </w:tr>
      <w:tr w:rsidR="003662D6" w:rsidRPr="005B07E0" w14:paraId="5235ABA4" w14:textId="77777777" w:rsidTr="00C51ECD">
        <w:trPr>
          <w:trHeight w:val="264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535E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0ED8E" w14:textId="40917102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Albumin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62119" w14:textId="0AB4EFC1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Spline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0A4FA" w14:textId="450A893A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166A" w14:textId="1A198706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6A346" w14:textId="605DBD15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61D5" w14:textId="2A4AD4F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2B6D" w14:textId="2891B42D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E8F6" w14:textId="651FA3AA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0.0100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293" w14:textId="232F0EF4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C01B" w14:textId="06AF7FD6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0.1220</w:t>
            </w:r>
          </w:p>
        </w:tc>
      </w:tr>
      <w:tr w:rsidR="003662D6" w:rsidRPr="005B07E0" w14:paraId="0DAA8E16" w14:textId="77777777" w:rsidTr="00C51ECD">
        <w:trPr>
          <w:trHeight w:val="264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7329" w14:textId="77777777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C582" w14:textId="4AC6270F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BUN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7EF5B" w14:textId="4C694CD4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Spline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5BCF" w14:textId="590322A4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D07AB" w14:textId="6854D919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BDB26" w14:textId="072BA88C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32B34" w14:textId="30EDB523" w:rsidR="003662D6" w:rsidRPr="00603224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4108" w14:textId="78B9DDC3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Nonlinear (df=4)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B343" w14:textId="3DF7E951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0.0177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E5A3" w14:textId="6ABEAACE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5EF5" w14:textId="2FAB8DA2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</w:p>
        </w:tc>
      </w:tr>
      <w:tr w:rsidR="003662D6" w:rsidRPr="005B07E0" w14:paraId="5AE88663" w14:textId="2666880E" w:rsidTr="00C51ECD">
        <w:trPr>
          <w:trHeight w:val="1430"/>
        </w:trPr>
        <w:tc>
          <w:tcPr>
            <w:tcW w:w="8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0CBE" w14:textId="77777777" w:rsidR="003662D6" w:rsidRPr="003662D6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 xml:space="preserve">Reference categories are indicated in the ‘Prognostic Variable’ column as (vs …). </w:t>
            </w:r>
          </w:p>
          <w:p w14:paraId="6D795F4A" w14:textId="77777777" w:rsidR="00C51ECD" w:rsidRDefault="003662D6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.</w:t>
            </w:r>
          </w:p>
          <w:p w14:paraId="467E4D23" w14:textId="24F66EC6" w:rsidR="003662D6" w:rsidRPr="005B07E0" w:rsidRDefault="00C51ECD" w:rsidP="003662D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 xml:space="preserve">For variables not included in each endpoint, odds ratio or LR p-value is noted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NA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br/>
              <w:t xml:space="preserve">‘Spline’ denotes variables analyzed as nonlinear terms in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br/>
              <w:t xml:space="preserve">Lab variables modeled with splines do not yield a single odds ratio; therefore, reported as ‘Nonlinear (df = 4)’ in the OR column.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br/>
              <w:t>See Fig. 1 for graphs of relative odds ratios for these variables. 'df' refers to degree of freedom.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br/>
              <w:t>‘LR p-value’ refers to the likelihood ratio test p-value.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2"/>
                <w:szCs w:val="12"/>
                <w14:ligatures w14:val="none"/>
              </w:rPr>
              <w:br/>
              <w:t>AIS = Abbreviated Injury Scale; LOC = Level of Consciousness; EDH = Epidural Hemorrhage; SAH = Subarachnoid Hemorrhage; IVH = Intraventricular Hemorrhage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2"/>
                <w:szCs w:val="12"/>
                <w14:ligatures w14:val="none"/>
              </w:rPr>
              <w:t>; ALP = Alkaline Phosphatase</w:t>
            </w:r>
          </w:p>
        </w:tc>
      </w:tr>
    </w:tbl>
    <w:p w14:paraId="364AE538" w14:textId="172EE871" w:rsidR="00955D72" w:rsidRDefault="00955D72">
      <w:pPr>
        <w:widowControl/>
        <w:wordWrap/>
        <w:autoSpaceDE/>
        <w:autoSpaceDN/>
      </w:pPr>
      <w:r>
        <w:br w:type="page"/>
      </w:r>
    </w:p>
    <w:p w14:paraId="319228AF" w14:textId="0666CB28" w:rsidR="00880551" w:rsidRPr="00BA5B65" w:rsidRDefault="00DA2B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3. </w:t>
      </w:r>
      <w:r>
        <w:rPr>
          <w:rFonts w:ascii="Times New Roman" w:hAnsi="Times New Roman" w:cs="Times New Roman"/>
        </w:rPr>
        <w:t>Performance of AJOU</w:t>
      </w:r>
      <w:r>
        <w:rPr>
          <w:rFonts w:ascii="Times New Roman" w:hAnsi="Times New Roman" w:cs="Times New Roman" w:hint="eastAsia"/>
        </w:rPr>
        <w:t>-Adapted</w:t>
      </w:r>
      <w:r>
        <w:rPr>
          <w:rFonts w:ascii="Times New Roman" w:hAnsi="Times New Roman" w:cs="Times New Roman"/>
        </w:rPr>
        <w:t xml:space="preserve"> models for 14-day mortality on internal AJOU (train/test split) and external CENTER datasets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268"/>
        <w:gridCol w:w="1843"/>
        <w:gridCol w:w="1985"/>
      </w:tblGrid>
      <w:tr w:rsidR="00EE1CED" w:rsidRPr="00BA5B65" w14:paraId="2991116C" w14:textId="77777777" w:rsidTr="004244BA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EC33" w14:textId="4E5CF04E" w:rsidR="00EE1CED" w:rsidRPr="00BA5B65" w:rsidRDefault="00EE1CED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4143" w14:textId="77777777" w:rsidR="00EE1CED" w:rsidRPr="00BA5B65" w:rsidRDefault="00EE1CED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6DED" w14:textId="0B526ED7" w:rsidR="00EE1CED" w:rsidRPr="00BA5B65" w:rsidRDefault="00EE1CED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-Clinical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FD49F" w14:textId="3D52CD54" w:rsidR="00EE1CED" w:rsidRPr="00BA5B65" w:rsidRDefault="00EE1CED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bookmarkStart w:id="0" w:name="_Hlk214282270"/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bookmarkEnd w:id="0"/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CA218" w14:textId="7018CDBB" w:rsidR="00EE1CED" w:rsidRPr="00BA5B65" w:rsidRDefault="00EE1CED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-Full</w:t>
            </w:r>
          </w:p>
        </w:tc>
      </w:tr>
      <w:tr w:rsidR="00F4194B" w:rsidRPr="00BA5B65" w14:paraId="21982677" w14:textId="77777777" w:rsidTr="004244BA">
        <w:trPr>
          <w:trHeight w:val="4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29A3" w14:textId="3AC0E283" w:rsidR="00F4194B" w:rsidRPr="00BA5B65" w:rsidRDefault="00F4194B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Model Info.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1E0B" w14:textId="77777777" w:rsidR="00F4194B" w:rsidRPr="00BA5B65" w:rsidRDefault="00F4194B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No. of variables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55EF1" w14:textId="7C1B76EE" w:rsidR="00F4194B" w:rsidRPr="00BA5B65" w:rsidRDefault="008056F3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2050" w14:textId="7844B8D7" w:rsidR="00F4194B" w:rsidRPr="00BA5B65" w:rsidRDefault="008056F3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C71F5" w14:textId="23744EEF" w:rsidR="00F4194B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14</w:t>
            </w:r>
          </w:p>
        </w:tc>
      </w:tr>
      <w:tr w:rsidR="00F4194B" w:rsidRPr="00BA5B65" w14:paraId="24A231CB" w14:textId="77777777" w:rsidTr="004244BA">
        <w:trPr>
          <w:trHeight w:val="4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F06BA" w14:textId="77777777" w:rsidR="00F4194B" w:rsidRPr="00BA5B65" w:rsidRDefault="00F4194B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20B9A" w14:textId="0DE8E025" w:rsidR="00F4194B" w:rsidRPr="00BA5B65" w:rsidRDefault="00F4194B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Regularization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3DA80" w14:textId="7D273360" w:rsidR="00F4194B" w:rsidRPr="00BA5B65" w:rsidRDefault="00ED12DF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=0.6,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4C40" w14:textId="40218189" w:rsidR="00F4194B" w:rsidRPr="00BA5B65" w:rsidRDefault="004244BA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=0.5,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EE85" w14:textId="1BA7B5E0" w:rsidR="00F4194B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Lasso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λ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=0.009)</w:t>
            </w:r>
          </w:p>
        </w:tc>
      </w:tr>
      <w:tr w:rsidR="00F4194B" w:rsidRPr="00BA5B65" w14:paraId="134FD418" w14:textId="77777777" w:rsidTr="004244B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58BA" w14:textId="017314E3" w:rsidR="00F4194B" w:rsidRPr="00BA5B65" w:rsidRDefault="00F4194B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CBF0" w14:textId="4F3A851A" w:rsidR="00F4194B" w:rsidRPr="00BA5B65" w:rsidRDefault="00F4194B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 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A26E" w14:textId="29A227D3" w:rsidR="00F4194B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/ 231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2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(12.9%)</w:t>
            </w:r>
          </w:p>
        </w:tc>
      </w:tr>
      <w:tr w:rsidR="00DA2B4C" w:rsidRPr="00BA5B65" w14:paraId="24FB50F0" w14:textId="77777777" w:rsidTr="004244B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622D" w14:textId="77777777" w:rsidR="00DA2B4C" w:rsidRPr="00BA5B65" w:rsidRDefault="00DA2B4C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40CD" w14:textId="77777777" w:rsidR="00DA2B4C" w:rsidRPr="00BA5B65" w:rsidRDefault="00DA2B4C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1B40A" w14:textId="005D9F1F" w:rsidR="00DA2B4C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0.885 (0.865 - 0.905)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4CCFC" w14:textId="25A36FBA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0.896 (0.877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0.914)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A1DC" w14:textId="4A21A978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0.921 (0.904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0.938)</w:t>
            </w:r>
          </w:p>
        </w:tc>
      </w:tr>
      <w:tr w:rsidR="00DA2B4C" w:rsidRPr="00BA5B65" w14:paraId="6211947A" w14:textId="77777777" w:rsidTr="004244B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D2DD" w14:textId="77777777" w:rsidR="00DA2B4C" w:rsidRPr="00BA5B65" w:rsidRDefault="00DA2B4C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253A7" w14:textId="77777777" w:rsidR="00DA2B4C" w:rsidRPr="00BA5B65" w:rsidRDefault="00DA2B4C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3908" w14:textId="73F6231E" w:rsidR="00DA2B4C" w:rsidRPr="00BA5B65" w:rsidRDefault="00DA2B4C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079 (0.071-0.087)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E269" w14:textId="07C4EBC2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0.078 (0.071 -0.086)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2D5AD" w14:textId="218D4675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0.063 (0.056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0.070)</w:t>
            </w:r>
          </w:p>
        </w:tc>
      </w:tr>
      <w:tr w:rsidR="00DA2B4C" w:rsidRPr="00BA5B65" w14:paraId="22B4CD27" w14:textId="77777777" w:rsidTr="004244B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F54B" w14:textId="77777777" w:rsidR="00DA2B4C" w:rsidRPr="00BA5B65" w:rsidRDefault="00DA2B4C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42A70" w14:textId="2223782B" w:rsidR="00DA2B4C" w:rsidRPr="00BA5B65" w:rsidRDefault="00DA2B4C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15FC" w14:textId="5F336E37" w:rsidR="00DA2B4C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1.359 (1.231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1.486)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10B70" w14:textId="4479EBE0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1.437 (1.303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1.571)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08595" w14:textId="2773DB29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1.241 (1.122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1.360)</w:t>
            </w:r>
          </w:p>
        </w:tc>
      </w:tr>
      <w:tr w:rsidR="00DA2B4C" w:rsidRPr="00BA5B65" w14:paraId="50AF8E9F" w14:textId="77777777" w:rsidTr="004244B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24CB" w14:textId="77777777" w:rsidR="00DA2B4C" w:rsidRPr="00BA5B65" w:rsidRDefault="00DA2B4C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32821" w14:textId="2E0CA10A" w:rsidR="00DA2B4C" w:rsidRPr="00BA5B65" w:rsidRDefault="00DA2B4C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Calibration intercept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7684" w14:textId="22A99A7F" w:rsidR="00DA2B4C" w:rsidRPr="00BA5B65" w:rsidRDefault="00DA2B4C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(-0.135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AA1CF" w14:textId="76492EE5" w:rsidR="00DA2B4C" w:rsidRPr="00BA5B65" w:rsidRDefault="00ED12DF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(-0.135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E65B4" w14:textId="7E7F05A3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(-0.151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0.151)</w:t>
            </w:r>
          </w:p>
        </w:tc>
      </w:tr>
      <w:tr w:rsidR="00F4194B" w:rsidRPr="00BA5B65" w14:paraId="1CEE7EFC" w14:textId="77777777" w:rsidTr="004244B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84BFB" w14:textId="77777777" w:rsidR="00F4194B" w:rsidRDefault="00F4194B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Test</w:t>
            </w:r>
          </w:p>
          <w:p w14:paraId="77A91BDC" w14:textId="22A22642" w:rsidR="00F4194B" w:rsidRPr="00BA5B65" w:rsidRDefault="00F4194B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CF71" w14:textId="6BEE39A9" w:rsidR="00F4194B" w:rsidRPr="00BA5B65" w:rsidRDefault="00F4194B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B984" w14:textId="72F9F605" w:rsidR="00F4194B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/ 57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7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12.8%)</w:t>
            </w:r>
          </w:p>
        </w:tc>
      </w:tr>
      <w:tr w:rsidR="00DA2B4C" w:rsidRPr="00BA5B65" w14:paraId="3603076F" w14:textId="77777777" w:rsidTr="004244B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5155" w14:textId="77777777" w:rsidR="00DA2B4C" w:rsidRPr="00BA5B65" w:rsidRDefault="00DA2B4C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DDCE" w14:textId="77777777" w:rsidR="00DA2B4C" w:rsidRPr="00BA5B65" w:rsidRDefault="00DA2B4C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FCF4" w14:textId="50BA16A3" w:rsidR="00DA2B4C" w:rsidRPr="00BA5B65" w:rsidRDefault="00DA2B4C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875 (0.833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0.917)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03AA" w14:textId="59DC0DF5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0.875 (0.832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0.917)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8798" w14:textId="250C350E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0.902 (0.865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0.939)</w:t>
            </w:r>
          </w:p>
        </w:tc>
      </w:tr>
      <w:tr w:rsidR="00DA2B4C" w:rsidRPr="00BA5B65" w14:paraId="612D20F6" w14:textId="77777777" w:rsidTr="004244B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EAD8" w14:textId="77777777" w:rsidR="00DA2B4C" w:rsidRPr="00BA5B65" w:rsidRDefault="00DA2B4C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18D1" w14:textId="77777777" w:rsidR="00DA2B4C" w:rsidRPr="00BA5B65" w:rsidRDefault="00DA2B4C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D42E" w14:textId="1743CC02" w:rsidR="00DA2B4C" w:rsidRPr="00BA5B65" w:rsidRDefault="00DA2B4C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80 (0.064-0.095)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C2C7" w14:textId="0C264069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0.079 (0.064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0.095)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0C81" w14:textId="5AA120CE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0.069 (0.055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0.084)</w:t>
            </w:r>
          </w:p>
        </w:tc>
      </w:tr>
      <w:tr w:rsidR="00DA2B4C" w:rsidRPr="00BA5B65" w14:paraId="72C16293" w14:textId="77777777" w:rsidTr="004244B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64EC" w14:textId="77777777" w:rsidR="00DA2B4C" w:rsidRPr="00BA5B65" w:rsidRDefault="00DA2B4C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6642" w14:textId="73725F50" w:rsidR="00DA2B4C" w:rsidRPr="00BA5B65" w:rsidRDefault="00DA2B4C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1D87A" w14:textId="19862348" w:rsidR="00DA2B4C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1.383 (1.118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1.648)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ACBF" w14:textId="239E59B5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1.429 (1.156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1.702)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1C891" w14:textId="573BFBA5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1.027 (0.829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1.224)</w:t>
            </w:r>
          </w:p>
        </w:tc>
      </w:tr>
      <w:tr w:rsidR="00DA2B4C" w:rsidRPr="00BA5B65" w14:paraId="7A89BFFD" w14:textId="77777777" w:rsidTr="004244B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EC32" w14:textId="77777777" w:rsidR="00DA2B4C" w:rsidRPr="00BA5B65" w:rsidRDefault="00DA2B4C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EE50" w14:textId="04987D03" w:rsidR="00DA2B4C" w:rsidRPr="00BA5B65" w:rsidRDefault="00DA2B4C" w:rsidP="00BA5B65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5D15" w14:textId="3248EDAF" w:rsidR="00DA2B4C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-0.004 (-0.274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0.265)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FEFA9" w14:textId="6B6F9490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-0.016 ( -0.285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0.252)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D1A1" w14:textId="13FD11CF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-0.128 (-0.439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0.183)</w:t>
            </w:r>
          </w:p>
        </w:tc>
      </w:tr>
      <w:tr w:rsidR="00F4194B" w:rsidRPr="00BA5B65" w14:paraId="502689A8" w14:textId="77777777" w:rsidTr="004244B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0BB4BA" w14:textId="35DA71B4" w:rsidR="00F4194B" w:rsidRPr="00BA5B65" w:rsidRDefault="00F4194B" w:rsidP="00F4194B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CENTER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3E4E" w14:textId="56101F17" w:rsidR="00F4194B" w:rsidRDefault="00F4194B" w:rsidP="00CC513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23398" w14:textId="3EF5F5EF" w:rsidR="00F4194B" w:rsidRPr="00BA5B65" w:rsidRDefault="00D85E61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122</w:t>
            </w:r>
            <w:r w:rsidR="00F4194B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/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1040</w:t>
            </w:r>
            <w:r w:rsidR="00F4194B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</w:t>
            </w:r>
            <w:r w:rsidR="00F4194B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</w:t>
            </w:r>
            <w:r w:rsidR="00F4194B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%)</w:t>
            </w:r>
          </w:p>
        </w:tc>
      </w:tr>
      <w:tr w:rsidR="00DA2B4C" w:rsidRPr="00BA5B65" w14:paraId="5BD542B4" w14:textId="77777777" w:rsidTr="004244BA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29BDD" w14:textId="77777777" w:rsidR="00DA2B4C" w:rsidRPr="00BA5B65" w:rsidRDefault="00DA2B4C" w:rsidP="00CC513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2330B" w14:textId="43859377" w:rsidR="00DA2B4C" w:rsidRDefault="00DA2B4C" w:rsidP="00CC513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D0AF5" w14:textId="5C3E84E6" w:rsidR="00DA2B4C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0.85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(0.8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887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A2A4D" w14:textId="29F71084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  <w:r w:rsidR="0077292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(0.82</w:t>
            </w:r>
            <w:r w:rsidR="0077292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88</w:t>
            </w:r>
            <w:r w:rsidR="0077292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A8E2" w14:textId="19C17F5B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  <w:r w:rsidR="0077292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(0.8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</w:t>
            </w:r>
            <w:r w:rsidR="0077292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</w:t>
            </w:r>
            <w:r w:rsidR="0077292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DA2B4C" w:rsidRPr="00BA5B65" w14:paraId="4545816D" w14:textId="77777777" w:rsidTr="004244BA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78ABB" w14:textId="77777777" w:rsidR="00DA2B4C" w:rsidRPr="00BA5B65" w:rsidRDefault="00DA2B4C" w:rsidP="00CC513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1FE7A" w14:textId="76771B76" w:rsidR="00DA2B4C" w:rsidRDefault="00DA2B4C" w:rsidP="00CC513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C604B" w14:textId="549E19CC" w:rsidR="00DA2B4C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(0.073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0.113)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6EC25" w14:textId="4F522E30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(0.073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0.113)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2B8C" w14:textId="0AF0A2C8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</w:t>
            </w:r>
            <w:r w:rsidR="009D357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(0.073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0.11</w:t>
            </w:r>
            <w:r w:rsidR="009D357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DA2B4C" w:rsidRPr="00BA5B65" w14:paraId="2B092129" w14:textId="77777777" w:rsidTr="004244BA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C95E6" w14:textId="77777777" w:rsidR="00DA2B4C" w:rsidRPr="00BA5B65" w:rsidRDefault="00DA2B4C" w:rsidP="00CC513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F4B6F" w14:textId="526578E6" w:rsidR="00DA2B4C" w:rsidRDefault="00DA2B4C" w:rsidP="00CC513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A19D" w14:textId="7489076C" w:rsidR="00DA2B4C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145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0.987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324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DD807" w14:textId="12B628A3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151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0.993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336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7623" w14:textId="13A59594" w:rsidR="00DA2B4C" w:rsidRPr="00BA5B65" w:rsidRDefault="00D85E61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0.978</w:t>
            </w:r>
            <w:r w:rsid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849</w:t>
            </w:r>
            <w:r w:rsid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9235D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129</w:t>
            </w:r>
            <w:r w:rsid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DA2B4C" w:rsidRPr="00BA5B65" w14:paraId="28B5806F" w14:textId="77777777" w:rsidTr="00674EC0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DC2" w14:textId="77777777" w:rsidR="00DA2B4C" w:rsidRPr="00BA5B65" w:rsidRDefault="00DA2B4C" w:rsidP="00CC513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CE528" w14:textId="19DBF349" w:rsidR="00DA2B4C" w:rsidRDefault="00DA2B4C" w:rsidP="00CC513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2F23" w14:textId="3C6B2037" w:rsidR="00DA2B4C" w:rsidRPr="00BA5B65" w:rsidRDefault="00F4194B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0.3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(0.10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512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1215" w14:textId="4C4AB8EF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274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(0.0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469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B643B" w14:textId="0250C504" w:rsidR="00DA2B4C" w:rsidRPr="00BA5B65" w:rsidRDefault="009235D2" w:rsidP="009235D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610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380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  <w:r w:rsidR="00D85E61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818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674EC0" w:rsidRPr="00BA5B65" w14:paraId="18DCF167" w14:textId="77777777" w:rsidTr="004639D4">
        <w:trPr>
          <w:trHeight w:val="935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483A" w14:textId="373AD6E7" w:rsidR="00207379" w:rsidRDefault="00207379" w:rsidP="00674EC0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The AJOU dataset was randomly split into training and test sets in a 1:4 ratio, while preserving a similar event-to-patient distribution between the two subsets. After internal validation, the final models were refitted on the entire AJOU dataset and then externally validated on the CENTER dataset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All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performance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were 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estimated using 1,000 bootstrap resamples.</w:t>
            </w:r>
          </w:p>
          <w:p w14:paraId="6594CF2D" w14:textId="6D4A37CB" w:rsidR="00674EC0" w:rsidRPr="00674EC0" w:rsidRDefault="00674EC0" w:rsidP="00674EC0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Info. = Information; AUROC =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Area Under the Receiver Operating Characteristic curve</w:t>
            </w:r>
          </w:p>
        </w:tc>
      </w:tr>
    </w:tbl>
    <w:p w14:paraId="46C48F4C" w14:textId="77777777" w:rsidR="00ED2155" w:rsidRDefault="00ED2155">
      <w:pPr>
        <w:widowControl/>
        <w:wordWrap/>
        <w:autoSpaceDE/>
        <w:autoSpaceDN/>
      </w:pPr>
      <w:r>
        <w:br w:type="page"/>
      </w:r>
    </w:p>
    <w:p w14:paraId="2CDE62A0" w14:textId="63BDE0D2" w:rsidR="009235D2" w:rsidRPr="00BA5B65" w:rsidRDefault="009235D2" w:rsidP="009235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4. </w:t>
      </w:r>
      <w:r>
        <w:rPr>
          <w:rFonts w:ascii="Times New Roman" w:hAnsi="Times New Roman" w:cs="Times New Roman"/>
        </w:rPr>
        <w:t>Performance of AJOU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 xml:space="preserve">Adapted models for </w:t>
      </w:r>
      <w:r>
        <w:rPr>
          <w:rFonts w:ascii="Times New Roman" w:hAnsi="Times New Roman" w:cs="Times New Roman" w:hint="eastAsia"/>
        </w:rPr>
        <w:t>3-month unfavorable outcome</w:t>
      </w:r>
      <w:r>
        <w:rPr>
          <w:rFonts w:ascii="Times New Roman" w:hAnsi="Times New Roman" w:cs="Times New Roman"/>
        </w:rPr>
        <w:t xml:space="preserve"> on internal AJOU (train/test split) and external CENTER datasets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1984"/>
        <w:gridCol w:w="1985"/>
      </w:tblGrid>
      <w:tr w:rsidR="009235D2" w:rsidRPr="00BA5B65" w14:paraId="09A87A7C" w14:textId="77777777" w:rsidTr="008D4DE5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4C65" w14:textId="77777777" w:rsidR="009235D2" w:rsidRPr="00BA5B65" w:rsidRDefault="009235D2" w:rsidP="002543D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A856" w14:textId="77777777" w:rsidR="009235D2" w:rsidRPr="00BA5B65" w:rsidRDefault="009235D2" w:rsidP="002543D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3EFCB" w14:textId="5D360C77" w:rsidR="009235D2" w:rsidRPr="00BA5B65" w:rsidRDefault="009235D2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-Clinical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FEAA" w14:textId="37928E55" w:rsidR="009235D2" w:rsidRPr="00BA5B65" w:rsidRDefault="009235D2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70EA" w14:textId="794E783A" w:rsidR="009235D2" w:rsidRPr="00BA5B65" w:rsidRDefault="009235D2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-Full</w:t>
            </w:r>
          </w:p>
        </w:tc>
      </w:tr>
      <w:tr w:rsidR="009235D2" w:rsidRPr="00BA5B65" w14:paraId="302452DA" w14:textId="77777777" w:rsidTr="008D4DE5">
        <w:trPr>
          <w:trHeight w:val="4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8BE0" w14:textId="77777777" w:rsidR="009235D2" w:rsidRPr="00BA5B65" w:rsidRDefault="009235D2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Model Info.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5E1A3" w14:textId="77777777" w:rsidR="009235D2" w:rsidRPr="00BA5B65" w:rsidRDefault="009235D2" w:rsidP="002543D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No. of variables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F076" w14:textId="326BEEFC" w:rsidR="009235D2" w:rsidRPr="00BA5B65" w:rsidRDefault="008056F3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B095" w14:textId="55B1009D" w:rsidR="009235D2" w:rsidRPr="00BA5B65" w:rsidRDefault="00F11957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8E775" w14:textId="522B4838" w:rsidR="009235D2" w:rsidRPr="00BA5B65" w:rsidRDefault="004B4336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15</w:t>
            </w:r>
          </w:p>
        </w:tc>
      </w:tr>
      <w:tr w:rsidR="0097636A" w:rsidRPr="00BA5B65" w14:paraId="2AE2B2D9" w14:textId="77777777" w:rsidTr="008D4DE5">
        <w:trPr>
          <w:trHeight w:val="4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B412B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015DF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Regularization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3BA3D" w14:textId="209EDF7B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=0.5,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λ=0.0002)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B922" w14:textId="02EAD2E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=0.2,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73AAC" w14:textId="1685FFDE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=0.3,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λ=0.0025)</w:t>
            </w:r>
          </w:p>
        </w:tc>
      </w:tr>
      <w:tr w:rsidR="0097636A" w:rsidRPr="00BA5B65" w14:paraId="436D2D0B" w14:textId="77777777" w:rsidTr="00674EC0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40AEB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BC48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 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C0A4" w14:textId="131B7971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771 / 1849 (41.7%)</w:t>
            </w:r>
          </w:p>
        </w:tc>
      </w:tr>
      <w:tr w:rsidR="0097636A" w:rsidRPr="00BA5B65" w14:paraId="6B92A6EC" w14:textId="77777777" w:rsidTr="008D4DE5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D430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A236F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25AD" w14:textId="07FC173C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0.886 (0.871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0.901)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3B35" w14:textId="721E1683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0.902 (0.888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0.916)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44689" w14:textId="78B85498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0.914 (0.900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0.927)</w:t>
            </w:r>
          </w:p>
        </w:tc>
      </w:tr>
      <w:tr w:rsidR="0097636A" w:rsidRPr="00BA5B65" w14:paraId="1ACDA22F" w14:textId="77777777" w:rsidTr="008D4DE5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8B91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91FCE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5EB7E" w14:textId="5E83C8AD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0.133 (0.124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0.143)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0974" w14:textId="75CFBBB8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0.122 (0.113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8852" w14:textId="3A045C6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0.113 (0.104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0.122)</w:t>
            </w:r>
          </w:p>
        </w:tc>
      </w:tr>
      <w:tr w:rsidR="0097636A" w:rsidRPr="00BA5B65" w14:paraId="59636975" w14:textId="77777777" w:rsidTr="008D4DE5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AA3B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8C60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40AC6" w14:textId="46FEA4CC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1.005 (0.917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1.094)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E4E35" w14:textId="598BE143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1.016 (0.928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1.104)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B1FE6" w14:textId="6F294ADD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1.050 (0.958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1.142)</w:t>
            </w:r>
          </w:p>
        </w:tc>
      </w:tr>
      <w:tr w:rsidR="0097636A" w:rsidRPr="00BA5B65" w14:paraId="66257D9A" w14:textId="77777777" w:rsidTr="008D4DE5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A277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9DD3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Calibration intercept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8564" w14:textId="61B208BA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(-0.125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0.125)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09B9" w14:textId="1A9C6E3D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(-0.130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C11E" w14:textId="31D90C0F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(-0.133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0.133)</w:t>
            </w:r>
          </w:p>
        </w:tc>
      </w:tr>
      <w:tr w:rsidR="0097636A" w:rsidRPr="00BA5B65" w14:paraId="25EB1207" w14:textId="77777777" w:rsidTr="00674EC0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77C1" w14:textId="77777777" w:rsidR="0097636A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Test</w:t>
            </w:r>
          </w:p>
          <w:p w14:paraId="750EF5C9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1595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CED2" w14:textId="1110E9FD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192 / 461 (41.6%)</w:t>
            </w:r>
          </w:p>
        </w:tc>
      </w:tr>
      <w:tr w:rsidR="0097636A" w:rsidRPr="00BA5B65" w14:paraId="40A055E7" w14:textId="77777777" w:rsidTr="008D4DE5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51D0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2660A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1606E" w14:textId="047CCDC1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0.903 (0.876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0.930)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2AC9" w14:textId="26DFD833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0.911 (0.885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0.937)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3E27" w14:textId="4530511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0.921 (0.897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0.945)</w:t>
            </w:r>
          </w:p>
        </w:tc>
      </w:tr>
      <w:tr w:rsidR="0097636A" w:rsidRPr="00BA5B65" w14:paraId="2F5B9E12" w14:textId="77777777" w:rsidTr="008D4DE5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62CC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0AD2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6E48B" w14:textId="26C44515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0.124 (0.107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0.141)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828F" w14:textId="4FA9B5B9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0.119 (0.101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8E87" w14:textId="07CF74AB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0.112 (0.095- 0.128)</w:t>
            </w:r>
          </w:p>
        </w:tc>
      </w:tr>
      <w:tr w:rsidR="0097636A" w:rsidRPr="00BA5B65" w14:paraId="5D7267CB" w14:textId="77777777" w:rsidTr="008D4DE5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E7E3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D703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8F58" w14:textId="63242E8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1.176 (0.965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1.386)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BE32F" w14:textId="10E096D0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1.094 (0.902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1.286)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74F1A" w14:textId="081A0E3C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1.160 (0.952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1.368)</w:t>
            </w:r>
          </w:p>
        </w:tc>
      </w:tr>
      <w:tr w:rsidR="0097636A" w:rsidRPr="00BA5B65" w14:paraId="056F6BC1" w14:textId="77777777" w:rsidTr="008D4DE5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BE4D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54480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A2A3" w14:textId="360093B5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0.002 (-0.244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0.249)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33A3" w14:textId="0DC53E63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-0.041 (-0.299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0.217)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C7B0" w14:textId="616E1662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-0.004 (-0.264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0.257)</w:t>
            </w:r>
          </w:p>
        </w:tc>
      </w:tr>
      <w:tr w:rsidR="0097636A" w:rsidRPr="00BA5B65" w14:paraId="6D52C8EB" w14:textId="77777777" w:rsidTr="002543D3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858329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CENTER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590A4" w14:textId="77777777" w:rsidR="0097636A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AA7C4" w14:textId="2DF99902" w:rsidR="0097636A" w:rsidRPr="00BA5B65" w:rsidRDefault="009C13D5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400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/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974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%)</w:t>
            </w:r>
          </w:p>
        </w:tc>
      </w:tr>
      <w:tr w:rsidR="0097636A" w:rsidRPr="00BA5B65" w14:paraId="724D7FEC" w14:textId="77777777" w:rsidTr="008D4DE5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2D17B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1873" w14:textId="77777777" w:rsidR="0097636A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5D988" w14:textId="6131709C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806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0.856)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70382" w14:textId="5DA083E6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822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E688C" w14:textId="05B8949B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(0.8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0.87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97636A" w:rsidRPr="00BA5B65" w14:paraId="4F59193D" w14:textId="77777777" w:rsidTr="008D4DE5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1825D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F1F0" w14:textId="77777777" w:rsidR="0097636A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8151" w14:textId="1B34B6C2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(0.15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187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E74D" w14:textId="64A26DB8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(0.14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75DE0" w14:textId="0B943A32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(0.150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97636A" w:rsidRPr="00BA5B65" w14:paraId="455A9A03" w14:textId="77777777" w:rsidTr="008D4DE5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A2236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F3E6A" w14:textId="77777777" w:rsidR="0097636A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6FAF" w14:textId="546E05F5" w:rsidR="0097636A" w:rsidRPr="00BA5B65" w:rsidRDefault="009C13D5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1.079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949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97636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1.239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33C3" w14:textId="08E7FC96" w:rsidR="0097636A" w:rsidRPr="00BA5B65" w:rsidRDefault="009C13D5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1.043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919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97636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1.194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999A" w14:textId="6743ED0B" w:rsidR="0097636A" w:rsidRPr="00BA5B65" w:rsidRDefault="009C13D5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1.053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930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97636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1.201</w:t>
            </w:r>
            <w:r w:rsidR="0097636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97636A" w:rsidRPr="00BA5B65" w14:paraId="6DE110A9" w14:textId="77777777" w:rsidTr="008D4DE5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2AD" w14:textId="77777777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1BBAB" w14:textId="77777777" w:rsidR="0097636A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5A47" w14:textId="6134628B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365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212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509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91063" w14:textId="56211573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309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140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457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8174" w14:textId="5C6A9782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528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354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9C13D5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677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97636A" w:rsidRPr="00BA5B65" w14:paraId="4659C694" w14:textId="77777777" w:rsidTr="004639D4">
        <w:trPr>
          <w:trHeight w:val="935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D35F" w14:textId="6B3FF42C" w:rsidR="00207379" w:rsidRDefault="00207379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The AJOU dataset was randomly split into training and test sets in a 1:4 ratio, while preserving a similar event-to-patient distribution between the two subsets. After internal validation, the final models were refitted on the entire AJOU dataset and then externally validated on the CENTER dataset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All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performance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were 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estimated using 1,000 bootstrap resamples.</w:t>
            </w:r>
          </w:p>
          <w:p w14:paraId="2F360490" w14:textId="28CC916D" w:rsidR="0097636A" w:rsidRPr="00BA5B65" w:rsidRDefault="0097636A" w:rsidP="0097636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Info. = Information; AUROC =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Area Under the Receiver Operating Characteristic curve</w:t>
            </w:r>
          </w:p>
        </w:tc>
      </w:tr>
    </w:tbl>
    <w:p w14:paraId="6E491535" w14:textId="77777777" w:rsidR="009235D2" w:rsidRDefault="009235D2" w:rsidP="009235D2">
      <w:pPr>
        <w:widowControl/>
        <w:wordWrap/>
        <w:autoSpaceDE/>
        <w:autoSpaceDN/>
      </w:pPr>
      <w:r>
        <w:br w:type="page"/>
      </w:r>
    </w:p>
    <w:p w14:paraId="05DB351E" w14:textId="41A14AC3" w:rsidR="00674EC0" w:rsidRPr="00BA5B65" w:rsidRDefault="00674EC0" w:rsidP="00674E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5. </w:t>
      </w:r>
      <w:r>
        <w:rPr>
          <w:rFonts w:ascii="Times New Roman" w:hAnsi="Times New Roman" w:cs="Times New Roman"/>
        </w:rPr>
        <w:t>Performance of AJOU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 xml:space="preserve">Adapted models for </w:t>
      </w:r>
      <w:r>
        <w:rPr>
          <w:rFonts w:ascii="Times New Roman" w:hAnsi="Times New Roman" w:cs="Times New Roman" w:hint="eastAsia"/>
        </w:rPr>
        <w:t>6-month unfavorable outcome</w:t>
      </w:r>
      <w:r>
        <w:rPr>
          <w:rFonts w:ascii="Times New Roman" w:hAnsi="Times New Roman" w:cs="Times New Roman"/>
        </w:rPr>
        <w:t xml:space="preserve"> on internal AJOU (train/test split) and external CENTER datasets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1984"/>
        <w:gridCol w:w="1985"/>
      </w:tblGrid>
      <w:tr w:rsidR="00674EC0" w:rsidRPr="00BA5B65" w14:paraId="5F98448C" w14:textId="77777777" w:rsidTr="007E61B0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6C42" w14:textId="77777777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E7D4" w14:textId="77777777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4B7A2" w14:textId="4A8C2915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-Clinical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5B95D" w14:textId="3AB83D7E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4F3C3" w14:textId="0FB94E00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-Full</w:t>
            </w:r>
          </w:p>
        </w:tc>
      </w:tr>
      <w:tr w:rsidR="00674EC0" w:rsidRPr="00BA5B65" w14:paraId="7867CEE1" w14:textId="77777777" w:rsidTr="007E61B0">
        <w:trPr>
          <w:trHeight w:val="4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9E5A" w14:textId="77777777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Model Info.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C753" w14:textId="77777777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No. of variables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92E5" w14:textId="4AC6AEDE" w:rsidR="00674EC0" w:rsidRPr="00BA5B65" w:rsidRDefault="008056F3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2992" w14:textId="0A2DAC8F" w:rsidR="00674EC0" w:rsidRPr="00BA5B65" w:rsidRDefault="00105D2C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795E" w14:textId="12918124" w:rsidR="00674EC0" w:rsidRPr="00BA5B65" w:rsidRDefault="00105D2C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18</w:t>
            </w:r>
          </w:p>
        </w:tc>
      </w:tr>
      <w:tr w:rsidR="004B4336" w:rsidRPr="00BA5B65" w14:paraId="1D2E5EC2" w14:textId="77777777" w:rsidTr="007E61B0">
        <w:trPr>
          <w:trHeight w:val="4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95BC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1AD9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Regularization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3D099" w14:textId="144C81AB" w:rsidR="004B4336" w:rsidRPr="00BA5B65" w:rsidRDefault="00AD663A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=0.2,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4849" w14:textId="37D82AAE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=0.1,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λ=0.045)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F608" w14:textId="759C4382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=0.4,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λ=0.032)</w:t>
            </w:r>
          </w:p>
        </w:tc>
      </w:tr>
      <w:tr w:rsidR="004B4336" w:rsidRPr="00BA5B65" w14:paraId="1B05B298" w14:textId="77777777" w:rsidTr="002543D3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607C1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3154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 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68E4" w14:textId="38062F04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830 / 2178 (38.1%)</w:t>
            </w:r>
          </w:p>
        </w:tc>
      </w:tr>
      <w:tr w:rsidR="004B4336" w:rsidRPr="00BA5B65" w14:paraId="4E50BF58" w14:textId="77777777" w:rsidTr="007E61B0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3ACC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8C2F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3CC61" w14:textId="5DE424EF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0.877 (0.862- 0.892)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6EE4" w14:textId="169805D1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0.890 (0.876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0.904)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0FDF" w14:textId="0FA7FA43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0.902 (0.889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0.915)</w:t>
            </w:r>
          </w:p>
        </w:tc>
      </w:tr>
      <w:tr w:rsidR="004B4336" w:rsidRPr="00BA5B65" w14:paraId="37760BED" w14:textId="77777777" w:rsidTr="007E61B0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6AF0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361A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7722" w14:textId="3608A23A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0.134 (0.126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0.142)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3E92" w14:textId="6852622C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0.128 (0.121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648B" w14:textId="3EB8F4F5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0.121 (0.114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0.129)</w:t>
            </w:r>
          </w:p>
        </w:tc>
      </w:tr>
      <w:tr w:rsidR="004B4336" w:rsidRPr="00BA5B65" w14:paraId="414D366A" w14:textId="77777777" w:rsidTr="007E61B0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5E5C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D268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8913C" w14:textId="342498B3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1.231 (1.128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1.334)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88024" w14:textId="09F0C7D9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1.364 (1.252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1.476)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BAA5" w14:textId="370EA6B7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1.419 (1.302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1.536)</w:t>
            </w:r>
          </w:p>
        </w:tc>
      </w:tr>
      <w:tr w:rsidR="004B4336" w:rsidRPr="00BA5B65" w14:paraId="405B1DF9" w14:textId="77777777" w:rsidTr="007E61B0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5EB1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9281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Calibration intercept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F2F6A" w14:textId="6B78DA44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(-0.108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0.108)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AB31A" w14:textId="661CBCF0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(-0.107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0.107)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ABC3" w14:textId="30AEBCFC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(-0.108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0.108)</w:t>
            </w:r>
          </w:p>
        </w:tc>
      </w:tr>
      <w:tr w:rsidR="004B4336" w:rsidRPr="00BA5B65" w14:paraId="7EEC76FD" w14:textId="77777777" w:rsidTr="002543D3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9B3E6" w14:textId="77777777" w:rsidR="004B4336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Test</w:t>
            </w:r>
          </w:p>
          <w:p w14:paraId="5D973B3F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BEAD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B4B5" w14:textId="5FD412DD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207 / 544 (38.1%)</w:t>
            </w:r>
          </w:p>
        </w:tc>
      </w:tr>
      <w:tr w:rsidR="004B4336" w:rsidRPr="00BA5B65" w14:paraId="6006F7D1" w14:textId="77777777" w:rsidTr="007E61B0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D60C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7A3A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2E42E" w14:textId="0A77E5C8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0.897 (0.871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0.924)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87BC5" w14:textId="2B304E4D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0.901 (0.874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0.928)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12437" w14:textId="22F7E3E4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0.903 (0.876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0.931)</w:t>
            </w:r>
          </w:p>
        </w:tc>
      </w:tr>
      <w:tr w:rsidR="004B4336" w:rsidRPr="00BA5B65" w14:paraId="51FA048F" w14:textId="77777777" w:rsidTr="007E61B0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02B8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EEA3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1B9FB" w14:textId="7605CEE1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0.127 (0.111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0.142)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B910" w14:textId="0CC4DD0F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0.125 (0.110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0.140)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5D59" w14:textId="37C323C4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0.120 (0.104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0.135)</w:t>
            </w:r>
          </w:p>
        </w:tc>
      </w:tr>
      <w:tr w:rsidR="004B4336" w:rsidRPr="00BA5B65" w14:paraId="5170EF1D" w14:textId="77777777" w:rsidTr="007E61B0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CAFF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8BCC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D185B" w14:textId="5F4E0E8B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1.335 (1.114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1.556)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C2FA6" w14:textId="6597D4EA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1.448 (1.206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1.689)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F647" w14:textId="3310BF66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1.360 (1.137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1.584)</w:t>
            </w:r>
          </w:p>
        </w:tc>
      </w:tr>
      <w:tr w:rsidR="004B4336" w:rsidRPr="00BA5B65" w14:paraId="09D5936E" w14:textId="77777777" w:rsidTr="007E61B0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05E5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24A5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F8A90" w14:textId="4EDF4C46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-0.019 (-0.236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0.198)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367C4" w14:textId="466E6A10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-0.024 (-0.237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0.189)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09F8D" w14:textId="1161E7D1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-0.009 (-0.229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0.210)</w:t>
            </w:r>
          </w:p>
        </w:tc>
      </w:tr>
      <w:tr w:rsidR="004B4336" w:rsidRPr="00BA5B65" w14:paraId="35CE38CD" w14:textId="77777777" w:rsidTr="002543D3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85A712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CENTER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3BA6" w14:textId="77777777" w:rsidR="004B4336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82E8B" w14:textId="51E6BB04" w:rsidR="004B4336" w:rsidRPr="00BA5B65" w:rsidRDefault="00E17BB8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334</w:t>
            </w:r>
            <w:r w:rsidR="004B43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/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984</w:t>
            </w:r>
            <w:r w:rsidR="004B43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33.9</w:t>
            </w:r>
            <w:r w:rsidR="004B43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%)</w:t>
            </w:r>
          </w:p>
        </w:tc>
      </w:tr>
      <w:tr w:rsidR="004B4336" w:rsidRPr="00BA5B65" w14:paraId="71169AE7" w14:textId="77777777" w:rsidTr="007E61B0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5F40D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07FEC" w14:textId="77777777" w:rsidR="004B4336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5B79" w14:textId="21F9779C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852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828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0985" w14:textId="51801026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841 -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C27FA" w14:textId="150F0B4C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841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4B4336" w:rsidRPr="00BA5B65" w14:paraId="69B94386" w14:textId="77777777" w:rsidTr="007E61B0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7E24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0E60B" w14:textId="77777777" w:rsidR="004B4336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63253" w14:textId="289D0FC5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162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57D6E" w14:textId="650C5CE4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D8A6" w14:textId="699AB248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9 - 0.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154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4B4336" w:rsidRPr="00BA5B65" w14:paraId="54146499" w14:textId="77777777" w:rsidTr="007E61B0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06930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136E" w14:textId="77777777" w:rsidR="004B4336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63742" w14:textId="25CA850C" w:rsidR="004B4336" w:rsidRPr="00BA5B65" w:rsidRDefault="00867DDD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1.166</w:t>
            </w:r>
            <w:r w:rsidR="004B43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1.031</w:t>
            </w:r>
            <w:r w:rsidR="004B43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4B433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4B43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329</w:t>
            </w:r>
            <w:r w:rsidR="004B43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9FB7" w14:textId="1523D059" w:rsidR="004B4336" w:rsidRPr="00BA5B65" w:rsidRDefault="00867DDD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1.209</w:t>
            </w:r>
            <w:r w:rsidR="00AD663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1.067</w:t>
            </w:r>
            <w:r w:rsidR="00AD663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AD663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AD663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378</w:t>
            </w:r>
            <w:r w:rsidR="00AD663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606EC" w14:textId="66ABC54F" w:rsidR="004B4336" w:rsidRPr="00BA5B65" w:rsidRDefault="00867DDD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1.282</w:t>
            </w:r>
            <w:r w:rsidR="007C20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1.130</w:t>
            </w:r>
            <w:r w:rsidR="007C20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7C2036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7C20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458</w:t>
            </w:r>
            <w:r w:rsidR="007C203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4B4336" w:rsidRPr="00BA5B65" w14:paraId="0BF00B7D" w14:textId="77777777" w:rsidTr="007E61B0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2BC2" w14:textId="77777777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73B6" w14:textId="77777777" w:rsidR="004B4336" w:rsidRDefault="004B4336" w:rsidP="004B4336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FCD5" w14:textId="0798F1F3" w:rsidR="004B4336" w:rsidRPr="00BA5B65" w:rsidRDefault="004B4336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108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-0.043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252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E70FC" w14:textId="5D7C5690" w:rsidR="004B4336" w:rsidRPr="00BA5B65" w:rsidRDefault="00105D2C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020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9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867DD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16C2E" w14:textId="4D9EB0C0" w:rsidR="004B4336" w:rsidRPr="00BA5B65" w:rsidRDefault="00867DDD" w:rsidP="004B4336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</w:t>
            </w:r>
            <w:r w:rsidR="00105D2C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004</w:t>
            </w:r>
            <w:r w:rsidR="00105D2C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(-0.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145</w:t>
            </w:r>
            <w:r w:rsidR="00105D2C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105D2C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105D2C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148</w:t>
            </w:r>
            <w:r w:rsidR="00105D2C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4B4336" w:rsidRPr="00BA5B65" w14:paraId="3FF3E1B9" w14:textId="77777777" w:rsidTr="004639D4">
        <w:trPr>
          <w:trHeight w:val="934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5DB" w14:textId="3CC79D1B" w:rsidR="00207379" w:rsidRDefault="00207379" w:rsidP="004639D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The AJOU dataset was randomly split into training and test sets in a 1:4 ratio, while preserving a similar event-to-patient distribution between the two subsets. After internal validation, the final models were refitted on the entire AJOU dataset and then externally validated on the CENTER dataset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All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performance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C914F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were 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estimated using 1,000 bootstrap resamples.</w:t>
            </w:r>
          </w:p>
          <w:p w14:paraId="35BA1CE9" w14:textId="696039B5" w:rsidR="004B4336" w:rsidRPr="00BA5B65" w:rsidRDefault="004639D4" w:rsidP="004639D4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Info. = Information; AUROC =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Area Under the Receiver Operating Characteristic curve</w:t>
            </w:r>
          </w:p>
        </w:tc>
      </w:tr>
    </w:tbl>
    <w:p w14:paraId="12F567AC" w14:textId="77777777" w:rsidR="00674EC0" w:rsidRDefault="00674EC0" w:rsidP="00674EC0">
      <w:pPr>
        <w:widowControl/>
        <w:wordWrap/>
        <w:autoSpaceDE/>
        <w:autoSpaceDN/>
      </w:pPr>
      <w:r>
        <w:br w:type="page"/>
      </w:r>
    </w:p>
    <w:p w14:paraId="172CB85B" w14:textId="55D403C4" w:rsidR="00674EC0" w:rsidRPr="00BA5B65" w:rsidRDefault="00674EC0" w:rsidP="00674E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6. </w:t>
      </w:r>
      <w:r>
        <w:rPr>
          <w:rFonts w:ascii="Times New Roman" w:hAnsi="Times New Roman" w:cs="Times New Roman"/>
        </w:rPr>
        <w:t>Performance of AJOU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 xml:space="preserve">Adapted models for </w:t>
      </w:r>
      <w:r>
        <w:rPr>
          <w:rFonts w:ascii="Times New Roman" w:hAnsi="Times New Roman" w:cs="Times New Roman" w:hint="eastAsia"/>
        </w:rPr>
        <w:t>12-month unfavorable outcome</w:t>
      </w:r>
      <w:r>
        <w:rPr>
          <w:rFonts w:ascii="Times New Roman" w:hAnsi="Times New Roman" w:cs="Times New Roman"/>
        </w:rPr>
        <w:t xml:space="preserve"> on internal AJOU (train/test split) and external CENTER datasets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127"/>
        <w:gridCol w:w="1984"/>
        <w:gridCol w:w="1985"/>
      </w:tblGrid>
      <w:tr w:rsidR="00674EC0" w:rsidRPr="00BA5B65" w14:paraId="2D1AF95E" w14:textId="77777777" w:rsidTr="007E6B4B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4623" w14:textId="77777777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486B4" w14:textId="77777777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8701" w14:textId="67F513F1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-Clinical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DC26" w14:textId="11BB6ED4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56CC7" w14:textId="47F9C988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Adapted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-Full</w:t>
            </w:r>
          </w:p>
        </w:tc>
      </w:tr>
      <w:tr w:rsidR="00674EC0" w:rsidRPr="00BA5B65" w14:paraId="39AA474C" w14:textId="77777777" w:rsidTr="007E6B4B">
        <w:trPr>
          <w:trHeight w:val="4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5446" w14:textId="77777777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Model Info.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0C6D" w14:textId="77777777" w:rsidR="00674EC0" w:rsidRPr="00BA5B65" w:rsidRDefault="00674EC0" w:rsidP="002543D3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No. of variables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62FA" w14:textId="41738FB8" w:rsidR="00674EC0" w:rsidRPr="00BA5B65" w:rsidRDefault="00AF716E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5DF33" w14:textId="6BE4F67E" w:rsidR="00674EC0" w:rsidRPr="00BA5B65" w:rsidRDefault="00AF716E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5ADA" w14:textId="622A1E73" w:rsidR="00674EC0" w:rsidRPr="00BA5B65" w:rsidRDefault="00105D2C" w:rsidP="002543D3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14</w:t>
            </w:r>
          </w:p>
        </w:tc>
      </w:tr>
      <w:tr w:rsidR="00A1167E" w:rsidRPr="00BA5B65" w14:paraId="541B49FA" w14:textId="77777777" w:rsidTr="007E6B4B">
        <w:trPr>
          <w:trHeight w:val="4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F557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9F66C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Regularization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9C0C" w14:textId="1702788B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=0.1,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λ=0.042)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25A4B" w14:textId="508C030B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=0.4,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λ=0.035)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B24F" w14:textId="20131B2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=0.1, 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λ=0.054)</w:t>
            </w:r>
          </w:p>
        </w:tc>
      </w:tr>
      <w:tr w:rsidR="00A1167E" w:rsidRPr="00BA5B65" w14:paraId="197CD2D1" w14:textId="77777777" w:rsidTr="002543D3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EE63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1B64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 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937D" w14:textId="22C87115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576 / 1462 (39.4%)</w:t>
            </w:r>
          </w:p>
        </w:tc>
      </w:tr>
      <w:tr w:rsidR="00A1167E" w:rsidRPr="00BA5B65" w14:paraId="63689514" w14:textId="77777777" w:rsidTr="007E6B4B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5C70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1D96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6E8B8" w14:textId="035EBAC6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0.888 (0.871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0.906)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C3E6" w14:textId="64E922F8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0.902 (0.885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0.918)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F4FF" w14:textId="7CD93FD3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0.923 (0.908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0.937)</w:t>
            </w:r>
          </w:p>
        </w:tc>
      </w:tr>
      <w:tr w:rsidR="00A1167E" w:rsidRPr="00BA5B65" w14:paraId="7C1B4770" w14:textId="77777777" w:rsidTr="007E6B4B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142E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027A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CD07" w14:textId="166ECAAC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0.130 (0.120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C3CB1" w14:textId="1C655194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0.120 (0.110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0.129)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12026" w14:textId="3D15C3F0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0.105 (0.096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0.114)</w:t>
            </w:r>
          </w:p>
        </w:tc>
      </w:tr>
      <w:tr w:rsidR="00A1167E" w:rsidRPr="00BA5B65" w14:paraId="59B605A0" w14:textId="77777777" w:rsidTr="007E6B4B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9AC9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D7AD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ECB3" w14:textId="67C57334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1.393 (1.255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1.531)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97BC0" w14:textId="59B25792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1.381 (1.246 -1.515)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D3DBB" w14:textId="75574128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1.430 (1.289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1.571)</w:t>
            </w:r>
          </w:p>
        </w:tc>
      </w:tr>
      <w:tr w:rsidR="00A1167E" w:rsidRPr="00BA5B65" w14:paraId="57BE10E0" w14:textId="77777777" w:rsidTr="007E6B4B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AB09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83EEC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Calibration intercept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EEF3" w14:textId="6E7B329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(-0.129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0.129)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CD00" w14:textId="1D742011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(-0.133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41FA" w14:textId="7EA6FEE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 (-0.138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0.138)</w:t>
            </w:r>
          </w:p>
        </w:tc>
      </w:tr>
      <w:tr w:rsidR="00A1167E" w:rsidRPr="00BA5B65" w14:paraId="76F6C3DB" w14:textId="77777777" w:rsidTr="002543D3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A415C" w14:textId="77777777" w:rsidR="00A1167E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Test</w:t>
            </w:r>
          </w:p>
          <w:p w14:paraId="05CA340D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9118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0C4D" w14:textId="0C503DB0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144 / 365 (39.5%)</w:t>
            </w:r>
          </w:p>
        </w:tc>
      </w:tr>
      <w:tr w:rsidR="00A1167E" w:rsidRPr="00BA5B65" w14:paraId="26875BD8" w14:textId="77777777" w:rsidTr="007E6B4B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993F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0D48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265AF" w14:textId="27BC8D70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0.912 (0.881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0.943)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3E54E" w14:textId="74DE7BD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0.924 (0.896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0.952)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CF8F" w14:textId="71294128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0.927 (0.896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0.956)</w:t>
            </w:r>
          </w:p>
        </w:tc>
      </w:tr>
      <w:tr w:rsidR="00A1167E" w:rsidRPr="00BA5B65" w14:paraId="354A262F" w14:textId="77777777" w:rsidTr="007E6B4B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E78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842A2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0DCD" w14:textId="1F5116B0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0.115 (0.097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0.134)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B6038" w14:textId="7DF0EB5F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0.106 (0.088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0.124)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09A6" w14:textId="44209A59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0.098 (0.079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0.117)</w:t>
            </w:r>
          </w:p>
        </w:tc>
      </w:tr>
      <w:tr w:rsidR="00A1167E" w:rsidRPr="00BA5B65" w14:paraId="0D6D737B" w14:textId="77777777" w:rsidTr="007E6B4B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9CBB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B2F6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591D" w14:textId="6DF3A5A6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1.453 (1.168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1.738)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18DE4" w14:textId="309707F9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1.493 (1.205 -1.780)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5473" w14:textId="02B5F67F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1.369 (1.103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1.635)</w:t>
            </w:r>
          </w:p>
        </w:tc>
      </w:tr>
      <w:tr w:rsidR="00A1167E" w:rsidRPr="00BA5B65" w14:paraId="072B5A0F" w14:textId="77777777" w:rsidTr="007E6B4B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F5E6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4595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347B" w14:textId="5D991062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-0.028 (-0.294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0.239)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113DF" w14:textId="17A9C186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0.028 (-0.245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0.301)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42CE6" w14:textId="5ED9A4D0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0.086 (-0.202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0.374)</w:t>
            </w:r>
          </w:p>
        </w:tc>
      </w:tr>
      <w:tr w:rsidR="00A1167E" w:rsidRPr="00BA5B65" w14:paraId="1E204E98" w14:textId="77777777" w:rsidTr="002543D3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2AB782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CENTER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EC9B2" w14:textId="77777777" w:rsidR="00A1167E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98D8" w14:textId="569014B0" w:rsidR="00A1167E" w:rsidRPr="00BA5B65" w:rsidRDefault="00A92BD3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312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/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985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31.7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%)</w:t>
            </w:r>
          </w:p>
        </w:tc>
      </w:tr>
      <w:tr w:rsidR="00A1167E" w:rsidRPr="00BA5B65" w14:paraId="4BF81AA0" w14:textId="77777777" w:rsidTr="007E6B4B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3D292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2021A" w14:textId="77777777" w:rsidR="00A1167E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7A232" w14:textId="048C044B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834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806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30A7" w14:textId="7737F872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827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645D" w14:textId="28E3D619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828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0.8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A1167E" w:rsidRPr="00BA5B65" w14:paraId="5801E6D7" w14:textId="77777777" w:rsidTr="007E6B4B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259F9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63E0" w14:textId="77777777" w:rsidR="00A1167E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479E" w14:textId="69D59A69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166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E378F" w14:textId="416C70F3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66DDF" w14:textId="1AFCD37F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</w:t>
            </w:r>
            <w:r w:rsidR="00A92BD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(0.1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0.1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A1167E" w:rsidRPr="00BA5B65" w14:paraId="743EE537" w14:textId="77777777" w:rsidTr="007E6B4B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1B659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51EB" w14:textId="77777777" w:rsidR="00A1167E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7931" w14:textId="0DE2461D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 (0.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865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1.1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217F4" w14:textId="5718E29D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975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862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104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CC99" w14:textId="17442260" w:rsidR="00A1167E" w:rsidRPr="00BA5B65" w:rsidRDefault="00D427C9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1.097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966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A1167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1.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260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A1167E" w:rsidRPr="00BA5B65" w14:paraId="6D0EB03C" w14:textId="77777777" w:rsidTr="007E6B4B">
        <w:trPr>
          <w:trHeight w:val="468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4CE" w14:textId="77777777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9C633" w14:textId="77777777" w:rsidR="00A1167E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55152" w14:textId="08EEADE5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019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-0.140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181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7283" w14:textId="3B194621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176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(-0.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339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 w:rsidR="00D427C9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006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B625" w14:textId="6C57DBBF" w:rsidR="00A1167E" w:rsidRPr="00BA5B65" w:rsidRDefault="00D427C9" w:rsidP="00A1167E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-0.251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(-0.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410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="00A1167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–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100</w:t>
            </w:r>
            <w:r w:rsidR="00A1167E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A1167E" w:rsidRPr="00BA5B65" w14:paraId="6366F14D" w14:textId="77777777" w:rsidTr="004639D4">
        <w:trPr>
          <w:trHeight w:val="934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B696" w14:textId="4F101FC7" w:rsidR="00207379" w:rsidRDefault="00207379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The AJOU dataset was randomly split into training and test sets in a 1:4 ratio, while preserving a similar event-to-patient distribution between the two subsets. After internal validation, the final models were refitted on the entire AJOU dataset and then externally validated on the CENTER dataset</w:t>
            </w:r>
            <w:r w:rsidR="00FD4F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 All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performance</w:t>
            </w:r>
            <w:r w:rsidR="00FD4F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s were</w:t>
            </w:r>
            <w:r w:rsidRPr="00207379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estimated using 1,000 bootstrap resamples.</w:t>
            </w:r>
          </w:p>
          <w:p w14:paraId="28586D54" w14:textId="518519F5" w:rsidR="00A1167E" w:rsidRPr="00BA5B65" w:rsidRDefault="00A1167E" w:rsidP="00A1167E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Info. = Information; AUROC =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Area Under the Receiver Operating Characteristic curve</w:t>
            </w:r>
          </w:p>
        </w:tc>
      </w:tr>
    </w:tbl>
    <w:p w14:paraId="3B6F74AF" w14:textId="77777777" w:rsidR="005D7724" w:rsidRDefault="005D7724">
      <w:pPr>
        <w:widowControl/>
        <w:wordWrap/>
        <w:autoSpaceDE/>
        <w:autoSpaceDN/>
      </w:pPr>
      <w:r>
        <w:br w:type="page"/>
      </w:r>
    </w:p>
    <w:p w14:paraId="07286EEF" w14:textId="1B498215" w:rsidR="005D7724" w:rsidRDefault="005D7724" w:rsidP="004448FC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7. </w:t>
      </w:r>
      <w:r w:rsidR="008D02FE" w:rsidRPr="008D02FE">
        <w:rPr>
          <w:rFonts w:ascii="Times New Roman" w:hAnsi="Times New Roman" w:cs="Times New Roman"/>
        </w:rPr>
        <w:t>Performance Comparison of AJOU-Adapted and IMPACT Models in the External CENTER Dataset</w:t>
      </w:r>
    </w:p>
    <w:tbl>
      <w:tblPr>
        <w:tblStyle w:val="ac"/>
        <w:tblW w:w="8973" w:type="dxa"/>
        <w:tblLook w:val="04A0" w:firstRow="1" w:lastRow="0" w:firstColumn="1" w:lastColumn="0" w:noHBand="0" w:noVBand="1"/>
      </w:tblPr>
      <w:tblGrid>
        <w:gridCol w:w="988"/>
        <w:gridCol w:w="1547"/>
        <w:gridCol w:w="1146"/>
        <w:gridCol w:w="1134"/>
        <w:gridCol w:w="1134"/>
        <w:gridCol w:w="1417"/>
        <w:gridCol w:w="1607"/>
      </w:tblGrid>
      <w:tr w:rsidR="00555E04" w14:paraId="2AFF841E" w14:textId="77777777" w:rsidTr="00555E04">
        <w:trPr>
          <w:trHeight w:val="439"/>
        </w:trPr>
        <w:tc>
          <w:tcPr>
            <w:tcW w:w="988" w:type="dxa"/>
            <w:vAlign w:val="center"/>
          </w:tcPr>
          <w:p w14:paraId="708F2090" w14:textId="3D8B2D05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Outcome</w:t>
            </w:r>
          </w:p>
        </w:tc>
        <w:tc>
          <w:tcPr>
            <w:tcW w:w="1547" w:type="dxa"/>
            <w:vAlign w:val="center"/>
          </w:tcPr>
          <w:p w14:paraId="2359DB0C" w14:textId="3F3BCD3F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Models</w:t>
            </w:r>
          </w:p>
        </w:tc>
        <w:tc>
          <w:tcPr>
            <w:tcW w:w="1146" w:type="dxa"/>
            <w:vAlign w:val="center"/>
          </w:tcPr>
          <w:p w14:paraId="4B2021A1" w14:textId="72134143" w:rsidR="005D7724" w:rsidRPr="005D7724" w:rsidRDefault="005D7724" w:rsidP="005D772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n. of variables</w:t>
            </w:r>
          </w:p>
        </w:tc>
        <w:tc>
          <w:tcPr>
            <w:tcW w:w="1134" w:type="dxa"/>
            <w:vAlign w:val="center"/>
          </w:tcPr>
          <w:p w14:paraId="49351DAC" w14:textId="74092386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AUROC</w:t>
            </w:r>
          </w:p>
        </w:tc>
        <w:tc>
          <w:tcPr>
            <w:tcW w:w="1134" w:type="dxa"/>
            <w:vAlign w:val="center"/>
          </w:tcPr>
          <w:p w14:paraId="15C036D0" w14:textId="0289024A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Brier score</w:t>
            </w:r>
          </w:p>
        </w:tc>
        <w:tc>
          <w:tcPr>
            <w:tcW w:w="1417" w:type="dxa"/>
            <w:vAlign w:val="center"/>
          </w:tcPr>
          <w:p w14:paraId="0A038F8D" w14:textId="7A128036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Calibration slope</w:t>
            </w:r>
          </w:p>
        </w:tc>
        <w:tc>
          <w:tcPr>
            <w:tcW w:w="1607" w:type="dxa"/>
            <w:vAlign w:val="center"/>
          </w:tcPr>
          <w:p w14:paraId="45A6BA5C" w14:textId="63294D16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Calibration intercept</w:t>
            </w:r>
          </w:p>
        </w:tc>
      </w:tr>
      <w:tr w:rsidR="00555E04" w14:paraId="5E917D0F" w14:textId="77777777" w:rsidTr="00555E04">
        <w:trPr>
          <w:trHeight w:val="674"/>
        </w:trPr>
        <w:tc>
          <w:tcPr>
            <w:tcW w:w="988" w:type="dxa"/>
            <w:vMerge w:val="restart"/>
            <w:vAlign w:val="center"/>
          </w:tcPr>
          <w:p w14:paraId="7F950C91" w14:textId="78B0E5C8" w:rsidR="005D7724" w:rsidRPr="005D7724" w:rsidRDefault="005D7724" w:rsidP="005D772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14 day mortality</w:t>
            </w:r>
          </w:p>
        </w:tc>
        <w:tc>
          <w:tcPr>
            <w:tcW w:w="1547" w:type="dxa"/>
            <w:vAlign w:val="center"/>
          </w:tcPr>
          <w:p w14:paraId="277C3104" w14:textId="3DE11951" w:rsidR="005D7724" w:rsidRPr="005D7724" w:rsidRDefault="005D7724" w:rsidP="005D772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AJOU-Adapted-Clinical</w:t>
            </w:r>
          </w:p>
        </w:tc>
        <w:tc>
          <w:tcPr>
            <w:tcW w:w="1146" w:type="dxa"/>
            <w:vAlign w:val="center"/>
          </w:tcPr>
          <w:p w14:paraId="468BF696" w14:textId="1F4AEC4A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6271302E" w14:textId="6B922CCE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0.859</w:t>
            </w:r>
          </w:p>
        </w:tc>
        <w:tc>
          <w:tcPr>
            <w:tcW w:w="1134" w:type="dxa"/>
            <w:vAlign w:val="center"/>
          </w:tcPr>
          <w:p w14:paraId="2B524AB9" w14:textId="6E21289E" w:rsidR="005D7724" w:rsidRPr="005D7724" w:rsidRDefault="005D772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0.080</w:t>
            </w:r>
          </w:p>
        </w:tc>
        <w:tc>
          <w:tcPr>
            <w:tcW w:w="1417" w:type="dxa"/>
            <w:vAlign w:val="center"/>
          </w:tcPr>
          <w:p w14:paraId="0F097845" w14:textId="690035CB" w:rsidR="005D772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1.145</w:t>
            </w:r>
          </w:p>
        </w:tc>
        <w:tc>
          <w:tcPr>
            <w:tcW w:w="1607" w:type="dxa"/>
            <w:vAlign w:val="center"/>
          </w:tcPr>
          <w:p w14:paraId="7957B978" w14:textId="0FB56A93" w:rsidR="005D772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0.320</w:t>
            </w:r>
          </w:p>
        </w:tc>
      </w:tr>
      <w:tr w:rsidR="00555E04" w14:paraId="63BC6B20" w14:textId="77777777" w:rsidTr="00555E04">
        <w:trPr>
          <w:trHeight w:val="674"/>
        </w:trPr>
        <w:tc>
          <w:tcPr>
            <w:tcW w:w="988" w:type="dxa"/>
            <w:vMerge/>
            <w:vAlign w:val="center"/>
          </w:tcPr>
          <w:p w14:paraId="4830A8B9" w14:textId="77777777" w:rsidR="005D7724" w:rsidRPr="005D7724" w:rsidRDefault="005D7724" w:rsidP="005D772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0E778716" w14:textId="14101635" w:rsidR="005D7724" w:rsidRPr="005D7724" w:rsidRDefault="005D7724" w:rsidP="005D772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AJOU-Adapted-CT</w:t>
            </w:r>
          </w:p>
        </w:tc>
        <w:tc>
          <w:tcPr>
            <w:tcW w:w="1146" w:type="dxa"/>
            <w:vAlign w:val="center"/>
          </w:tcPr>
          <w:p w14:paraId="787EB1D3" w14:textId="185793B3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14:paraId="1A861A48" w14:textId="4B753090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0.854</w:t>
            </w:r>
          </w:p>
        </w:tc>
        <w:tc>
          <w:tcPr>
            <w:tcW w:w="1134" w:type="dxa"/>
            <w:vAlign w:val="center"/>
          </w:tcPr>
          <w:p w14:paraId="25AAF3FB" w14:textId="4511D857" w:rsidR="005D7724" w:rsidRPr="005D7724" w:rsidRDefault="005D772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0.080</w:t>
            </w:r>
          </w:p>
        </w:tc>
        <w:tc>
          <w:tcPr>
            <w:tcW w:w="1417" w:type="dxa"/>
            <w:vAlign w:val="center"/>
          </w:tcPr>
          <w:p w14:paraId="2A5EA406" w14:textId="0EE84E50" w:rsidR="005D772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1.151</w:t>
            </w:r>
          </w:p>
        </w:tc>
        <w:tc>
          <w:tcPr>
            <w:tcW w:w="1607" w:type="dxa"/>
            <w:vAlign w:val="center"/>
          </w:tcPr>
          <w:p w14:paraId="0BC74ABB" w14:textId="7DB93C1B" w:rsidR="005D772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0.274</w:t>
            </w:r>
          </w:p>
        </w:tc>
      </w:tr>
      <w:tr w:rsidR="00555E04" w14:paraId="50266089" w14:textId="77777777" w:rsidTr="00555E04">
        <w:trPr>
          <w:trHeight w:val="674"/>
        </w:trPr>
        <w:tc>
          <w:tcPr>
            <w:tcW w:w="988" w:type="dxa"/>
            <w:vMerge/>
            <w:vAlign w:val="center"/>
          </w:tcPr>
          <w:p w14:paraId="72AE77F3" w14:textId="77777777" w:rsidR="005D7724" w:rsidRPr="005D7724" w:rsidRDefault="005D7724" w:rsidP="005D772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4E6689C9" w14:textId="0DC5A743" w:rsidR="005D7724" w:rsidRPr="005D7724" w:rsidRDefault="005D7724" w:rsidP="005D772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AJOU-Adapted-Full</w:t>
            </w:r>
          </w:p>
        </w:tc>
        <w:tc>
          <w:tcPr>
            <w:tcW w:w="1146" w:type="dxa"/>
            <w:vAlign w:val="center"/>
          </w:tcPr>
          <w:p w14:paraId="498D80CF" w14:textId="485897A5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14</w:t>
            </w:r>
          </w:p>
        </w:tc>
        <w:tc>
          <w:tcPr>
            <w:tcW w:w="1134" w:type="dxa"/>
            <w:vAlign w:val="center"/>
          </w:tcPr>
          <w:p w14:paraId="4EC0B1B8" w14:textId="589E3FD2" w:rsidR="005D7724" w:rsidRPr="005D7724" w:rsidRDefault="005D7724" w:rsidP="005D772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0.853</w:t>
            </w:r>
          </w:p>
        </w:tc>
        <w:tc>
          <w:tcPr>
            <w:tcW w:w="1134" w:type="dxa"/>
            <w:vAlign w:val="center"/>
          </w:tcPr>
          <w:p w14:paraId="516EC78B" w14:textId="178597B3" w:rsidR="005D7724" w:rsidRPr="005D7724" w:rsidRDefault="005D772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0.082</w:t>
            </w:r>
          </w:p>
        </w:tc>
        <w:tc>
          <w:tcPr>
            <w:tcW w:w="1417" w:type="dxa"/>
            <w:vAlign w:val="center"/>
          </w:tcPr>
          <w:p w14:paraId="21EA0853" w14:textId="2CB01565" w:rsidR="005D772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0.978</w:t>
            </w:r>
          </w:p>
        </w:tc>
        <w:tc>
          <w:tcPr>
            <w:tcW w:w="1607" w:type="dxa"/>
            <w:vAlign w:val="center"/>
          </w:tcPr>
          <w:p w14:paraId="2A4E100D" w14:textId="6924EC8C" w:rsidR="005D772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0.610</w:t>
            </w:r>
          </w:p>
        </w:tc>
      </w:tr>
      <w:tr w:rsidR="00555E04" w14:paraId="713515B6" w14:textId="77777777" w:rsidTr="00555E04">
        <w:trPr>
          <w:trHeight w:val="439"/>
        </w:trPr>
        <w:tc>
          <w:tcPr>
            <w:tcW w:w="988" w:type="dxa"/>
            <w:vMerge/>
            <w:vAlign w:val="center"/>
          </w:tcPr>
          <w:p w14:paraId="70A5B3E2" w14:textId="7777777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6B524427" w14:textId="2A3C917A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IMPACT-core</w:t>
            </w:r>
          </w:p>
        </w:tc>
        <w:tc>
          <w:tcPr>
            <w:tcW w:w="1146" w:type="dxa"/>
            <w:vAlign w:val="center"/>
          </w:tcPr>
          <w:p w14:paraId="32870D44" w14:textId="09BE7F91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4E0D8AF2" w14:textId="62F244AD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0.854</w:t>
            </w:r>
          </w:p>
        </w:tc>
        <w:tc>
          <w:tcPr>
            <w:tcW w:w="1134" w:type="dxa"/>
            <w:vAlign w:val="center"/>
          </w:tcPr>
          <w:p w14:paraId="78984CA3" w14:textId="45121EF8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0.105</w:t>
            </w:r>
          </w:p>
        </w:tc>
        <w:tc>
          <w:tcPr>
            <w:tcW w:w="1417" w:type="dxa"/>
            <w:vAlign w:val="center"/>
          </w:tcPr>
          <w:p w14:paraId="05C10A8C" w14:textId="79431D71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1.348</w:t>
            </w:r>
          </w:p>
        </w:tc>
        <w:tc>
          <w:tcPr>
            <w:tcW w:w="1607" w:type="dxa"/>
            <w:vAlign w:val="center"/>
          </w:tcPr>
          <w:p w14:paraId="59BE3DC0" w14:textId="00B81E8F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-1.247</w:t>
            </w:r>
          </w:p>
        </w:tc>
      </w:tr>
      <w:tr w:rsidR="00555E04" w14:paraId="3262AE54" w14:textId="77777777" w:rsidTr="00555E04">
        <w:trPr>
          <w:trHeight w:val="454"/>
        </w:trPr>
        <w:tc>
          <w:tcPr>
            <w:tcW w:w="988" w:type="dxa"/>
            <w:vMerge/>
            <w:vAlign w:val="center"/>
          </w:tcPr>
          <w:p w14:paraId="426DE904" w14:textId="7777777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1C8EEA8B" w14:textId="1FF2D8A5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IMPACT-extended</w:t>
            </w:r>
          </w:p>
        </w:tc>
        <w:tc>
          <w:tcPr>
            <w:tcW w:w="1146" w:type="dxa"/>
            <w:vAlign w:val="center"/>
          </w:tcPr>
          <w:p w14:paraId="70036FA9" w14:textId="6C30A35B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31C8A10D" w14:textId="034195D1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0.880</w:t>
            </w:r>
          </w:p>
        </w:tc>
        <w:tc>
          <w:tcPr>
            <w:tcW w:w="1134" w:type="dxa"/>
            <w:vAlign w:val="center"/>
          </w:tcPr>
          <w:p w14:paraId="78D73F4B" w14:textId="102485C7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0.104</w:t>
            </w:r>
          </w:p>
        </w:tc>
        <w:tc>
          <w:tcPr>
            <w:tcW w:w="1417" w:type="dxa"/>
            <w:vAlign w:val="center"/>
          </w:tcPr>
          <w:p w14:paraId="74A41CB3" w14:textId="7EC8BFC4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1.273</w:t>
            </w:r>
          </w:p>
        </w:tc>
        <w:tc>
          <w:tcPr>
            <w:tcW w:w="1607" w:type="dxa"/>
            <w:vAlign w:val="center"/>
          </w:tcPr>
          <w:p w14:paraId="56EDF3FD" w14:textId="3278FB10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-1.354</w:t>
            </w:r>
          </w:p>
        </w:tc>
      </w:tr>
      <w:tr w:rsidR="00555E04" w14:paraId="76669FE5" w14:textId="77777777" w:rsidTr="00555E04">
        <w:trPr>
          <w:trHeight w:val="439"/>
        </w:trPr>
        <w:tc>
          <w:tcPr>
            <w:tcW w:w="988" w:type="dxa"/>
            <w:vMerge/>
            <w:vAlign w:val="center"/>
          </w:tcPr>
          <w:p w14:paraId="0F8687A4" w14:textId="7777777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0EC68D2F" w14:textId="0D91055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IMPACT-lab</w:t>
            </w:r>
          </w:p>
        </w:tc>
        <w:tc>
          <w:tcPr>
            <w:tcW w:w="1146" w:type="dxa"/>
            <w:vAlign w:val="center"/>
          </w:tcPr>
          <w:p w14:paraId="7149EF65" w14:textId="5F0FD300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222EE2E" w14:textId="061D14CC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0.888</w:t>
            </w:r>
          </w:p>
        </w:tc>
        <w:tc>
          <w:tcPr>
            <w:tcW w:w="1134" w:type="dxa"/>
            <w:vAlign w:val="center"/>
          </w:tcPr>
          <w:p w14:paraId="41185E0F" w14:textId="0554B3B0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0.090</w:t>
            </w:r>
          </w:p>
        </w:tc>
        <w:tc>
          <w:tcPr>
            <w:tcW w:w="1417" w:type="dxa"/>
            <w:vAlign w:val="center"/>
          </w:tcPr>
          <w:p w14:paraId="5EDD4F52" w14:textId="78EE2F0E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1.380</w:t>
            </w:r>
          </w:p>
        </w:tc>
        <w:tc>
          <w:tcPr>
            <w:tcW w:w="1607" w:type="dxa"/>
            <w:vAlign w:val="center"/>
          </w:tcPr>
          <w:p w14:paraId="6B38EFE0" w14:textId="6644679C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-1.075</w:t>
            </w:r>
          </w:p>
        </w:tc>
      </w:tr>
      <w:tr w:rsidR="00555E04" w14:paraId="142970C7" w14:textId="77777777" w:rsidTr="00555E04">
        <w:trPr>
          <w:trHeight w:val="439"/>
        </w:trPr>
        <w:tc>
          <w:tcPr>
            <w:tcW w:w="988" w:type="dxa"/>
            <w:vMerge w:val="restart"/>
            <w:vAlign w:val="center"/>
          </w:tcPr>
          <w:p w14:paraId="1115B3B8" w14:textId="37D413BF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6 month unfavorable outcome</w:t>
            </w:r>
          </w:p>
        </w:tc>
        <w:tc>
          <w:tcPr>
            <w:tcW w:w="1547" w:type="dxa"/>
            <w:vAlign w:val="center"/>
          </w:tcPr>
          <w:p w14:paraId="089C4B26" w14:textId="2C15478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AJOU-Adapted-Clinical</w:t>
            </w:r>
          </w:p>
        </w:tc>
        <w:tc>
          <w:tcPr>
            <w:tcW w:w="1146" w:type="dxa"/>
            <w:vAlign w:val="center"/>
          </w:tcPr>
          <w:p w14:paraId="6EFBB835" w14:textId="54AD271C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14:paraId="49D6CD6D" w14:textId="75060B8E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0.852</w:t>
            </w:r>
          </w:p>
        </w:tc>
        <w:tc>
          <w:tcPr>
            <w:tcW w:w="1134" w:type="dxa"/>
            <w:vAlign w:val="center"/>
          </w:tcPr>
          <w:p w14:paraId="5093B852" w14:textId="4F86BCDB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0.149</w:t>
            </w:r>
          </w:p>
        </w:tc>
        <w:tc>
          <w:tcPr>
            <w:tcW w:w="1417" w:type="dxa"/>
            <w:vAlign w:val="center"/>
          </w:tcPr>
          <w:p w14:paraId="4E1306F1" w14:textId="7F042DBB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1.166</w:t>
            </w:r>
          </w:p>
        </w:tc>
        <w:tc>
          <w:tcPr>
            <w:tcW w:w="1607" w:type="dxa"/>
            <w:vAlign w:val="center"/>
          </w:tcPr>
          <w:p w14:paraId="4AFE2DA2" w14:textId="28171B2A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0.108</w:t>
            </w:r>
          </w:p>
        </w:tc>
      </w:tr>
      <w:tr w:rsidR="00555E04" w14:paraId="2DA718F7" w14:textId="77777777" w:rsidTr="00555E04">
        <w:trPr>
          <w:trHeight w:val="439"/>
        </w:trPr>
        <w:tc>
          <w:tcPr>
            <w:tcW w:w="988" w:type="dxa"/>
            <w:vMerge/>
            <w:vAlign w:val="center"/>
          </w:tcPr>
          <w:p w14:paraId="739247EA" w14:textId="7777777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4DDDD2C5" w14:textId="4765BD91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AJOU-Adapted-CT</w:t>
            </w:r>
          </w:p>
        </w:tc>
        <w:tc>
          <w:tcPr>
            <w:tcW w:w="1146" w:type="dxa"/>
            <w:vAlign w:val="center"/>
          </w:tcPr>
          <w:p w14:paraId="51EBA5A9" w14:textId="6288E27A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12</w:t>
            </w:r>
          </w:p>
        </w:tc>
        <w:tc>
          <w:tcPr>
            <w:tcW w:w="1134" w:type="dxa"/>
            <w:vAlign w:val="center"/>
          </w:tcPr>
          <w:p w14:paraId="583F12EB" w14:textId="5BCF4523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0.866</w:t>
            </w:r>
          </w:p>
        </w:tc>
        <w:tc>
          <w:tcPr>
            <w:tcW w:w="1134" w:type="dxa"/>
            <w:vAlign w:val="center"/>
          </w:tcPr>
          <w:p w14:paraId="06C5A900" w14:textId="3D2CB9A5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0.140</w:t>
            </w:r>
          </w:p>
        </w:tc>
        <w:tc>
          <w:tcPr>
            <w:tcW w:w="1417" w:type="dxa"/>
            <w:vAlign w:val="center"/>
          </w:tcPr>
          <w:p w14:paraId="67F1207E" w14:textId="1AAC468E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1.209</w:t>
            </w:r>
          </w:p>
        </w:tc>
        <w:tc>
          <w:tcPr>
            <w:tcW w:w="1607" w:type="dxa"/>
            <w:vAlign w:val="center"/>
          </w:tcPr>
          <w:p w14:paraId="28786428" w14:textId="59A764A1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0.020</w:t>
            </w:r>
          </w:p>
        </w:tc>
      </w:tr>
      <w:tr w:rsidR="00555E04" w14:paraId="67E9A1A9" w14:textId="77777777" w:rsidTr="00555E04">
        <w:trPr>
          <w:trHeight w:val="439"/>
        </w:trPr>
        <w:tc>
          <w:tcPr>
            <w:tcW w:w="988" w:type="dxa"/>
            <w:vMerge/>
            <w:vAlign w:val="center"/>
          </w:tcPr>
          <w:p w14:paraId="054F7ED1" w14:textId="7777777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55C0D165" w14:textId="25262E02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AJOU-Adapted-Full</w:t>
            </w:r>
          </w:p>
        </w:tc>
        <w:tc>
          <w:tcPr>
            <w:tcW w:w="1146" w:type="dxa"/>
            <w:vAlign w:val="center"/>
          </w:tcPr>
          <w:p w14:paraId="612DF5BE" w14:textId="20291267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14:paraId="3B396300" w14:textId="58FE768C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0.866</w:t>
            </w:r>
          </w:p>
        </w:tc>
        <w:tc>
          <w:tcPr>
            <w:tcW w:w="1134" w:type="dxa"/>
            <w:vAlign w:val="center"/>
          </w:tcPr>
          <w:p w14:paraId="2397BCD6" w14:textId="21A5FF11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0.141</w:t>
            </w:r>
          </w:p>
        </w:tc>
        <w:tc>
          <w:tcPr>
            <w:tcW w:w="1417" w:type="dxa"/>
            <w:vAlign w:val="center"/>
          </w:tcPr>
          <w:p w14:paraId="0F341C50" w14:textId="00DA3D1C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1.282</w:t>
            </w:r>
          </w:p>
        </w:tc>
        <w:tc>
          <w:tcPr>
            <w:tcW w:w="1607" w:type="dxa"/>
            <w:vAlign w:val="center"/>
          </w:tcPr>
          <w:p w14:paraId="5D2ECFE0" w14:textId="60D12246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-0.004</w:t>
            </w:r>
          </w:p>
        </w:tc>
      </w:tr>
      <w:tr w:rsidR="00555E04" w14:paraId="2B0055AB" w14:textId="77777777" w:rsidTr="00555E04">
        <w:trPr>
          <w:trHeight w:val="439"/>
        </w:trPr>
        <w:tc>
          <w:tcPr>
            <w:tcW w:w="988" w:type="dxa"/>
            <w:vMerge/>
            <w:vAlign w:val="center"/>
          </w:tcPr>
          <w:p w14:paraId="7AF0EDFF" w14:textId="7777777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07E756E3" w14:textId="44BFBD65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IMPACT-core</w:t>
            </w:r>
          </w:p>
        </w:tc>
        <w:tc>
          <w:tcPr>
            <w:tcW w:w="1146" w:type="dxa"/>
            <w:vAlign w:val="center"/>
          </w:tcPr>
          <w:p w14:paraId="50FCF0B2" w14:textId="4A034B62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12AAB947" w14:textId="0187C65B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0.816</w:t>
            </w:r>
          </w:p>
        </w:tc>
        <w:tc>
          <w:tcPr>
            <w:tcW w:w="1134" w:type="dxa"/>
            <w:vAlign w:val="center"/>
          </w:tcPr>
          <w:p w14:paraId="3A929FC0" w14:textId="6742DFB7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0.176</w:t>
            </w:r>
          </w:p>
        </w:tc>
        <w:tc>
          <w:tcPr>
            <w:tcW w:w="1417" w:type="dxa"/>
            <w:vAlign w:val="center"/>
          </w:tcPr>
          <w:p w14:paraId="2607631E" w14:textId="1EC2111A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1.216</w:t>
            </w:r>
          </w:p>
        </w:tc>
        <w:tc>
          <w:tcPr>
            <w:tcW w:w="1607" w:type="dxa"/>
            <w:vAlign w:val="center"/>
          </w:tcPr>
          <w:p w14:paraId="04722BA0" w14:textId="618C8D0E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-0.632</w:t>
            </w:r>
          </w:p>
        </w:tc>
      </w:tr>
      <w:tr w:rsidR="00555E04" w14:paraId="1B282F6B" w14:textId="77777777" w:rsidTr="00555E04">
        <w:trPr>
          <w:trHeight w:val="439"/>
        </w:trPr>
        <w:tc>
          <w:tcPr>
            <w:tcW w:w="988" w:type="dxa"/>
            <w:vMerge/>
            <w:vAlign w:val="center"/>
          </w:tcPr>
          <w:p w14:paraId="23072B2A" w14:textId="7777777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650FC06C" w14:textId="0AD1AE2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IMPACT-extended</w:t>
            </w:r>
          </w:p>
        </w:tc>
        <w:tc>
          <w:tcPr>
            <w:tcW w:w="1146" w:type="dxa"/>
            <w:vAlign w:val="center"/>
          </w:tcPr>
          <w:p w14:paraId="2855EB18" w14:textId="7B6FBE3F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328B4DD" w14:textId="68067E32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0.850</w:t>
            </w:r>
          </w:p>
        </w:tc>
        <w:tc>
          <w:tcPr>
            <w:tcW w:w="1134" w:type="dxa"/>
            <w:vAlign w:val="center"/>
          </w:tcPr>
          <w:p w14:paraId="4BAF3E27" w14:textId="68CDF00E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0.155</w:t>
            </w:r>
          </w:p>
        </w:tc>
        <w:tc>
          <w:tcPr>
            <w:tcW w:w="1417" w:type="dxa"/>
            <w:vAlign w:val="center"/>
          </w:tcPr>
          <w:p w14:paraId="1CF03D08" w14:textId="5AA3DEEC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1.156</w:t>
            </w:r>
          </w:p>
        </w:tc>
        <w:tc>
          <w:tcPr>
            <w:tcW w:w="1607" w:type="dxa"/>
            <w:vAlign w:val="center"/>
          </w:tcPr>
          <w:p w14:paraId="476224BD" w14:textId="08EA2E3B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-0.551</w:t>
            </w:r>
          </w:p>
        </w:tc>
      </w:tr>
      <w:tr w:rsidR="00555E04" w14:paraId="66718BE6" w14:textId="77777777" w:rsidTr="00555E04">
        <w:trPr>
          <w:trHeight w:val="439"/>
        </w:trPr>
        <w:tc>
          <w:tcPr>
            <w:tcW w:w="988" w:type="dxa"/>
            <w:vMerge/>
            <w:vAlign w:val="center"/>
          </w:tcPr>
          <w:p w14:paraId="7AA3A504" w14:textId="77777777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547" w:type="dxa"/>
            <w:vAlign w:val="center"/>
          </w:tcPr>
          <w:p w14:paraId="72FE7C0B" w14:textId="2912B535" w:rsidR="00555E04" w:rsidRPr="005D7724" w:rsidRDefault="00555E04" w:rsidP="00555E04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5D7724">
              <w:rPr>
                <w:rFonts w:ascii="Times New Roman" w:hAnsi="Times New Roman" w:cs="Times New Roman" w:hint="eastAsia"/>
                <w:sz w:val="16"/>
                <w:szCs w:val="18"/>
              </w:rPr>
              <w:t>IMPACT-lab</w:t>
            </w:r>
          </w:p>
        </w:tc>
        <w:tc>
          <w:tcPr>
            <w:tcW w:w="1146" w:type="dxa"/>
            <w:vAlign w:val="center"/>
          </w:tcPr>
          <w:p w14:paraId="27E999EC" w14:textId="737B199D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7C2CA2D" w14:textId="682E562F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0.855</w:t>
            </w:r>
          </w:p>
        </w:tc>
        <w:tc>
          <w:tcPr>
            <w:tcW w:w="1134" w:type="dxa"/>
            <w:vAlign w:val="center"/>
          </w:tcPr>
          <w:p w14:paraId="16D2F937" w14:textId="64C65252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0.147</w:t>
            </w:r>
          </w:p>
        </w:tc>
        <w:tc>
          <w:tcPr>
            <w:tcW w:w="1417" w:type="dxa"/>
            <w:vAlign w:val="center"/>
          </w:tcPr>
          <w:p w14:paraId="36AF76CB" w14:textId="4C9C454A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1.173</w:t>
            </w:r>
          </w:p>
        </w:tc>
        <w:tc>
          <w:tcPr>
            <w:tcW w:w="1607" w:type="dxa"/>
            <w:vAlign w:val="center"/>
          </w:tcPr>
          <w:p w14:paraId="046D0BFD" w14:textId="305BBD3C" w:rsidR="00555E04" w:rsidRPr="005D7724" w:rsidRDefault="00555E04" w:rsidP="00555E04">
            <w:pPr>
              <w:widowControl/>
              <w:wordWrap/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 w:hint="eastAsia"/>
                <w:sz w:val="16"/>
                <w:szCs w:val="18"/>
              </w:rPr>
              <w:t>-0.304</w:t>
            </w:r>
          </w:p>
        </w:tc>
      </w:tr>
      <w:tr w:rsidR="00FD4FED" w14:paraId="5A8CECA4" w14:textId="77777777" w:rsidTr="00FD4FED">
        <w:trPr>
          <w:trHeight w:val="848"/>
        </w:trPr>
        <w:tc>
          <w:tcPr>
            <w:tcW w:w="8973" w:type="dxa"/>
            <w:gridSpan w:val="7"/>
            <w:vAlign w:val="center"/>
          </w:tcPr>
          <w:p w14:paraId="543D9BC0" w14:textId="27A7E888" w:rsidR="00FD4FED" w:rsidRDefault="00FD4FED" w:rsidP="00FD4FED">
            <w:pPr>
              <w:widowControl/>
              <w:wordWrap/>
              <w:autoSpaceDE/>
              <w:autoSpaceDN/>
              <w:rPr>
                <w:rFonts w:ascii="Times New Roman" w:hAnsi="Times New Roman" w:cs="Times New Roman"/>
                <w:sz w:val="16"/>
                <w:szCs w:val="18"/>
              </w:rPr>
            </w:pPr>
            <w:r w:rsidRPr="00FD4FED">
              <w:rPr>
                <w:rFonts w:ascii="Times New Roman" w:hAnsi="Times New Roman" w:cs="Times New Roman"/>
                <w:sz w:val="16"/>
                <w:szCs w:val="18"/>
              </w:rPr>
              <w:t>Performance of the AJOU-Adapted and IMPACT models was compared using the external CENTER-TBI dataset. The analysis included 1,040 patients for 14-day mortality and 984 patients for 6-month unfavorable outcome. All performance metrics (AUROC, Brier score, calibration slope, and calibration intercept) were estimated with 1,000 bootstrap resamples. AUROC, area under the receiver operating characteristic curve.</w:t>
            </w:r>
          </w:p>
        </w:tc>
      </w:tr>
    </w:tbl>
    <w:p w14:paraId="2D98EA56" w14:textId="595F9065" w:rsidR="00E76570" w:rsidRDefault="00E76570" w:rsidP="004448FC">
      <w:pPr>
        <w:widowControl/>
        <w:wordWrap/>
        <w:autoSpaceDE/>
        <w:autoSpaceDN/>
        <w:rPr>
          <w:rFonts w:ascii="Times New Roman" w:hAnsi="Times New Roman" w:cs="Times New Roman"/>
        </w:rPr>
      </w:pPr>
    </w:p>
    <w:p w14:paraId="4233542C" w14:textId="77777777" w:rsidR="00E76570" w:rsidRDefault="00E76570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BB0041" w14:textId="77777777" w:rsidR="00E76570" w:rsidRPr="00E76570" w:rsidRDefault="00E76570" w:rsidP="00E76570">
      <w:pPr>
        <w:spacing w:after="200"/>
        <w:rPr>
          <w:rFonts w:ascii="Times New Roman" w:eastAsia="맑은 고딕" w:hAnsi="Times New Roman" w:cs="Times New Roman"/>
          <w:kern w:val="0"/>
          <w:sz w:val="21"/>
          <w:szCs w:val="21"/>
          <w14:ligatures w14:val="none"/>
        </w:rPr>
      </w:pPr>
      <w:r w:rsidRPr="00E76570">
        <w:rPr>
          <w:rFonts w:ascii="Times New Roman" w:eastAsia="맑은 고딕" w:hAnsi="Times New Roman" w:cs="Times New Roman"/>
          <w:kern w:val="0"/>
          <w:szCs w:val="22"/>
          <w14:ligatures w14:val="none"/>
        </w:rPr>
        <w:lastRenderedPageBreak/>
        <w:t>Table 8. Pairwise comparison of AUROC between AJOU-Adapted and IMPACT models in the external CENTER-TBI dataset (DeLong's test)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0"/>
        <w:gridCol w:w="898"/>
        <w:gridCol w:w="899"/>
        <w:gridCol w:w="950"/>
        <w:gridCol w:w="1290"/>
        <w:gridCol w:w="696"/>
        <w:gridCol w:w="898"/>
        <w:gridCol w:w="899"/>
      </w:tblGrid>
      <w:tr w:rsidR="00E76570" w:rsidRPr="00E76570" w14:paraId="66CC09CC" w14:textId="77777777" w:rsidTr="00B07DEE">
        <w:trPr>
          <w:tblHeader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057955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Comparison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0C82C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AUROC AJOU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02D2E8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AUROC IMPACT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61DF5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ΔAUROC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C26E1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95% CI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054B02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z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1B547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p-value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84DAD6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Favors</w:t>
            </w:r>
          </w:p>
        </w:tc>
      </w:tr>
      <w:tr w:rsidR="00E76570" w:rsidRPr="00E76570" w14:paraId="007C94BB" w14:textId="77777777" w:rsidTr="00B07DEE">
        <w:tc>
          <w:tcPr>
            <w:tcW w:w="9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A0D0F1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14-day mortality  (n = 1,040; events = 122, non-events = 918)</w:t>
            </w:r>
          </w:p>
        </w:tc>
      </w:tr>
      <w:tr w:rsidR="00E76570" w:rsidRPr="00E76570" w14:paraId="79D9B4A0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6281FB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AJOU-Adapted-Clinical vs IMPACT-core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14EE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DDD01C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859F3C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+0.004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3A8B33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(-0.018, +0.027)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FB0B86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0.40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F6186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0.688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120F17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E76570" w:rsidRPr="00E76570" w14:paraId="473D4559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F36512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AJOU-Adapted-Clinical vs IMPACT-extended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7942A0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FDBAD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F64F62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-0.021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5024C3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(-0.044, +0.001)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9F3596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-1.88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D7B927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0.061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E6B1B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E76570" w:rsidRPr="00E76570" w14:paraId="5C1FE4DC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9A4F30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AJOU-Adapted-Clinical vs IMPACT-lab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DC8E78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528DF9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1D7760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-0.029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7989B3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(-0.054, -0.005)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A45A3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-2.34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24CC30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0.019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BA24B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IMPACT</w:t>
            </w:r>
          </w:p>
        </w:tc>
      </w:tr>
      <w:tr w:rsidR="00E76570" w:rsidRPr="00E76570" w14:paraId="4F69E032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9BBE56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 xml:space="preserve">AJOU-Adapted-CT vs </w:t>
            </w:r>
          </w:p>
          <w:p w14:paraId="47E1D118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IMPACT-core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1F561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3792EA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0C08E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+0.000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BF57E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(-0.025, +0.025)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9CBAD3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0.02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B7EC13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0.987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E849F4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E76570" w:rsidRPr="00E76570" w14:paraId="4FDC572F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CAADBD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AJOU-Adapted-CT vs IMPACT-extended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7801C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0.854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BE817A4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DFAFD8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-0.026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69ACF5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(-0.048, -0.003)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1D3BC0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-2.21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8A1230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0.027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E88253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IMPACT</w:t>
            </w:r>
          </w:p>
        </w:tc>
      </w:tr>
      <w:tr w:rsidR="00E76570" w:rsidRPr="00E76570" w14:paraId="13F052CD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098649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AJOU-Adapted-CT vs IMPACT-lab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7171B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0.854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235E9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F128D7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-0.034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7B8935A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(-0.059, -0.009)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F9B5F8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-2.67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C6AF8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47BB7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IMPACT</w:t>
            </w:r>
          </w:p>
        </w:tc>
      </w:tr>
      <w:tr w:rsidR="00E76570" w:rsidRPr="00E76570" w14:paraId="7F038B1F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A53248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 xml:space="preserve">AJOU-Adapted-Full vs </w:t>
            </w:r>
          </w:p>
          <w:p w14:paraId="2D86A34A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IMPACT-core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330B07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3AC769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00E600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-0.001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848C8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(-0.030, +0.028)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10F57C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-0.09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A65E0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0.929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7307EA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E76570" w:rsidRPr="00E76570" w14:paraId="6CBE1011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FD32C6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AJOU-Adapted-Full vs IMPACT-extended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91C25A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0.853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D9CA29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0.880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2D946F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-0.027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A444D0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(-0.053, -0.001)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F094F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-2.03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9074F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0.042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E322E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IMPACT</w:t>
            </w:r>
          </w:p>
        </w:tc>
      </w:tr>
      <w:tr w:rsidR="00E76570" w:rsidRPr="00E76570" w14:paraId="4426EED6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7B3F74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AJOU-Adapted-Full vs IMPACT-lab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3E38E7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0.853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19E81C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0.888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EA4D1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-0.035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9D54A8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(-0.062, -0.009)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C5AC7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-2.64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7524D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0.008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1267D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IMPACT</w:t>
            </w:r>
          </w:p>
        </w:tc>
      </w:tr>
      <w:tr w:rsidR="00E76570" w:rsidRPr="00E76570" w14:paraId="76EE0AB0" w14:textId="77777777" w:rsidTr="00B07DEE">
        <w:tc>
          <w:tcPr>
            <w:tcW w:w="9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A55D03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i/>
                <w:iCs/>
                <w:kern w:val="0"/>
                <w:sz w:val="18"/>
                <w:szCs w:val="18"/>
                <w14:ligatures w14:val="none"/>
              </w:rPr>
              <w:t>6-month unfavorable outcome  (n = 984; events = 334, non-events = 650)</w:t>
            </w:r>
          </w:p>
        </w:tc>
      </w:tr>
      <w:tr w:rsidR="00E76570" w:rsidRPr="00E76570" w14:paraId="02F561F3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1CF089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AJOU-Adapted-Clinical vs IMPACT-core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446F24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0.852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6689AD5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0.816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08C6A8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+0.037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B9D673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(+0.018, +0.056)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64D53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3.75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53835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0.0002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E309A2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</w:t>
            </w:r>
          </w:p>
        </w:tc>
      </w:tr>
      <w:tr w:rsidR="00E76570" w:rsidRPr="00E76570" w14:paraId="562E6788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BB4F71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AJOU-Adapted-Clinical vs IMPACT-extended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E3635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65ECE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3EF30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+0.003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FF00FA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(-0.015, +0.020)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D56D0F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0.28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C5A434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0.782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392AD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E76570" w:rsidRPr="00E76570" w14:paraId="4EE1BE66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46A0ED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AJOU-Adapted-Clinical vs IMPACT-lab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9879B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83391A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327470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-0.002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A9A5EF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(-0.020, +0.016)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4F92F9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-0.23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EC6296F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0.820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304C08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E76570" w:rsidRPr="00E76570" w14:paraId="4F1FF17A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5233AF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AJOU-Adapted-CT vs IMPACT-core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95983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FE49E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0.816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670D59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+0.050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77D9B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(+0.028, +0.072)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E8E94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4.53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4AE6F2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8A9FC4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</w:t>
            </w:r>
          </w:p>
        </w:tc>
      </w:tr>
      <w:tr w:rsidR="00E76570" w:rsidRPr="00E76570" w14:paraId="12DBBA06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7FB5E8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AJOU-Adapted-CT vs IMPACT-extended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723DE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BE9339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22E1A7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+0.016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37856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(+0.000, +0.032)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04BF8B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1.99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350F8A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0.047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A1E505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</w:t>
            </w:r>
          </w:p>
        </w:tc>
      </w:tr>
      <w:tr w:rsidR="00E76570" w:rsidRPr="00E76570" w14:paraId="6FC5F55C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7C3D6B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 xml:space="preserve">AJOU-Adapted-CT vs </w:t>
            </w:r>
          </w:p>
          <w:p w14:paraId="434CDF0E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IMPACT-lab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15E3D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D395F0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2BED61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+0.011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53E903D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(-0.005, +0.027)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301A26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1.38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68012A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0.167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018E88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E76570" w:rsidRPr="00E76570" w14:paraId="112B784F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62B14D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AJOU-Adapted-Full vs IMPACT-core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389996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68D554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0.816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CCB615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+0.050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7210C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(+0.028, +0.072)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FB8C1F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4.48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3B6092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&lt;0.0001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F49CA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AJOU</w:t>
            </w:r>
          </w:p>
        </w:tc>
      </w:tr>
      <w:tr w:rsidR="00E76570" w:rsidRPr="00E76570" w14:paraId="09DD787D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B331E9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 xml:space="preserve">AJOU-Adapted-Full vs </w:t>
            </w:r>
          </w:p>
          <w:p w14:paraId="348E8EDD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IMPACT-extended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0B783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10D90F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63FBE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+0.016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C48705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(-0.001, +0.032)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7C8F14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1.84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89B7F3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0.065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62BC44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E76570" w:rsidRPr="00E76570" w14:paraId="0D3CA486" w14:textId="77777777" w:rsidTr="00B07DEE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640996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 xml:space="preserve">AJOU-Adapted-Full vs </w:t>
            </w:r>
          </w:p>
          <w:p w14:paraId="68D07F7B" w14:textId="77777777" w:rsidR="00E76570" w:rsidRPr="00E76570" w:rsidRDefault="00E76570" w:rsidP="00E76570">
            <w:pPr>
              <w:spacing w:after="0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IMPACT-lab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B7702C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0.866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56FD56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0.855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418C4E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+0.011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B071C9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(-0.006, +0.028)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0A29F9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1.30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F91C55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0.194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C0D1C7" w14:textId="77777777" w:rsidR="00E76570" w:rsidRPr="00E76570" w:rsidRDefault="00E76570" w:rsidP="00E76570">
            <w:pPr>
              <w:spacing w:after="0"/>
              <w:jc w:val="center"/>
              <w:rPr>
                <w:rFonts w:ascii="Times New Roman" w:eastAsia="맑은 고딕" w:hAnsi="Times New Roman" w:cs="Times New Roman"/>
                <w:kern w:val="0"/>
                <w:szCs w:val="22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8"/>
                <w:szCs w:val="18"/>
                <w14:ligatures w14:val="none"/>
              </w:rPr>
              <w:t>ns</w:t>
            </w:r>
          </w:p>
        </w:tc>
      </w:tr>
      <w:tr w:rsidR="00E76570" w:rsidRPr="00E76570" w14:paraId="5BA6A1D2" w14:textId="77777777" w:rsidTr="00B07DEE">
        <w:trPr>
          <w:trHeight w:val="22"/>
        </w:trPr>
        <w:tc>
          <w:tcPr>
            <w:tcW w:w="9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806B70" w14:textId="77777777" w:rsidR="00E76570" w:rsidRPr="00E76570" w:rsidRDefault="00E76570" w:rsidP="00E76570">
            <w:pPr>
              <w:spacing w:after="80"/>
              <w:rPr>
                <w:rFonts w:ascii="Times New Roman" w:eastAsia="맑은 고딕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E76570">
              <w:rPr>
                <w:rFonts w:ascii="Times New Roman" w:eastAsia="맑은 고딕" w:hAnsi="Times New Roman" w:cs="Times New Roman"/>
                <w:kern w:val="0"/>
                <w:sz w:val="16"/>
                <w:szCs w:val="16"/>
                <w14:ligatures w14:val="none"/>
              </w:rPr>
              <w:t>Pairwise AUROC comparisons were performed using DeLong's test for two correlated ROC curves. Highlighted rows indicate statistically significant comparisons (p &lt; 0.05); the 'Favors' column indicates the model with higher discrimination when the difference is significant, or 'ns' (not significant) otherwise. Abbreviations: AUROC, area under the receiver operating characteristic curve; CI, confidence interval; ns, not statistically significant.</w:t>
            </w:r>
          </w:p>
        </w:tc>
      </w:tr>
    </w:tbl>
    <w:p w14:paraId="0520E0DF" w14:textId="77777777" w:rsidR="005D7724" w:rsidRPr="00E76570" w:rsidRDefault="005D7724" w:rsidP="004448FC">
      <w:pPr>
        <w:widowControl/>
        <w:wordWrap/>
        <w:autoSpaceDE/>
        <w:autoSpaceDN/>
        <w:rPr>
          <w:rFonts w:ascii="Times New Roman" w:hAnsi="Times New Roman" w:cs="Times New Roman"/>
        </w:rPr>
      </w:pPr>
    </w:p>
    <w:sectPr w:rsidR="005D7724" w:rsidRPr="00E765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66CA" w14:textId="77777777" w:rsidR="00D50E48" w:rsidRDefault="00D50E48" w:rsidP="008056F3">
      <w:pPr>
        <w:spacing w:after="0"/>
      </w:pPr>
      <w:r>
        <w:separator/>
      </w:r>
    </w:p>
  </w:endnote>
  <w:endnote w:type="continuationSeparator" w:id="0">
    <w:p w14:paraId="29F615D3" w14:textId="77777777" w:rsidR="00D50E48" w:rsidRDefault="00D50E48" w:rsidP="008056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2AEF" w14:textId="77777777" w:rsidR="00D50E48" w:rsidRDefault="00D50E48" w:rsidP="008056F3">
      <w:pPr>
        <w:spacing w:after="0"/>
      </w:pPr>
      <w:r>
        <w:separator/>
      </w:r>
    </w:p>
  </w:footnote>
  <w:footnote w:type="continuationSeparator" w:id="0">
    <w:p w14:paraId="14FC32E3" w14:textId="77777777" w:rsidR="00D50E48" w:rsidRDefault="00D50E48" w:rsidP="008056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76"/>
    <w:rsid w:val="00005932"/>
    <w:rsid w:val="00014B6F"/>
    <w:rsid w:val="0001622A"/>
    <w:rsid w:val="000605A0"/>
    <w:rsid w:val="00064FE8"/>
    <w:rsid w:val="0007469F"/>
    <w:rsid w:val="00081525"/>
    <w:rsid w:val="000871D4"/>
    <w:rsid w:val="000A0C8A"/>
    <w:rsid w:val="000B78C6"/>
    <w:rsid w:val="000C46A2"/>
    <w:rsid w:val="00100770"/>
    <w:rsid w:val="00105D2C"/>
    <w:rsid w:val="00113343"/>
    <w:rsid w:val="00134C4A"/>
    <w:rsid w:val="00193C8A"/>
    <w:rsid w:val="001C3063"/>
    <w:rsid w:val="00207379"/>
    <w:rsid w:val="002545D9"/>
    <w:rsid w:val="00273B65"/>
    <w:rsid w:val="0029370F"/>
    <w:rsid w:val="00295245"/>
    <w:rsid w:val="002A3757"/>
    <w:rsid w:val="002A43E9"/>
    <w:rsid w:val="002E0AF7"/>
    <w:rsid w:val="00332976"/>
    <w:rsid w:val="003662D6"/>
    <w:rsid w:val="00385ACB"/>
    <w:rsid w:val="003A74A3"/>
    <w:rsid w:val="003B011E"/>
    <w:rsid w:val="003F5131"/>
    <w:rsid w:val="00414936"/>
    <w:rsid w:val="004244BA"/>
    <w:rsid w:val="004448FC"/>
    <w:rsid w:val="00455C57"/>
    <w:rsid w:val="004616A5"/>
    <w:rsid w:val="004639D4"/>
    <w:rsid w:val="004706F6"/>
    <w:rsid w:val="004B4336"/>
    <w:rsid w:val="004D6146"/>
    <w:rsid w:val="005368B7"/>
    <w:rsid w:val="00550382"/>
    <w:rsid w:val="005522B7"/>
    <w:rsid w:val="00555E04"/>
    <w:rsid w:val="005B07E0"/>
    <w:rsid w:val="005B7462"/>
    <w:rsid w:val="005B7C9C"/>
    <w:rsid w:val="005D2C71"/>
    <w:rsid w:val="005D7724"/>
    <w:rsid w:val="005F6156"/>
    <w:rsid w:val="00600EC4"/>
    <w:rsid w:val="00603224"/>
    <w:rsid w:val="00631A0E"/>
    <w:rsid w:val="006704E0"/>
    <w:rsid w:val="00674EC0"/>
    <w:rsid w:val="00695F85"/>
    <w:rsid w:val="006A3F49"/>
    <w:rsid w:val="006D2802"/>
    <w:rsid w:val="006D5C37"/>
    <w:rsid w:val="006E2C2A"/>
    <w:rsid w:val="006E3D3B"/>
    <w:rsid w:val="00770163"/>
    <w:rsid w:val="0077292D"/>
    <w:rsid w:val="007750DA"/>
    <w:rsid w:val="00794236"/>
    <w:rsid w:val="007A673C"/>
    <w:rsid w:val="007C2036"/>
    <w:rsid w:val="007D3653"/>
    <w:rsid w:val="007E61B0"/>
    <w:rsid w:val="007E6B4B"/>
    <w:rsid w:val="008056F3"/>
    <w:rsid w:val="0081018B"/>
    <w:rsid w:val="00830823"/>
    <w:rsid w:val="00835869"/>
    <w:rsid w:val="00857525"/>
    <w:rsid w:val="00867DDD"/>
    <w:rsid w:val="00875E79"/>
    <w:rsid w:val="00880551"/>
    <w:rsid w:val="008B1243"/>
    <w:rsid w:val="008D02FE"/>
    <w:rsid w:val="008D4DE5"/>
    <w:rsid w:val="008E5AAE"/>
    <w:rsid w:val="008E7CFF"/>
    <w:rsid w:val="0090471F"/>
    <w:rsid w:val="009235D2"/>
    <w:rsid w:val="009245E0"/>
    <w:rsid w:val="00932A2F"/>
    <w:rsid w:val="00955D72"/>
    <w:rsid w:val="0097636A"/>
    <w:rsid w:val="00993F8B"/>
    <w:rsid w:val="009B10A9"/>
    <w:rsid w:val="009C13D5"/>
    <w:rsid w:val="009D1B14"/>
    <w:rsid w:val="009D357A"/>
    <w:rsid w:val="009D76EA"/>
    <w:rsid w:val="00A1167E"/>
    <w:rsid w:val="00A27CFF"/>
    <w:rsid w:val="00A60E28"/>
    <w:rsid w:val="00A92BD3"/>
    <w:rsid w:val="00AA6F08"/>
    <w:rsid w:val="00AB623E"/>
    <w:rsid w:val="00AC64F6"/>
    <w:rsid w:val="00AD0D38"/>
    <w:rsid w:val="00AD663A"/>
    <w:rsid w:val="00AF716E"/>
    <w:rsid w:val="00B110C0"/>
    <w:rsid w:val="00B30E4B"/>
    <w:rsid w:val="00B466D3"/>
    <w:rsid w:val="00B64FE6"/>
    <w:rsid w:val="00BA5B65"/>
    <w:rsid w:val="00BB2428"/>
    <w:rsid w:val="00BC2892"/>
    <w:rsid w:val="00BE6B0C"/>
    <w:rsid w:val="00BF33E2"/>
    <w:rsid w:val="00C35551"/>
    <w:rsid w:val="00C51ECD"/>
    <w:rsid w:val="00C65716"/>
    <w:rsid w:val="00C85EF6"/>
    <w:rsid w:val="00C914F2"/>
    <w:rsid w:val="00CC513F"/>
    <w:rsid w:val="00CD070E"/>
    <w:rsid w:val="00CE2454"/>
    <w:rsid w:val="00CF2DD7"/>
    <w:rsid w:val="00D05AA3"/>
    <w:rsid w:val="00D270C4"/>
    <w:rsid w:val="00D2759A"/>
    <w:rsid w:val="00D33FB6"/>
    <w:rsid w:val="00D427C9"/>
    <w:rsid w:val="00D50E48"/>
    <w:rsid w:val="00D85E61"/>
    <w:rsid w:val="00DA2B4C"/>
    <w:rsid w:val="00DB0D48"/>
    <w:rsid w:val="00DD1793"/>
    <w:rsid w:val="00DD6E1C"/>
    <w:rsid w:val="00DF1FF5"/>
    <w:rsid w:val="00E1033C"/>
    <w:rsid w:val="00E13ADE"/>
    <w:rsid w:val="00E17BB8"/>
    <w:rsid w:val="00E40776"/>
    <w:rsid w:val="00E7076C"/>
    <w:rsid w:val="00E76570"/>
    <w:rsid w:val="00EA195F"/>
    <w:rsid w:val="00EA41FC"/>
    <w:rsid w:val="00EB6A25"/>
    <w:rsid w:val="00EC5785"/>
    <w:rsid w:val="00ED12DF"/>
    <w:rsid w:val="00ED2155"/>
    <w:rsid w:val="00EE1CED"/>
    <w:rsid w:val="00F11957"/>
    <w:rsid w:val="00F20AFF"/>
    <w:rsid w:val="00F4194B"/>
    <w:rsid w:val="00F653E5"/>
    <w:rsid w:val="00F6776C"/>
    <w:rsid w:val="00F73A1E"/>
    <w:rsid w:val="00FB3882"/>
    <w:rsid w:val="00FD4049"/>
    <w:rsid w:val="00FD4FED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61CC9"/>
  <w15:chartTrackingRefBased/>
  <w15:docId w15:val="{FB8F7B66-64EA-4191-BF81-30818E33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329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2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2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29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29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29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29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29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29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329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329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329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32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32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32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32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32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329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329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3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2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32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2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329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29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297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2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3297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3297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056F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8056F3"/>
  </w:style>
  <w:style w:type="paragraph" w:styleId="ab">
    <w:name w:val="footer"/>
    <w:basedOn w:val="a"/>
    <w:link w:val="Char4"/>
    <w:uiPriority w:val="99"/>
    <w:unhideWhenUsed/>
    <w:rsid w:val="008056F3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8056F3"/>
  </w:style>
  <w:style w:type="table" w:styleId="ac">
    <w:name w:val="Table Grid"/>
    <w:basedOn w:val="a1"/>
    <w:uiPriority w:val="39"/>
    <w:rsid w:val="005D77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2402-3A03-4C93-89B0-E552882B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4280</TotalTime>
  <Pages>8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승훈 전</dc:creator>
  <cp:keywords/>
  <dc:description/>
  <cp:lastModifiedBy>승훈 전</cp:lastModifiedBy>
  <cp:revision>52</cp:revision>
  <dcterms:created xsi:type="dcterms:W3CDTF">2025-09-11T08:16:00Z</dcterms:created>
  <dcterms:modified xsi:type="dcterms:W3CDTF">2026-04-30T04:56:00Z</dcterms:modified>
</cp:coreProperties>
</file>