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TRIPOD Checklist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Transparent Reporting of a multivariable prediction model for Individual Prognosis Or Diagnosis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Type: Development + External Validation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300"/>
        <w:gridCol w:w="4360"/>
      </w:tblGrid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405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405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TRIPOD Checklist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405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 in Manuscript</w:t>
            </w:r>
          </w:p>
        </w:tc>
      </w:tr>
      <w:tr>
        <w:tc>
          <w:tcPr>
            <w:tcW w:type="dxa" w:w="9360"/>
            <w:gridSpan w:val="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A7BA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 AND ABSTRACT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Identify the study as developing and/or validating a multivariable prediction model, the target population, and the outcome to be predicted.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Title: “Time-Specific Prognostic Models for Moderate-to-Severe Traumatic Brain Injury: External Validation and Clinical Utility Compared with IMPACT in the CENTER-TBI Cohort” — identifies development + external validation, target population (msTBI), outcomes (14-day mortality and 3-/6-/12-month unfavorable functional outcome), and direct head-to-head comparison with the IMPACT benchmark.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Provide a summary of objectives, study design, setting, participants, sample size, predictors, outcome, statistical analysis, results, and conclusions.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Abstract (Background/Objective, Methods, Results, Conclusions): all elements included; 297 words within 300-word limit.</w:t>
            </w:r>
          </w:p>
        </w:tc>
      </w:tr>
      <w:tr>
        <w:tc>
          <w:tcPr>
            <w:tcW w:type="dxa" w:w="9360"/>
            <w:gridSpan w:val="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A7BA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INTRODUCTION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3a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Introduction, ¶1–2: Describes TBI burden, gap in existing CRASH/IMPACT models (single-timepoint, linear assumptions, Western cohorts, calibration drift), and rationale for multi-timepoint, spline-augmented approach.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3b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Specify the objectives, including whether the study describes the development or validation of the model or both.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Introduction, ¶3: “…we retrospectively analyzed…to: (1) comprehensively identify independent prognostic factors…and (2) develop spline-based, non-linear logistic models…with a particular emphasis on strong external validation.”</w:t>
            </w:r>
          </w:p>
        </w:tc>
      </w:tr>
      <w:tr>
        <w:tc>
          <w:tcPr>
            <w:tcW w:type="dxa" w:w="9360"/>
            <w:gridSpan w:val="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A7BA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METHODS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4a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Describe the study design or source of data (e.g., randomized trial, cohort, or registry data), separately for the development and validation data sets, if applicable.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Patients: Retrospective analysis of prospectively collected single-center trauma registry (AJOU, 2011–2024) for development; CENTER-TBI multicenter European cohort for external validation.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4b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Specify the key study dates, including start of accrual; end of accrual; and, if applicable, end of follow-up.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Patients: Development cohort 2011–2024. Follow-up at 14 days, 3, 6, 12 months (±30 days). CENTER-TBI dates described in original CENTER-TBI publications (referenced).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5a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Specify key elements of the study setting (e.g., primary care, secondary care, general population) including number and location of centres.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Patients: “Ajou University Hospital (Suwon, Republic of Korea) is a government-designated regional trauma center (functionally equivalent to a U.S. Level I trauma center)”; CENTER-TBI = European multicenter study.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5b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Describe eligibility criteria for participants.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Patients: (1) injury-to-admission ≤12 h, (2) head/neck AIS ≥3, (3) age ≥18 years, (4) known injury mechanism. Exclusions: prior TBI, pre-existing neurological disability, readmission/transfer.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5c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Give details of treatments received, if relevant.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Not specifically described (observational prognostic study; all patients received standard trauma care at a Level I center). Limitation acknowledged in Discussion.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6a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Clearly define the outcome that is predicted by the prediction model, including how and when assessed.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Predictors and Outcomes: “Outcomes were 14-day death and unfavorable functional outcome at 3, 6, and 12 months post-injury, defined as GOSE ≤4. GOSE was assessed at each scheduled follow-up time point (±30 days).” In-person or structured telephone interview described.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6b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Report any actions to blind assessment of the outcome to be predicted.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Predictors and Outcomes: “Assessors were not blinded to baseline predictors, as GOSE evaluation was performed as part of routine clinical follow-up.”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7a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Clearly define all predictors used in developing or validating the multivariable prediction model, including how and when they were measured.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Predictors and Outcomes: 22 clinical, 12 CT, 30 laboratory variables listed in detail. All captured at admission (≤24 h). Additional file 6: complete model specifications including coefficients, knot locations.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7b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Report any actions to blind assessment of predictors for the outcome and other predictors.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Not applicable (retrospective registry data; predictors recorded as part of routine clinical care prior to outcome assessment).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8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Explain how the study size was arrived at.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Patients + Transparency section: “Sample size was determined by data availability: from 4,461 registry records, 3,108 met eligibility criteria and complete-case analysis yielded 3,019 patients.” EPV 10.66–24.11 reported in Performance section.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9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Describe how missing data were handled (e.g., complete-case analysis, single imputation, multiple imputation) with details of any imputation method.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Patients: Complete-case analysis; 89/3,108 (2.9%) excluded for missing lab values. Comparison of included vs excluded patients in Additional file 1: Table S6.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10a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Describe how predictors were handled in the analyses.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Statistical Analysis: Continuous predictors assessed for nonlinearity via LR tests; restricted cubic splines (4 knots) when supported. Categorical variables described (levels in Additional file 6). Correlation screening (Pearson r, η², Cramér’s V), VIF&lt;10.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10b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Specify type of model, all model-building procedures (including any predictor selection), and method for internal validation.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Statistical Analysis: Backward stepwise logistic regression (exit p≥0.10). Three model families (Clinical/CT/Full). Ridge, lasso, elastic-net penalization across λ/α grid. Internal validation: random 4:1 train–validation split preserving event rates, with final models refit on the full development cohort. Apparent and held-out test performance closely matched, suggesting limited overfitting. Optimism-corrected bootstrap internal validation is acknowledged as a methodological refinement reserved for future revision (Limitations item 7).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10c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For validation, describe how the predictions were calculated.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Statistical Analysis: AJOU-Adapted models created by excluding/replacing unavailable variables with GCS measures. Applied to CENTER-TBI with harmonized predictors. 1,000 bootstrap resamples for CI estimation.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10d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Specify all measures used to assess model performance and, if relevant, to compare multiple models.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Performance: AUROC (discrimination), calibration plot with slope and intercept, Brier score. Pairwise DeLong tests with 95% confidence intervals for AUROC comparisons against IMPACT-core/-extended/-lab. Decision curve analysis (Vickers and Elkin, Med Decis Making 2006) with net benefit and bootstrap 95% confidence intervals across threshold probabilities. EPV ratio for overfitting assessment.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11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Provide details on how risk groups were created, if done.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Risk groups were not created; models provide continuous predicted probabilities. Calibration plots use decile-based risk grouping for visualization (Figures 3–4).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12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For validation, identify any differences from the development data in setting, eligibility criteria, outcome, and predictors.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Methods, Statistical Analysis + Results, Baseline Characteristics (Table 1): CENTER-TBI vs AJOU differences described (ISS 27.7 vs 21.6; lower event rates in CENTER-TBI). Variable mismatches described: level of consciousness and quadriparesis unavailable → AJOU-Adapted models created.</w:t>
            </w:r>
          </w:p>
        </w:tc>
      </w:tr>
      <w:tr>
        <w:tc>
          <w:tcPr>
            <w:tcW w:type="dxa" w:w="9360"/>
            <w:gridSpan w:val="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A7BA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RESULTS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13a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Describe the flow of participants through the study, including the number of participants with and without the outcome and, if applicable, a summary of the follow-up time. A diagram may be helpful.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Figure 1: Flow diagram (4,461 → 3,108 → 3,019). Results, Baseline Characteristics: event rates reported (14-day mortality 12.9%; unfavorable outcomes 41.7%/38.1%/39.4% at 3/6/12 months). Endpoint-specific n for external validation stated.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13b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Describe the characteristics of the participants (including demographic, clinical features, and available predictors), including the number of participants with missing data for predictors and outcome.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Table 1: Baseline characteristics of AJOU and CENTER-TBI cohorts. Missing data: 89/3,108 (2.9%) excluded; details in Additional file 1: Table S6. External-validation pool n=1,155 with endpoint-specific analytic samples n=974–1,040 reported in Methods.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13c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For validation, show a comparison with the development data of the distribution of important variables (demographics, predictors and outcome).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Table 1: Side-by-side comparison of AJOU vs CENTER-TBI demographics, injury characteristics, GCS, AIS, ISS, and outcome rates.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14a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Specify the number of participants and outcome events in each analysis.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Methods/Results: Development n=3,019; external validation pool n=1,155 with endpoint-specific analytic samples n=1,040 (14-day), n=974 (3-month), n=984 (6-month), n=985 (12-month). Event counts derivable from rates in Table 1. IMPACT benchmark comparison performed in the same analytic samples.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14b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If done, report the unadjusted association between each candidate predictor and outcome.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Additional file 3: Tables S10–S12 (univariable logistic regression results for all candidate predictors by endpoint).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15a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Present the full prediction model to allow predictions for individuals (i.e., all regression coefficients, and model intercept or baseline survival at a given time point).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Additional file 6: Complete model specifications including all coefficients, categorical encodings, and spline knot locations. Web calculator at GitHub URL.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15b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Explain how to use the prediction model.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Figure 5: Screenshot and legend of web calculator. Legend explains: select outcome → select data availability → enter variables → display predicted probability.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16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Report performance measures (with CIs) for the prediction model.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Tables 3–6: AUROC, calibration slope, and calibration intercept for each model/timepoint (internal + external). Table 7: Time-varying coefficient comparison across endpoints. Table 8: Pairwise DeLong tests of AUROC differences between AJOU-Adapted and IMPACT models, with point estimates, 95% confidence intervals, ΔAUROC, z-statistics, and p-values. Figures 3–4: Calibration plots. Figure 5: Decision curve analysis (net benefit) with bootstrap 95% confidence intervals at each threshold (1,000 resamples). Optimism-corrected bootstrap internal validation is acknowledged as a methodological refinement for future revision (Limitations item 7).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17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If done, report the results from any model updating (i.e., model specification, model performance).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Not done (no recalibration or updating of IMPACT models was performed; AJOU models presented as newly developed models).</w:t>
            </w:r>
          </w:p>
        </w:tc>
      </w:tr>
      <w:tr>
        <w:tc>
          <w:tcPr>
            <w:tcW w:type="dxa" w:w="9360"/>
            <w:gridSpan w:val="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A7BA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DISCUSSION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18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Discuss any limitations of the study (such as nonrepresentative sample, few events per variable, missing data).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Discussion, Limitations and Future Directions: 5 limitations addressed: (1) single-center, (2) relatively small external dataset, (3) AJOU-Base models not externally testable, (4) GOSE dichotomization, (5) CT representation and modeling scope.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19a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For validation, discuss the results with reference to performance in the development data, and any other validation data.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Discussion, ¶5–10: External performance discussed relative to internal validation and relative to IMPACT models; transportability across East Asian→European populations highlighted; calibration drift of legacy models discussed.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19b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Give an overall interpretation of the results, considering objectives, limitations, results from similar studies, and other relevant evidence.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Discussion, ¶1–11 + Conclusions: Contextualizes within CRASH/IMPACT literature; emphasizes multi-timepoint, spline-augmented approach; time-varying prognostic patterns; clinical implications for bedside decision-making.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Discuss the potential clinical use of the model and implications for future research.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Discussion, ¶ “From a clinical perspective…”: Tiered models for progressive data availability; multi-timepoint for different clinical needs (acute management vs rehabilitation planning); web calculator for implementation. Future directions: multicenter validation, raw CT/CNN, ordinal GOSE.</w:t>
            </w:r>
          </w:p>
        </w:tc>
      </w:tr>
      <w:tr>
        <w:tc>
          <w:tcPr>
            <w:tcW w:type="dxa" w:w="9360"/>
            <w:gridSpan w:val="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A7BA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OTHER INFORMATION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21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Provide information about the availability of supplementary resources, such as study protocol, web calculator, and data sets.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Web calculator: GitHub URL (Methods + Figure 5). Supplementary tables: Additional files 1–6. Data: available from corresponding author on reasonable request. Model specifications: Additional file 6.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22</w:t>
            </w:r>
          </w:p>
        </w:tc>
        <w:tc>
          <w:tcPr>
            <w:tcW w:type="dxa" w:w="4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Give the source of funding and the role of the funders for the present study.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Funding statement: NRF grant RS-2023-00253964 and Technology Innovation Program RS-2025-02221011 (MOTIE). Funder role not explicitly stated (standard for retrospective registry studies).</w:t>
            </w:r>
          </w:p>
        </w:tc>
      </w:tr>
    </w:tbl>
    <w:p>
      <w:pPr>
        <w:spacing w:before="200"/>
      </w:pPr>
      <w:r>
        <w:rPr>
          <w:rFonts w:ascii="Arial" w:cs="Arial" w:eastAsia="Arial" w:hAnsi="Arial"/>
          <w:i/>
          <w:iCs/>
          <w:sz w:val="16"/>
          <w:szCs w:val="16"/>
        </w:rPr>
        <w:t xml:space="preserve">Reference: Collins GS, Reitsma JB, Altman DG, Moons KGM. Transparent reporting of a multivariable prediction model for individual prognosis or diagnosis (TRIPOD): the TRIPOD statement. BMJ. 2015;350:g7594.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2026-04-20T13:58:41.503Z</dcterms:created>
  <dcterms:modified xsi:type="dcterms:W3CDTF">2026-04-20T13:58:41.504Z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