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F2ACD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Arial Unicode MS" w:cs="Arial Unicode MS"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  <w:t>SUPPLEMENTARY MATERIAL</w:t>
      </w:r>
    </w:p>
    <w:p w14:paraId="3B79EE76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GB" w:eastAsia="fr-FR"/>
          <w14:ligatures w14:val="none"/>
        </w:rPr>
      </w:pP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t>Fig. S1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Endogenous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Fkrp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expression in non-injected WT muscle. </w:t>
      </w: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t>a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Schematic representation of experimental design for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in vivo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administration of AAV9 vectors coding for FKRP, SeAP and non-coding vector 3’-Dysf in WT mice. </w:t>
      </w: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t>b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Quantification of endogenous</w:t>
      </w:r>
      <w:r w:rsidRPr="00B00D36">
        <w:rPr>
          <w:rFonts w:ascii="Times New Roman" w:eastAsia="+mn-ea" w:hAnsi="Times New Roman" w:cs="Times New Roman"/>
          <w:i/>
          <w:color w:val="000000"/>
          <w:kern w:val="0"/>
          <w:lang w:val="en-GB" w:eastAsia="fr-FR"/>
          <w14:ligatures w14:val="none"/>
        </w:rPr>
        <w:t xml:space="preserve">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Fkrp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mRNA by RT-qPCR in non-injected gastrocnemius muscle (GA) of PBS or AAV9 injected mice in TA, shown as FC relative to PBS injected mice, normalized to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Rplp0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>. Analysis was performed using one-way ANOVA. Data are shown as mean ± standard error of the mean (n = 3 mice per group). ns, not significant, *p&lt;0.05, **p&lt;0.01, ***p&lt;0.001</w:t>
      </w:r>
    </w:p>
    <w:p w14:paraId="4FBE0599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</w:pPr>
    </w:p>
    <w:p w14:paraId="47E9AB87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Arial Unicode MS" w:cs="Arial Unicode MS"/>
          <w:noProof/>
          <w:color w:val="000000"/>
          <w:kern w:val="0"/>
          <w:u w:color="000000"/>
          <w:bdr w:val="nil"/>
          <w:lang w:val="en-GB"/>
          <w14:ligatures w14:val="none"/>
        </w:rPr>
        <w:drawing>
          <wp:inline distT="0" distB="0" distL="0" distR="0" wp14:anchorId="5F887D16" wp14:editId="1233A9CF">
            <wp:extent cx="5040000" cy="4023285"/>
            <wp:effectExtent l="0" t="0" r="0" b="0"/>
            <wp:docPr id="11503126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12655" name="Picture 115031265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0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37ED" w14:textId="77777777" w:rsidR="00B00D36" w:rsidRPr="00B00D36" w:rsidRDefault="00B00D36" w:rsidP="00B00D36">
      <w:pPr>
        <w:spacing w:after="0" w:line="360" w:lineRule="auto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br w:type="page"/>
      </w:r>
    </w:p>
    <w:p w14:paraId="6E7C6FCA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</w:pP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lastRenderedPageBreak/>
        <w:t xml:space="preserve">Fig. S2 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Endogenous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Fkrp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expression in TA of IV injected WT mice.</w:t>
      </w: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t xml:space="preserve"> a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Schematic representation of experimental design for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in vivo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administration of AAV9 vectors coding for FKRP, GFP and non-coding vector 3’-Dysf in WT mice. </w:t>
      </w:r>
      <w:r w:rsidRPr="00B00D36">
        <w:rPr>
          <w:rFonts w:ascii="Times New Roman" w:eastAsia="+mn-ea" w:hAnsi="Times New Roman" w:cs="Times New Roman"/>
          <w:b/>
          <w:bCs/>
          <w:color w:val="000000"/>
          <w:kern w:val="0"/>
          <w:lang w:val="en-GB" w:eastAsia="fr-FR"/>
          <w14:ligatures w14:val="none"/>
        </w:rPr>
        <w:t xml:space="preserve">b 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Quantification of endogenous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Fkrp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 xml:space="preserve"> mRNA by RT-qPCR in PBS or AAV9 injected WT mice, shown as FC relative to PBS injected mice, normalized to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0"/>
          <w:lang w:val="en-GB" w:eastAsia="fr-FR"/>
          <w14:ligatures w14:val="none"/>
        </w:rPr>
        <w:t>Rplp0</w:t>
      </w:r>
      <w:r w:rsidRPr="00B00D36">
        <w:rPr>
          <w:rFonts w:ascii="Times New Roman" w:eastAsia="+mn-ea" w:hAnsi="Times New Roman" w:cs="Times New Roman"/>
          <w:color w:val="000000"/>
          <w:kern w:val="0"/>
          <w:lang w:val="en-GB" w:eastAsia="fr-FR"/>
          <w14:ligatures w14:val="none"/>
        </w:rPr>
        <w:t>. Analysis was performed using one-way ANOVA. Data are shown as mean ± standard error of the mean (n = 5 mice per group). ns, not significant, *p&lt;0.05, **p&lt;0.01, ***p&lt;0.001</w:t>
      </w:r>
    </w:p>
    <w:p w14:paraId="36D9796A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32"/>
          <w:szCs w:val="32"/>
          <w:lang w:val="en-GB" w:eastAsia="fr-FR"/>
          <w14:ligatures w14:val="none"/>
        </w:rPr>
      </w:pPr>
    </w:p>
    <w:p w14:paraId="5013BA0A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Arial Unicode MS" w:cs="Arial Unicode MS"/>
          <w:noProof/>
          <w:color w:val="000000"/>
          <w:kern w:val="0"/>
          <w:u w:color="000000"/>
          <w:bdr w:val="nil"/>
          <w:lang w:val="en-GB"/>
          <w14:ligatures w14:val="none"/>
        </w:rPr>
        <w:drawing>
          <wp:inline distT="0" distB="0" distL="0" distR="0" wp14:anchorId="6306247E" wp14:editId="7DB2DBBF">
            <wp:extent cx="5040000" cy="3754435"/>
            <wp:effectExtent l="0" t="0" r="0" b="0"/>
            <wp:docPr id="14940477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47795" name="Picture 149404779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4E601" w14:textId="77777777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  <w:r w:rsidRPr="00B00D36">
        <w:rPr>
          <w:rFonts w:ascii="Calibri" w:eastAsia="Calibri" w:hAnsi="Times New Roman" w:cs="Times New Roman"/>
          <w:b/>
          <w:kern w:val="0"/>
          <w:sz w:val="28"/>
          <w:szCs w:val="28"/>
          <w:lang w:val="en-GB"/>
          <w14:ligatures w14:val="none"/>
        </w:rPr>
        <w:br w:type="page"/>
      </w:r>
    </w:p>
    <w:p w14:paraId="45887C12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lang w:val="en-GB" w:eastAsia="fr-FR"/>
          <w14:ligatures w14:val="none"/>
        </w:rPr>
      </w:pPr>
      <w:r w:rsidRPr="00B00D36">
        <w:rPr>
          <w:rFonts w:ascii="Times New Roman" w:eastAsia="+mn-ea" w:hAnsi="Times New Roman" w:cs="+mn-cs"/>
          <w:b/>
          <w:bCs/>
          <w:color w:val="000000"/>
          <w:kern w:val="24"/>
          <w:lang w:val="en-GB" w:eastAsia="fr-FR"/>
          <w14:ligatures w14:val="none"/>
        </w:rPr>
        <w:lastRenderedPageBreak/>
        <w:t>Fig. S3</w:t>
      </w:r>
      <w:r w:rsidRPr="00B00D36">
        <w:rPr>
          <w:rFonts w:ascii="Times New Roman" w:eastAsia="+mn-ea" w:hAnsi="Times New Roman" w:cs="+mn-cs"/>
          <w:color w:val="000000"/>
          <w:kern w:val="24"/>
          <w:lang w:val="en-GB" w:eastAsia="fr-FR"/>
          <w14:ligatures w14:val="none"/>
        </w:rPr>
        <w:t xml:space="preserve"> </w:t>
      </w:r>
      <w:r w:rsidRPr="00B00D36">
        <w:rPr>
          <w:rFonts w:ascii="Times New Roman" w:eastAsia="Times New Roman" w:hAnsi="Times New Roman" w:cs="+mn-cs"/>
          <w:color w:val="000000"/>
          <w:kern w:val="24"/>
          <w:lang w:val="en-GB" w:eastAsia="fr-FR"/>
          <w14:ligatures w14:val="none"/>
        </w:rPr>
        <w:t xml:space="preserve">Representative images of TA muscle cross sections </w:t>
      </w:r>
      <w:r w:rsidRPr="00B00D36">
        <w:rPr>
          <w:rFonts w:ascii="Times New Roman" w:eastAsia="Times New Roman" w:hAnsi="Times New Roman" w:cs="+mn-cs"/>
          <w:color w:val="000000"/>
          <w:kern w:val="0"/>
          <w:lang w:val="en-GB" w:eastAsia="fr-FR"/>
          <w14:ligatures w14:val="none"/>
        </w:rPr>
        <w:t>immunostained for laminin, CD11b (</w:t>
      </w:r>
      <w:r w:rsidRPr="00B00D36">
        <w:rPr>
          <w:rFonts w:ascii="Times New Roman" w:eastAsia="Times New Roman" w:hAnsi="Times New Roman" w:cs="+mn-cs"/>
          <w:color w:val="000000"/>
          <w:kern w:val="24"/>
          <w:lang w:val="en-GB" w:eastAsia="fr-FR"/>
          <w14:ligatures w14:val="none"/>
        </w:rPr>
        <w:t xml:space="preserve">top) and CD4 (bottom). Scale bars, 200 </w:t>
      </w:r>
      <w:r w:rsidRPr="00B00D36">
        <w:rPr>
          <w:rFonts w:ascii="Times New Roman" w:eastAsia="Times New Roman" w:hAnsi="Times New Roman" w:cs="+mn-cs"/>
          <w:color w:val="000000"/>
          <w:kern w:val="0"/>
          <w:lang w:val="en-GB" w:eastAsia="fr-FR"/>
          <w14:ligatures w14:val="none"/>
        </w:rPr>
        <w:t>μm and 100 μm (zoomed-in images)</w:t>
      </w:r>
    </w:p>
    <w:p w14:paraId="200C91DD" w14:textId="77777777" w:rsidR="00B00D36" w:rsidRPr="00B00D36" w:rsidRDefault="00B00D36" w:rsidP="00B00D36">
      <w:pPr>
        <w:spacing w:after="0" w:line="360" w:lineRule="auto"/>
        <w:jc w:val="both"/>
        <w:rPr>
          <w:rFonts w:ascii="Times New Roman" w:eastAsia="Times New Roman" w:hAnsi="Times New Roman" w:cs="+mn-cs"/>
          <w:color w:val="000000"/>
          <w:kern w:val="0"/>
          <w:lang w:val="en-GB" w:eastAsia="fr-FR"/>
          <w14:ligatures w14:val="none"/>
        </w:rPr>
      </w:pPr>
    </w:p>
    <w:p w14:paraId="1D447E2A" w14:textId="77777777" w:rsidR="00B00D36" w:rsidRPr="00B00D36" w:rsidRDefault="00B00D36" w:rsidP="00B00D36">
      <w:pPr>
        <w:spacing w:line="259" w:lineRule="auto"/>
        <w:rPr>
          <w:rFonts w:ascii="Times New Roman" w:eastAsia="+mn-ea" w:hAnsi="Times New Roman" w:cs="Times New Roman"/>
          <w:b/>
          <w:bCs/>
          <w:color w:val="000000"/>
          <w:kern w:val="24"/>
          <w:lang w:val="en-GB" w:eastAsia="fr-FR"/>
          <w14:ligatures w14:val="none"/>
        </w:rPr>
      </w:pPr>
      <w:r w:rsidRPr="00B00D36">
        <w:rPr>
          <w:rFonts w:ascii="Calibri" w:eastAsia="Calibri" w:hAnsi="Calibri" w:cs="Arial"/>
          <w:noProof/>
          <w:kern w:val="0"/>
          <w:sz w:val="22"/>
          <w:szCs w:val="22"/>
          <w:lang w:val="en-GB"/>
          <w14:ligatures w14:val="none"/>
        </w:rPr>
        <w:drawing>
          <wp:inline distT="0" distB="0" distL="0" distR="0" wp14:anchorId="51A536C1" wp14:editId="4A327A6E">
            <wp:extent cx="5040000" cy="6745551"/>
            <wp:effectExtent l="0" t="0" r="0" b="0"/>
            <wp:docPr id="7575623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62332" name="Picture 7575623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74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D36">
        <w:rPr>
          <w:rFonts w:ascii="Calibri" w:eastAsia="+mn-ea" w:hAnsi="Calibri" w:cs="Arial"/>
          <w:b/>
          <w:color w:val="000000"/>
          <w:kern w:val="0"/>
          <w:sz w:val="22"/>
          <w:szCs w:val="22"/>
          <w:lang w:val="en-GB"/>
          <w14:ligatures w14:val="none"/>
        </w:rPr>
        <w:br w:type="page"/>
      </w:r>
    </w:p>
    <w:p w14:paraId="67A8D18B" w14:textId="77777777" w:rsidR="00B00D36" w:rsidRPr="00B00D36" w:rsidRDefault="00B00D36" w:rsidP="00B00D36">
      <w:pPr>
        <w:spacing w:before="100" w:beforeAutospacing="1" w:after="100" w:afterAutospacing="1" w:line="480" w:lineRule="auto"/>
        <w:jc w:val="both"/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</w:pPr>
      <w:r w:rsidRPr="00B00D36">
        <w:rPr>
          <w:rFonts w:ascii="Times New Roman" w:eastAsia="+mn-ea" w:hAnsi="Times New Roman" w:cs="Times New Roman"/>
          <w:b/>
          <w:bCs/>
          <w:color w:val="000000"/>
          <w:kern w:val="24"/>
          <w:lang w:val="en-GB" w:eastAsia="fr-FR"/>
          <w14:ligatures w14:val="none"/>
        </w:rPr>
        <w:lastRenderedPageBreak/>
        <w:t xml:space="preserve">Fig. S4 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>Prednisolone treatment effect on IFN</w:t>
      </w:r>
      <w:r w:rsidRPr="00B00D36">
        <w:rPr>
          <w:rFonts w:ascii="Symbol" w:eastAsia="+mn-ea" w:hAnsi="Symbol" w:cs="Times New Roman"/>
          <w:color w:val="000000"/>
          <w:kern w:val="24"/>
          <w:lang w:val="en-GB" w:eastAsia="fr-FR"/>
          <w14:ligatures w14:val="none"/>
        </w:rPr>
        <w:t>g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>/TNF</w:t>
      </w:r>
      <w:r w:rsidRPr="00B00D36">
        <w:rPr>
          <w:rFonts w:ascii="Symbol" w:eastAsia="+mn-ea" w:hAnsi="Symbol" w:cs="Times New Roman"/>
          <w:color w:val="000000"/>
          <w:kern w:val="24"/>
          <w:lang w:val="en-GB" w:eastAsia="fr-FR"/>
          <w14:ligatures w14:val="none"/>
        </w:rPr>
        <w:t>a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 stimulated C2C12 myoblasts. Quantification of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Fkrp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,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Irf1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,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Il6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,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Ccl2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 and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Ccl5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 mRNA by RT-qPCR following cytokine treatment alone or associated with increasing doses of Prednisolone (10, 50 and 100 µM), shown as FC relative to control treated C2C12 myoblasts, normalized to </w:t>
      </w:r>
      <w:r w:rsidRPr="00B00D36">
        <w:rPr>
          <w:rFonts w:ascii="Times New Roman" w:eastAsia="+mn-ea" w:hAnsi="Times New Roman" w:cs="Times New Roman"/>
          <w:i/>
          <w:iCs/>
          <w:color w:val="000000"/>
          <w:kern w:val="24"/>
          <w:lang w:val="en-GB" w:eastAsia="fr-FR"/>
          <w14:ligatures w14:val="none"/>
        </w:rPr>
        <w:t>Rplp0.</w:t>
      </w:r>
      <w:r w:rsidRPr="00B00D36"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  <w:t xml:space="preserve"> Analysis was performed using one-way ANOVA. Data are shown as mean ± standard error of the mean (n = 3 biological replicates). ns, not significant, *p&lt;0.05, **p&lt;0.01, ***p&lt;0.001</w:t>
      </w:r>
    </w:p>
    <w:p w14:paraId="527BBBDA" w14:textId="77777777" w:rsidR="00B00D36" w:rsidRPr="00B00D36" w:rsidRDefault="00B00D36" w:rsidP="00B00D36">
      <w:pPr>
        <w:spacing w:before="100" w:beforeAutospacing="1" w:after="100" w:afterAutospacing="1" w:line="480" w:lineRule="auto"/>
        <w:jc w:val="both"/>
        <w:rPr>
          <w:rFonts w:ascii="Times New Roman" w:eastAsia="+mn-ea" w:hAnsi="Times New Roman" w:cs="Times New Roman"/>
          <w:color w:val="000000"/>
          <w:kern w:val="24"/>
          <w:lang w:val="en-GB" w:eastAsia="fr-FR"/>
          <w14:ligatures w14:val="none"/>
        </w:rPr>
      </w:pPr>
      <w:r w:rsidRPr="00B00D36">
        <w:rPr>
          <w:rFonts w:ascii="Times New Roman" w:eastAsia="Times New Roman" w:hAnsi="Times New Roman" w:cs="Times New Roman"/>
          <w:noProof/>
          <w:kern w:val="0"/>
          <w:lang w:val="en-GB" w:eastAsia="fr-FR"/>
          <w14:ligatures w14:val="none"/>
        </w:rPr>
        <w:drawing>
          <wp:inline distT="0" distB="0" distL="0" distR="0" wp14:anchorId="0D8FB285" wp14:editId="5CC042A6">
            <wp:extent cx="5040000" cy="4488497"/>
            <wp:effectExtent l="0" t="0" r="0" b="0"/>
            <wp:docPr id="212190226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02268" name="Picture 21219022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8BC9" w14:textId="77777777" w:rsidR="00B00D36" w:rsidRPr="00B00D36" w:rsidRDefault="00B00D36" w:rsidP="00B00D36">
      <w:pPr>
        <w:spacing w:before="100" w:beforeAutospacing="1" w:after="100" w:afterAutospacing="1" w:line="480" w:lineRule="auto"/>
        <w:jc w:val="both"/>
        <w:rPr>
          <w:rFonts w:ascii="Times New Roman" w:eastAsia="Arial Unicode MS" w:hAnsi="Times New Roman" w:cs="Times New Roman"/>
          <w:color w:val="000000"/>
          <w:kern w:val="0"/>
          <w:u w:color="000000"/>
          <w:bdr w:val="nil"/>
          <w:lang w:val="en-GB" w:eastAsia="fr-FR"/>
          <w14:ligatures w14:val="none"/>
        </w:rPr>
      </w:pPr>
    </w:p>
    <w:p w14:paraId="611985F2" w14:textId="77777777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Calibri" w:eastAsia="Calibri" w:hAnsi="Times New Roman" w:cs="Times New Roman"/>
          <w:b/>
          <w:bCs/>
          <w:kern w:val="0"/>
          <w:sz w:val="22"/>
          <w:szCs w:val="22"/>
          <w:lang w:val="en-GB"/>
          <w14:ligatures w14:val="none"/>
        </w:rPr>
        <w:br w:type="page"/>
      </w:r>
    </w:p>
    <w:p w14:paraId="2B346C5B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lastRenderedPageBreak/>
        <w:t>Table S1: List of genes included in IFN</w:t>
      </w:r>
      <w:r w:rsidRPr="00B00D36">
        <w:rPr>
          <w:rFonts w:ascii="Symbol" w:eastAsia="Arial Unicode MS" w:hAnsi="Symbol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t xml:space="preserve">g </w:t>
      </w: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t>/ TNF</w:t>
      </w:r>
      <w:r w:rsidRPr="00B00D36">
        <w:rPr>
          <w:rFonts w:ascii="Symbol" w:eastAsia="Arial Unicode MS" w:hAnsi="Symbol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t>a</w:t>
      </w: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t xml:space="preserve"> synergy stimulation geneset</w:t>
      </w:r>
    </w:p>
    <w:tbl>
      <w:tblPr>
        <w:tblW w:w="38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98"/>
        <w:gridCol w:w="1918"/>
      </w:tblGrid>
      <w:tr w:rsidR="00B00D36" w:rsidRPr="00B00D36" w14:paraId="15F5C2E9" w14:textId="77777777" w:rsidTr="00B00D36">
        <w:trPr>
          <w:trHeight w:val="242"/>
        </w:trPr>
        <w:tc>
          <w:tcPr>
            <w:tcW w:w="381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2DB7ED" w14:textId="77777777" w:rsidR="00B00D36" w:rsidRPr="00B00D36" w:rsidRDefault="00B00D36" w:rsidP="00B00D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val="en-GB" w:eastAsia="fr-FR"/>
                <w14:ligatures w14:val="none"/>
              </w:rPr>
            </w:pPr>
            <w:r w:rsidRPr="00B00D36">
              <w:rPr>
                <w:rFonts w:ascii="Times New Roman" w:eastAsia="Calibri" w:hAnsi="Times New Roman" w:cs="Times New Roman"/>
                <w:kern w:val="0"/>
                <w:szCs w:val="22"/>
                <w:lang w:val="en-GB"/>
                <w14:ligatures w14:val="none"/>
              </w:rPr>
              <w:t>[30,32,33,51–54]</w:t>
            </w:r>
          </w:p>
        </w:tc>
      </w:tr>
      <w:tr w:rsidR="00B00D36" w:rsidRPr="00B00D36" w14:paraId="19A1DCAD" w14:textId="77777777" w:rsidTr="00B00D36">
        <w:trPr>
          <w:trHeight w:val="223"/>
        </w:trPr>
        <w:tc>
          <w:tcPr>
            <w:tcW w:w="18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4326E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Acod1</w:t>
            </w:r>
          </w:p>
        </w:tc>
        <w:tc>
          <w:tcPr>
            <w:tcW w:w="19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37757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Il1b</w:t>
            </w:r>
          </w:p>
        </w:tc>
      </w:tr>
      <w:tr w:rsidR="00B00D36" w:rsidRPr="00B00D36" w14:paraId="08805E35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19BA44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Adam17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AFAF47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Il6</w:t>
            </w:r>
          </w:p>
        </w:tc>
      </w:tr>
      <w:tr w:rsidR="00B00D36" w:rsidRPr="00B00D36" w14:paraId="2D867E34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FAAD1E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Arg1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442D3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Irf1</w:t>
            </w:r>
          </w:p>
        </w:tc>
      </w:tr>
      <w:tr w:rsidR="00B00D36" w:rsidRPr="00B00D36" w14:paraId="27CE0F25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BA45CB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Bcl2l11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85D1C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Irf7</w:t>
            </w:r>
          </w:p>
        </w:tc>
      </w:tr>
      <w:tr w:rsidR="00B00D36" w:rsidRPr="00B00D36" w14:paraId="565B389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727D35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Casp8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DE35C5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Irf9</w:t>
            </w:r>
          </w:p>
        </w:tc>
      </w:tr>
      <w:tr w:rsidR="00B00D36" w:rsidRPr="00B00D36" w14:paraId="7EA6CFD5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9807A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Ccl2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769532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Jak1</w:t>
            </w:r>
          </w:p>
        </w:tc>
      </w:tr>
      <w:tr w:rsidR="00B00D36" w:rsidRPr="00B00D36" w14:paraId="4DAE2AEB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801D1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Ccl3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E88E7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Jak2</w:t>
            </w:r>
          </w:p>
        </w:tc>
      </w:tr>
      <w:tr w:rsidR="00B00D36" w:rsidRPr="00B00D36" w14:paraId="47574E30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B1625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Ccl4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916B62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Jun</w:t>
            </w:r>
          </w:p>
        </w:tc>
      </w:tr>
      <w:tr w:rsidR="00B00D36" w:rsidRPr="00B00D36" w14:paraId="4906712C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5F549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Ccl5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33DE85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Map3k7</w:t>
            </w:r>
          </w:p>
        </w:tc>
      </w:tr>
      <w:tr w:rsidR="00B00D36" w:rsidRPr="00B00D36" w14:paraId="7D254CB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30879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Ciita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BCE873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Mapk14</w:t>
            </w:r>
          </w:p>
        </w:tc>
      </w:tr>
      <w:tr w:rsidR="00B00D36" w:rsidRPr="00B00D36" w14:paraId="4F8DC645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AFE357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Cxcl10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5552C3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Mapk8</w:t>
            </w:r>
          </w:p>
        </w:tc>
      </w:tr>
      <w:tr w:rsidR="00B00D36" w:rsidRPr="00B00D36" w14:paraId="3BFD6CD7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CFC16D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Cxcl11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E0409E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Mmp3</w:t>
            </w:r>
          </w:p>
        </w:tc>
      </w:tr>
      <w:tr w:rsidR="00B00D36" w:rsidRPr="00B00D36" w14:paraId="6802B7E3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445403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Cxcl9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BE064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Mmp9</w:t>
            </w:r>
          </w:p>
        </w:tc>
      </w:tr>
      <w:tr w:rsidR="00B00D36" w:rsidRPr="00B00D36" w14:paraId="3EB1D5F2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B557C5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Erap1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9911A7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Mx1</w:t>
            </w:r>
          </w:p>
        </w:tc>
      </w:tr>
      <w:tr w:rsidR="00B00D36" w:rsidRPr="00B00D36" w14:paraId="24EB3A6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769890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Fas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BA521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Nfkb1</w:t>
            </w:r>
          </w:p>
        </w:tc>
      </w:tr>
      <w:tr w:rsidR="00B00D36" w:rsidRPr="00B00D36" w14:paraId="5A03D7DD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F2D692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Fbxo21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C27B2D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Nfkb2</w:t>
            </w:r>
          </w:p>
        </w:tc>
      </w:tr>
      <w:tr w:rsidR="00B00D36" w:rsidRPr="00B00D36" w14:paraId="54264E1B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07D0E4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Fbxo30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898ACB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Nos2</w:t>
            </w:r>
          </w:p>
        </w:tc>
      </w:tr>
      <w:tr w:rsidR="00B00D36" w:rsidRPr="00B00D36" w14:paraId="48FB2CB6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C8F3E0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Fbxo32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4C1CD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Oas1</w:t>
            </w:r>
          </w:p>
        </w:tc>
      </w:tr>
      <w:tr w:rsidR="00B00D36" w:rsidRPr="00B00D36" w14:paraId="69A6DC94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6EF1C6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Fos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2196E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Oas2</w:t>
            </w:r>
          </w:p>
        </w:tc>
      </w:tr>
      <w:tr w:rsidR="00B00D36" w:rsidRPr="00B00D36" w14:paraId="1772BE27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16910A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Gbp1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6B1A0C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Psmb8</w:t>
            </w:r>
          </w:p>
        </w:tc>
      </w:tr>
      <w:tr w:rsidR="00B00D36" w:rsidRPr="00B00D36" w14:paraId="16092118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7F5A46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Gbp2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AFD84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Psmb9</w:t>
            </w:r>
          </w:p>
        </w:tc>
      </w:tr>
      <w:tr w:rsidR="00B00D36" w:rsidRPr="00B00D36" w14:paraId="49AC4D72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7474E8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Gbp5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59BEBA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Rela</w:t>
            </w:r>
          </w:p>
        </w:tc>
      </w:tr>
      <w:tr w:rsidR="00B00D36" w:rsidRPr="00B00D36" w14:paraId="2DC04EEE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223D7D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H2-Aa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1C539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Ripk1</w:t>
            </w:r>
          </w:p>
        </w:tc>
      </w:tr>
      <w:tr w:rsidR="00B00D36" w:rsidRPr="00B00D36" w14:paraId="5828C8D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5A0D05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H2-Ab1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5653ED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Rsad2</w:t>
            </w:r>
          </w:p>
        </w:tc>
      </w:tr>
      <w:tr w:rsidR="00B00D36" w:rsidRPr="00B00D36" w14:paraId="43CBD7BC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AEFC2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H2-D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70B9E7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Sele</w:t>
            </w:r>
          </w:p>
        </w:tc>
      </w:tr>
      <w:tr w:rsidR="00B00D36" w:rsidRPr="00B00D36" w14:paraId="7FE6A3C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20153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H2-DMa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DB01F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Sell</w:t>
            </w:r>
          </w:p>
        </w:tc>
      </w:tr>
      <w:tr w:rsidR="00B00D36" w:rsidRPr="00B00D36" w14:paraId="2E08D83A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2748E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H2-DMb1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42517A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Slc7a5</w:t>
            </w:r>
          </w:p>
        </w:tc>
      </w:tr>
      <w:tr w:rsidR="00B00D36" w:rsidRPr="00B00D36" w14:paraId="0503D87A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45C074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H2-DMb2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98F2ED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Socs1</w:t>
            </w:r>
          </w:p>
        </w:tc>
      </w:tr>
      <w:tr w:rsidR="00B00D36" w:rsidRPr="00B00D36" w14:paraId="117D5554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F947DF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H2-Ea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EB2193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Socs3</w:t>
            </w:r>
          </w:p>
        </w:tc>
      </w:tr>
      <w:tr w:rsidR="00B00D36" w:rsidRPr="00B00D36" w14:paraId="6AAF8E6F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3F39F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H2-Eb1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4A00A1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Stat1</w:t>
            </w:r>
          </w:p>
        </w:tc>
      </w:tr>
      <w:tr w:rsidR="00B00D36" w:rsidRPr="00B00D36" w14:paraId="11F18F85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BF82B1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H2-Eb2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A9ADBDE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Tap1</w:t>
            </w:r>
          </w:p>
        </w:tc>
      </w:tr>
      <w:tr w:rsidR="00B00D36" w:rsidRPr="00B00D36" w14:paraId="3238F603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B1B99C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H2-K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CE898C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Tap2</w:t>
            </w:r>
          </w:p>
        </w:tc>
      </w:tr>
      <w:tr w:rsidR="00B00D36" w:rsidRPr="00B00D36" w14:paraId="287A05C4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E42991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H2-L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BF81CE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Tnfaip3</w:t>
            </w:r>
          </w:p>
        </w:tc>
      </w:tr>
      <w:tr w:rsidR="00B00D36" w:rsidRPr="00B00D36" w14:paraId="019331A7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C3BF21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H2-Oa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2C2430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Tnfaip6</w:t>
            </w:r>
          </w:p>
        </w:tc>
      </w:tr>
      <w:tr w:rsidR="00B00D36" w:rsidRPr="00B00D36" w14:paraId="4D905F09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6E484A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H2-Ob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7C28C6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Tnfrsf1a</w:t>
            </w:r>
          </w:p>
        </w:tc>
      </w:tr>
      <w:tr w:rsidR="00B00D36" w:rsidRPr="00B00D36" w14:paraId="37672568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69AACC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H2-Q10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6E341F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Tnfrsf1b</w:t>
            </w:r>
          </w:p>
        </w:tc>
      </w:tr>
      <w:tr w:rsidR="00B00D36" w:rsidRPr="00B00D36" w14:paraId="38EFFEC3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B12DDD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H2-Q7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DD5AA3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Tradd</w:t>
            </w:r>
          </w:p>
        </w:tc>
      </w:tr>
      <w:tr w:rsidR="00B00D36" w:rsidRPr="00B00D36" w14:paraId="0F1500AB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A0D3F3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H2-T22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93E88D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Traf2</w:t>
            </w:r>
          </w:p>
        </w:tc>
      </w:tr>
      <w:tr w:rsidR="00B00D36" w:rsidRPr="00B00D36" w14:paraId="2549F9E7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3C7620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H2-T23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309AD4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Trim21</w:t>
            </w:r>
          </w:p>
        </w:tc>
      </w:tr>
      <w:tr w:rsidR="00B00D36" w:rsidRPr="00B00D36" w14:paraId="71D19EE3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204DCB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Hif1a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9492D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Trim25</w:t>
            </w:r>
          </w:p>
        </w:tc>
      </w:tr>
      <w:tr w:rsidR="00B00D36" w:rsidRPr="00B00D36" w14:paraId="150ED4C8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C95C6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Icam1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4EBCC7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Trim32</w:t>
            </w:r>
          </w:p>
        </w:tc>
      </w:tr>
      <w:tr w:rsidR="00B00D36" w:rsidRPr="00B00D36" w14:paraId="751E789B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505CC4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Ido1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A7BA96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Trim63</w:t>
            </w:r>
          </w:p>
        </w:tc>
      </w:tr>
      <w:tr w:rsidR="00B00D36" w:rsidRPr="00B00D36" w14:paraId="05292B79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D05C85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Ifit1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51E2CEE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Vcam1</w:t>
            </w:r>
          </w:p>
        </w:tc>
      </w:tr>
      <w:tr w:rsidR="00B00D36" w:rsidRPr="00B00D36" w14:paraId="3AAF5860" w14:textId="77777777" w:rsidTr="00876E0C">
        <w:trPr>
          <w:trHeight w:val="223"/>
        </w:trPr>
        <w:tc>
          <w:tcPr>
            <w:tcW w:w="1898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7757E7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Ifit2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181C6A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Xiap</w:t>
            </w:r>
          </w:p>
        </w:tc>
      </w:tr>
      <w:tr w:rsidR="00B00D36" w:rsidRPr="00B00D36" w14:paraId="0E93494F" w14:textId="77777777" w:rsidTr="00B00D36">
        <w:trPr>
          <w:trHeight w:val="264"/>
        </w:trPr>
        <w:tc>
          <w:tcPr>
            <w:tcW w:w="18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73DE34F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Calibri" w:eastAsia="Times New Roman" w:hAnsi="Calibri" w:cs="Calibri"/>
                <w:color w:val="000000"/>
                <w:kern w:val="24"/>
                <w:sz w:val="18"/>
                <w:szCs w:val="18"/>
                <w:lang w:val="en-GB" w:eastAsia="fr-FR"/>
                <w14:ligatures w14:val="none"/>
              </w:rPr>
              <w:t>Il12b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A1C1C4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</w:tr>
    </w:tbl>
    <w:p w14:paraId="43700BA7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</w:p>
    <w:p w14:paraId="3C7BE919" w14:textId="77777777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Calibri" w:eastAsia="Calibri" w:hAnsi="Times New Roman" w:cs="Times New Roman"/>
          <w:b/>
          <w:bCs/>
          <w:kern w:val="0"/>
          <w:sz w:val="22"/>
          <w:szCs w:val="22"/>
          <w:lang w:val="en-GB"/>
          <w14:ligatures w14:val="none"/>
        </w:rPr>
        <w:br w:type="page"/>
      </w:r>
    </w:p>
    <w:p w14:paraId="78AA3F57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lastRenderedPageBreak/>
        <w:t>Table S2: List of molecules used for drug screening</w:t>
      </w:r>
    </w:p>
    <w:tbl>
      <w:tblPr>
        <w:tblW w:w="86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34"/>
        <w:gridCol w:w="5726"/>
      </w:tblGrid>
      <w:tr w:rsidR="00B00D36" w:rsidRPr="00B00D36" w14:paraId="0A11A4F0" w14:textId="77777777" w:rsidTr="00876E0C">
        <w:trPr>
          <w:trHeight w:val="366"/>
        </w:trPr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CF5F3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lang w:val="en-GB" w:eastAsia="fr-FR"/>
                <w14:ligatures w14:val="none"/>
              </w:rPr>
              <w:t xml:space="preserve">Drug </w:t>
            </w:r>
          </w:p>
        </w:tc>
        <w:tc>
          <w:tcPr>
            <w:tcW w:w="5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4432B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lang w:val="en-GB" w:eastAsia="fr-FR"/>
                <w14:ligatures w14:val="none"/>
              </w:rPr>
              <w:t>Effect</w:t>
            </w:r>
          </w:p>
        </w:tc>
      </w:tr>
      <w:tr w:rsidR="00B00D36" w:rsidRPr="00B00D36" w14:paraId="2B89EE99" w14:textId="77777777" w:rsidTr="00876E0C">
        <w:trPr>
          <w:trHeight w:val="446"/>
        </w:trPr>
        <w:tc>
          <w:tcPr>
            <w:tcW w:w="29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F13645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Mycophenolic acid (MPA) </w:t>
            </w:r>
          </w:p>
        </w:tc>
        <w:tc>
          <w:tcPr>
            <w:tcW w:w="5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BBDFE9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Antiviral, immunosuppresive</w:t>
            </w:r>
          </w:p>
        </w:tc>
      </w:tr>
      <w:tr w:rsidR="00B00D36" w:rsidRPr="00B00D36" w14:paraId="36CCF4C2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932E49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Rosiglitazone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638407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PPAR</w:t>
            </w:r>
            <w:r w:rsidRPr="00B00D36">
              <w:rPr>
                <w:rFonts w:ascii="Symbol" w:eastAsia="Times New Roman" w:hAnsi="Symbol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g</w:t>
            </w: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 agonist</w:t>
            </w:r>
          </w:p>
        </w:tc>
      </w:tr>
      <w:tr w:rsidR="00B00D36" w:rsidRPr="00B00D36" w14:paraId="127E56F7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D685C0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Ginsenoside Rd 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5F756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Inhibits TNF-α-induced NF-κB transcriptional activity</w:t>
            </w:r>
          </w:p>
        </w:tc>
      </w:tr>
      <w:tr w:rsidR="00B00D36" w:rsidRPr="00B00D36" w14:paraId="44028263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B0877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Setanaxib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E082B0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Selective NADPH oxidase (NOX1/4) inhibitor</w:t>
            </w:r>
          </w:p>
        </w:tc>
      </w:tr>
      <w:tr w:rsidR="00B00D36" w:rsidRPr="00B00D36" w14:paraId="58D30E06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0F1BF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Resveratrol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5707CC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 Anti-oxidant, anti-inflammatory, cardioprotective, anti-cancer</w:t>
            </w:r>
          </w:p>
        </w:tc>
      </w:tr>
      <w:tr w:rsidR="00B00D36" w:rsidRPr="00B00D36" w14:paraId="495364CC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CDF21E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Empagliflozin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CE3EFD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Selective sodium glucose cotransporter-2 (SGLT-2) inhibitor</w:t>
            </w:r>
          </w:p>
        </w:tc>
      </w:tr>
      <w:tr w:rsidR="00B00D36" w:rsidRPr="00B00D36" w14:paraId="4648C58C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4ECDBD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Sildenafil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78728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 Phosphodiesterase type 5 (PDE5) inhibitor</w:t>
            </w:r>
          </w:p>
        </w:tc>
      </w:tr>
      <w:tr w:rsidR="00B00D36" w:rsidRPr="00B00D36" w14:paraId="61E433D4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F78A7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A-769662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5494FA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AMP-activated protein kinase (AMPK) activator</w:t>
            </w:r>
          </w:p>
        </w:tc>
      </w:tr>
      <w:tr w:rsidR="00B00D36" w:rsidRPr="00B00D36" w14:paraId="3F12FF41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A53345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Pyridone 6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AC9D14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Pan-JAK inhibitor</w:t>
            </w:r>
          </w:p>
        </w:tc>
      </w:tr>
      <w:tr w:rsidR="00B00D36" w:rsidRPr="00B00D36" w14:paraId="75679D00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D7252C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Prednisolone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9EA8B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Anti-inflammatory and immunosuppressive</w:t>
            </w:r>
          </w:p>
        </w:tc>
      </w:tr>
      <w:tr w:rsidR="00B00D36" w:rsidRPr="00B00D36" w14:paraId="2EF008F8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FF0648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Deflazacort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0C69C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Anti-inflammatory and immunosuppressive</w:t>
            </w:r>
          </w:p>
        </w:tc>
      </w:tr>
      <w:tr w:rsidR="00B00D36" w:rsidRPr="00B00D36" w14:paraId="7BFD78CA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94D1B5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>Rapamycin</w:t>
            </w:r>
          </w:p>
        </w:tc>
        <w:tc>
          <w:tcPr>
            <w:tcW w:w="574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DEEC2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0"/>
                <w:szCs w:val="20"/>
                <w:lang w:val="en-GB" w:eastAsia="fr-FR"/>
                <w14:ligatures w14:val="none"/>
              </w:rPr>
              <w:t xml:space="preserve"> Specific mTOR inhibitor</w:t>
            </w:r>
          </w:p>
        </w:tc>
      </w:tr>
      <w:tr w:rsidR="00B00D36" w:rsidRPr="00B00D36" w14:paraId="5769B5C6" w14:textId="77777777" w:rsidTr="00876E0C">
        <w:trPr>
          <w:trHeight w:val="446"/>
        </w:trPr>
        <w:tc>
          <w:tcPr>
            <w:tcW w:w="29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0FE860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1"/>
                <w:szCs w:val="21"/>
                <w:lang w:val="en-GB" w:eastAsia="fr-FR"/>
                <w14:ligatures w14:val="none"/>
              </w:rPr>
              <w:t>Vamorolone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2829D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1"/>
                <w:szCs w:val="21"/>
                <w:lang w:val="en-GB" w:eastAsia="fr-FR"/>
                <w14:ligatures w14:val="none"/>
              </w:rPr>
              <w:t xml:space="preserve">Anti-inflammatory </w:t>
            </w:r>
          </w:p>
        </w:tc>
      </w:tr>
    </w:tbl>
    <w:p w14:paraId="2F6D8E8D" w14:textId="0149515B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</w:p>
    <w:p w14:paraId="7021A170" w14:textId="77777777" w:rsidR="00B00D36" w:rsidRDefault="00B00D36">
      <w:pPr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  <w:r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br w:type="page"/>
      </w:r>
    </w:p>
    <w:p w14:paraId="19028574" w14:textId="74C2CC39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lastRenderedPageBreak/>
        <w:t>Table S3: List of primers and probes</w:t>
      </w:r>
    </w:p>
    <w:tbl>
      <w:tblPr>
        <w:tblW w:w="104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32"/>
        <w:gridCol w:w="1354"/>
        <w:gridCol w:w="120"/>
        <w:gridCol w:w="1918"/>
        <w:gridCol w:w="447"/>
        <w:gridCol w:w="1831"/>
        <w:gridCol w:w="2778"/>
      </w:tblGrid>
      <w:tr w:rsidR="00B00D36" w:rsidRPr="00B00D36" w14:paraId="33FF8912" w14:textId="77777777" w:rsidTr="00876E0C">
        <w:trPr>
          <w:trHeight w:val="291"/>
        </w:trPr>
        <w:tc>
          <w:tcPr>
            <w:tcW w:w="2032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0C6640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Application</w:t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5F8618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Gene</w:t>
            </w:r>
          </w:p>
        </w:tc>
        <w:tc>
          <w:tcPr>
            <w:tcW w:w="20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4C27FB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Forward (5’-3’)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A9DDB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Reverse (5’-3’)</w:t>
            </w:r>
          </w:p>
        </w:tc>
        <w:tc>
          <w:tcPr>
            <w:tcW w:w="277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AAA16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Probe (for Taqman qPCR)</w:t>
            </w:r>
          </w:p>
        </w:tc>
      </w:tr>
      <w:tr w:rsidR="00B00D36" w:rsidRPr="00B00D36" w14:paraId="5566505F" w14:textId="77777777" w:rsidTr="00876E0C">
        <w:trPr>
          <w:trHeight w:val="291"/>
        </w:trPr>
        <w:tc>
          <w:tcPr>
            <w:tcW w:w="2032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3A5366" w14:textId="77777777" w:rsidR="00B00D36" w:rsidRPr="00B00D36" w:rsidRDefault="00B00D36" w:rsidP="00B00D36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TaqMan RTqPCR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9E646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Rplp0 (P0)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7F3A2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CTCCAAGCAGATGCAGCAGA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E6EFE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ATAGCCTTGCGCATCATGGT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98EC69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CCGTGGTGCTGATGGGCAAGAA</w:t>
            </w:r>
          </w:p>
        </w:tc>
      </w:tr>
      <w:tr w:rsidR="00B00D36" w:rsidRPr="00B00D36" w14:paraId="3AE5BF36" w14:textId="77777777" w:rsidTr="00876E0C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63676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04209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FKRP transgene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620A08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CAGTGCAGGCTGCCTATCAG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27A6F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TGTGGGCCAGGGCATTAG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3CB48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AAGTGGTGGCTGGTGTG</w:t>
            </w:r>
          </w:p>
        </w:tc>
      </w:tr>
      <w:tr w:rsidR="00B00D36" w:rsidRPr="00B00D36" w14:paraId="311A7793" w14:textId="77777777" w:rsidTr="00876E0C">
        <w:trPr>
          <w:trHeight w:val="291"/>
        </w:trPr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E5483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rAAV titration qPCR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911534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HBB2 polyA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B3D18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CCAGGCGAGGAGAAACCA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57B38D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CTTGACTCCACTCAGTTCTCTTGCT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340341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CTCGCCGTAAAACATGGAAGGAACACTTC</w:t>
            </w:r>
          </w:p>
        </w:tc>
      </w:tr>
      <w:tr w:rsidR="00B00D36" w:rsidRPr="00B00D36" w14:paraId="4B0BC7B7" w14:textId="77777777" w:rsidTr="00876E0C">
        <w:trPr>
          <w:trHeight w:val="291"/>
        </w:trPr>
        <w:tc>
          <w:tcPr>
            <w:tcW w:w="203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69FE7E" w14:textId="77777777" w:rsidR="00B00D36" w:rsidRPr="00B00D36" w:rsidRDefault="00B00D36" w:rsidP="00B00D36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Vector copy number qPCR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551B8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HBB2 polyA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C0E48F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CCAGGCGAGGAGAAACCA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11D85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CTTGACTCCACTCAGTTCTCTTGCT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6A4603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CTCGCCGTAAAACATGGAAGGAACACTTC</w:t>
            </w:r>
          </w:p>
        </w:tc>
      </w:tr>
      <w:tr w:rsidR="00B00D36" w:rsidRPr="00B00D36" w14:paraId="276BD877" w14:textId="77777777" w:rsidTr="00876E0C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F997FE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B489CF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6"/>
                <w:szCs w:val="16"/>
                <w:lang w:val="en-GB" w:eastAsia="fr-FR"/>
                <w14:ligatures w14:val="none"/>
              </w:rPr>
              <w:t>Titin-Mex5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BBA008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TTCAGTCATGCTGCTAGCGC</w:t>
            </w:r>
          </w:p>
        </w:tc>
        <w:tc>
          <w:tcPr>
            <w:tcW w:w="227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B30440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AAAACGAGCAGTGACGTGAGC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B6D08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14"/>
                <w:szCs w:val="14"/>
                <w:lang w:val="en-GB" w:eastAsia="fr-FR"/>
                <w14:ligatures w14:val="none"/>
              </w:rPr>
              <w:t>TGCACGGAAGCGTCTCGTCTCAGTC</w:t>
            </w:r>
          </w:p>
        </w:tc>
      </w:tr>
      <w:tr w:rsidR="00B00D36" w:rsidRPr="00B00D36" w14:paraId="3D1F12AD" w14:textId="77777777" w:rsidTr="00876E0C">
        <w:trPr>
          <w:trHeight w:val="289"/>
        </w:trPr>
        <w:tc>
          <w:tcPr>
            <w:tcW w:w="3506" w:type="dxa"/>
            <w:gridSpan w:val="3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5C10E3" w14:textId="77777777" w:rsidR="00B00D36" w:rsidRPr="00B00D36" w:rsidRDefault="00B00D36" w:rsidP="00B00D36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TaqMan Gene Expression assays (Thermofisher)</w:t>
            </w:r>
          </w:p>
        </w:tc>
        <w:tc>
          <w:tcPr>
            <w:tcW w:w="236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A00D57E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Gene</w:t>
            </w:r>
          </w:p>
        </w:tc>
        <w:tc>
          <w:tcPr>
            <w:tcW w:w="4609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0B148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Ref.</w:t>
            </w:r>
          </w:p>
        </w:tc>
      </w:tr>
      <w:tr w:rsidR="00B00D36" w:rsidRPr="00B00D36" w14:paraId="1E3A8476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1C40F3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F49CC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Fkrp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2EFA0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Mm00557870_m1</w:t>
            </w:r>
          </w:p>
        </w:tc>
      </w:tr>
      <w:tr w:rsidR="00B00D36" w:rsidRPr="00B00D36" w14:paraId="6A4D41FD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F852E5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91059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Fktn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9048FF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Mm00519882_m1</w:t>
            </w:r>
          </w:p>
        </w:tc>
      </w:tr>
      <w:tr w:rsidR="00B00D36" w:rsidRPr="00B00D36" w14:paraId="07BBF892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E981B8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223E8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Ispd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C5438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Mm04212666_m1</w:t>
            </w:r>
          </w:p>
        </w:tc>
      </w:tr>
      <w:tr w:rsidR="00B00D36" w:rsidRPr="00B00D36" w14:paraId="3588AE91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3BB5CF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BA9C9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Pomgnt1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415DB3D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Mm01188547_m1</w:t>
            </w:r>
          </w:p>
        </w:tc>
      </w:tr>
      <w:tr w:rsidR="00B00D36" w:rsidRPr="00B00D36" w14:paraId="7F035101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9DD0BC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5D90E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Pomt1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8C5771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Mm00520170_m1</w:t>
            </w:r>
          </w:p>
        </w:tc>
      </w:tr>
      <w:tr w:rsidR="00B00D36" w:rsidRPr="00B00D36" w14:paraId="54026AC8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479417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E09129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Large1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D1B1BB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Mm00521885_m1</w:t>
            </w:r>
          </w:p>
        </w:tc>
      </w:tr>
      <w:tr w:rsidR="00B00D36" w:rsidRPr="00B00D36" w14:paraId="09B4D0AF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C762CE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B26651C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Dag1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01A8C7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Mm00802400_m1</w:t>
            </w:r>
          </w:p>
        </w:tc>
      </w:tr>
      <w:tr w:rsidR="00B00D36" w:rsidRPr="00B00D36" w14:paraId="63FB53C8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B67CBF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DCADE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Ifng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08ADAB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Mm01168134_m1</w:t>
            </w:r>
          </w:p>
        </w:tc>
      </w:tr>
      <w:tr w:rsidR="00B00D36" w:rsidRPr="00B00D36" w14:paraId="118D4499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CA179E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F8DAD2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Tnfa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EF7CA3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Mm00443258_m1</w:t>
            </w:r>
          </w:p>
        </w:tc>
      </w:tr>
      <w:tr w:rsidR="00B00D36" w:rsidRPr="00B00D36" w14:paraId="0A9D60EA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8D4AB7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E7843F9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Il6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D453BE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Mm00446190_m1</w:t>
            </w:r>
          </w:p>
        </w:tc>
      </w:tr>
      <w:tr w:rsidR="00B00D36" w:rsidRPr="00B00D36" w14:paraId="69D4913F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9BB006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BCA6CE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Ccl2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557F166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Mm00441242_m1</w:t>
            </w:r>
          </w:p>
        </w:tc>
      </w:tr>
      <w:tr w:rsidR="00B00D36" w:rsidRPr="00B00D36" w14:paraId="69E4F5CF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D50AC3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0A8B64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Ccl5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927025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Mm01302427_m1</w:t>
            </w:r>
          </w:p>
        </w:tc>
      </w:tr>
      <w:tr w:rsidR="00B00D36" w:rsidRPr="00B00D36" w14:paraId="551E98D9" w14:textId="77777777" w:rsidTr="00876E0C">
        <w:trPr>
          <w:trHeight w:val="289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B6F326" w14:textId="77777777" w:rsidR="00B00D36" w:rsidRPr="00B00D36" w:rsidRDefault="00B00D36" w:rsidP="00B00D3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</w:p>
        </w:tc>
        <w:tc>
          <w:tcPr>
            <w:tcW w:w="236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9ABBCA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Irf1</w:t>
            </w:r>
          </w:p>
        </w:tc>
        <w:tc>
          <w:tcPr>
            <w:tcW w:w="460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231D0E" w14:textId="77777777" w:rsidR="00B00D36" w:rsidRPr="00B00D36" w:rsidRDefault="00B00D36" w:rsidP="00B00D36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24"/>
                <w:sz w:val="22"/>
                <w:szCs w:val="22"/>
                <w:lang w:val="en-GB" w:eastAsia="fr-FR"/>
                <w14:ligatures w14:val="none"/>
              </w:rPr>
              <w:t>Mm01288580_m1</w:t>
            </w:r>
          </w:p>
        </w:tc>
      </w:tr>
    </w:tbl>
    <w:p w14:paraId="11DA92DA" w14:textId="77777777" w:rsidR="00B00D36" w:rsidRPr="00B00D36" w:rsidRDefault="00B00D36" w:rsidP="00B00D36">
      <w:pPr>
        <w:spacing w:line="259" w:lineRule="auto"/>
        <w:rPr>
          <w:rFonts w:ascii="Calibri" w:eastAsia="Calibri" w:hAnsi="Times New Roman" w:cs="Times New Roman"/>
          <w:b/>
          <w:kern w:val="0"/>
          <w:sz w:val="28"/>
          <w:szCs w:val="28"/>
          <w:lang w:val="en-GB"/>
          <w14:ligatures w14:val="none"/>
        </w:rPr>
      </w:pPr>
    </w:p>
    <w:p w14:paraId="09407CC1" w14:textId="77777777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Calibri" w:eastAsia="Calibri" w:hAnsi="Times New Roman" w:cs="Times New Roman"/>
          <w:b/>
          <w:bCs/>
          <w:kern w:val="0"/>
          <w:sz w:val="22"/>
          <w:szCs w:val="22"/>
          <w:lang w:val="en-GB"/>
          <w14:ligatures w14:val="none"/>
        </w:rPr>
        <w:br w:type="page"/>
      </w:r>
    </w:p>
    <w:p w14:paraId="09FEBD80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color w:val="000000"/>
          <w:kern w:val="0"/>
          <w:u w:color="000000"/>
          <w:bdr w:val="nil"/>
          <w:lang w:val="en-GB"/>
          <w14:ligatures w14:val="none"/>
        </w:rPr>
      </w:pPr>
      <w:r w:rsidRPr="00B00D36">
        <w:rPr>
          <w:rFonts w:ascii="Times New Roman" w:eastAsia="Arial Unicode MS" w:hAnsi="Times New Roman" w:cs="Times New Roman"/>
          <w:b/>
          <w:bCs/>
          <w:color w:val="000000"/>
          <w:kern w:val="0"/>
          <w:u w:color="000000"/>
          <w:bdr w:val="nil"/>
          <w:lang w:val="en-GB"/>
          <w14:ligatures w14:val="none"/>
        </w:rPr>
        <w:lastRenderedPageBreak/>
        <w:t>Table S4: List of primary antibodies used for WB or IHF</w:t>
      </w:r>
    </w:p>
    <w:tbl>
      <w:tblPr>
        <w:tblW w:w="97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160"/>
        <w:gridCol w:w="1820"/>
        <w:gridCol w:w="1840"/>
        <w:gridCol w:w="1620"/>
        <w:gridCol w:w="860"/>
      </w:tblGrid>
      <w:tr w:rsidR="00B00D36" w:rsidRPr="00B00D36" w14:paraId="50EA4A6A" w14:textId="77777777" w:rsidTr="00B00D36">
        <w:trPr>
          <w:trHeight w:val="512"/>
        </w:trPr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CB8929F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Protein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FDD9D4E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Supplier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3E86E03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Reference</w:t>
            </w:r>
          </w:p>
        </w:tc>
        <w:tc>
          <w:tcPr>
            <w:tcW w:w="18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6D1372A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Species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333E2A70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Application</w:t>
            </w:r>
          </w:p>
        </w:tc>
        <w:tc>
          <w:tcPr>
            <w:tcW w:w="8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2EEDEE7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Dilution</w:t>
            </w:r>
          </w:p>
        </w:tc>
      </w:tr>
      <w:tr w:rsidR="00B00D36" w:rsidRPr="00B00D36" w14:paraId="6E3322D8" w14:textId="77777777" w:rsidTr="00B00D36">
        <w:trPr>
          <w:trHeight w:val="597"/>
        </w:trPr>
        <w:tc>
          <w:tcPr>
            <w:tcW w:w="14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735A025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FKRP</w:t>
            </w:r>
          </w:p>
        </w:tc>
        <w:tc>
          <w:tcPr>
            <w:tcW w:w="21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F4D8AE6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In house</w:t>
            </w:r>
          </w:p>
        </w:tc>
        <w:tc>
          <w:tcPr>
            <w:tcW w:w="18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CD68322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In house</w:t>
            </w:r>
          </w:p>
        </w:tc>
        <w:tc>
          <w:tcPr>
            <w:tcW w:w="18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C716048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Rabbit</w:t>
            </w:r>
          </w:p>
        </w:tc>
        <w:tc>
          <w:tcPr>
            <w:tcW w:w="16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4877516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WB</w:t>
            </w:r>
          </w:p>
        </w:tc>
        <w:tc>
          <w:tcPr>
            <w:tcW w:w="8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BA3990C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1/100</w:t>
            </w:r>
          </w:p>
        </w:tc>
      </w:tr>
      <w:tr w:rsidR="00B00D36" w:rsidRPr="00B00D36" w14:paraId="78DABF50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3ACCAF3B" w14:textId="63B458BE" w:rsidR="00B00D36" w:rsidRPr="00B00D36" w:rsidRDefault="00DB69AD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>
              <w:rPr>
                <w:rFonts w:ascii="Symbol" w:eastAsia="Times New Roman" w:hAnsi="Symbol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sym w:font="Symbol" w:char="F062"/>
            </w:r>
            <w:r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-actin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96B4086" w14:textId="5515B7DC" w:rsidR="00B00D36" w:rsidRPr="00B00D36" w:rsidRDefault="00DB69AD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DB69AD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Sigma-Aldrich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2974992" w14:textId="2D8C20CF" w:rsidR="00B00D36" w:rsidRPr="00B00D36" w:rsidRDefault="000B4EC8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0B4EC8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A1978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0EE274E" w14:textId="0005E579" w:rsidR="00B00D36" w:rsidRPr="00B00D36" w:rsidRDefault="000B4EC8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Mouse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B6696D5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WB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39B53C65" w14:textId="59936BD0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1/</w:t>
            </w:r>
            <w:r w:rsidR="000B4EC8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300</w:t>
            </w:r>
          </w:p>
        </w:tc>
      </w:tr>
      <w:tr w:rsidR="00B00D36" w:rsidRPr="00B00D36" w14:paraId="12439D4D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AEA4AFB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alpha-DG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94B872F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DSHB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318DBD43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IIH6C4-S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25A28D1B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Mouse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80C0F83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WB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31BBF21A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1/50</w:t>
            </w:r>
          </w:p>
        </w:tc>
      </w:tr>
      <w:tr w:rsidR="00B00D36" w:rsidRPr="00B00D36" w14:paraId="14B4ED97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6F63BE2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beta-DG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F642DAE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DSHB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1397195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MANDAG2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3C74742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Mouse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F0578A1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WB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FF1A789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1/200</w:t>
            </w:r>
          </w:p>
        </w:tc>
      </w:tr>
      <w:tr w:rsidR="00B00D36" w:rsidRPr="00B00D36" w14:paraId="58F58B68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C0B83E2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b/>
                <w:bCs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CD11b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0CF609F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BD Pharmingen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EBAA6C8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550282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299CF32A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Rat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529680E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IHF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208993BD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1/40</w:t>
            </w:r>
          </w:p>
        </w:tc>
      </w:tr>
      <w:tr w:rsidR="00B00D36" w:rsidRPr="00B00D36" w14:paraId="040292F5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EF1F523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b/>
                <w:bCs/>
                <w:color w:val="000000"/>
                <w:sz w:val="18"/>
                <w:szCs w:val="18"/>
                <w:lang w:val="en-GB" w:eastAsia="fr-FR"/>
                <w14:ligatures w14:val="none"/>
              </w:rPr>
              <w:t>CD68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3563030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Bio-Rad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C834734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MCA1957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34F5E58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Rat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6E3489C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IHF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8655F37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1/500</w:t>
            </w:r>
          </w:p>
        </w:tc>
      </w:tr>
      <w:tr w:rsidR="00B00D36" w:rsidRPr="00B00D36" w14:paraId="3D7FC1B5" w14:textId="77777777" w:rsidTr="00876E0C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1CC698A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b/>
                <w:bCs/>
                <w:color w:val="000000"/>
                <w:sz w:val="18"/>
                <w:szCs w:val="18"/>
                <w:lang w:val="en-GB" w:eastAsia="fr-FR"/>
                <w14:ligatures w14:val="none"/>
              </w:rPr>
              <w:t>CD4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49F9B73D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Times New Roman" w:hAnsi="Aptos" w:cs="Arial"/>
                <w:color w:val="000000"/>
                <w:kern w:val="0"/>
                <w:sz w:val="18"/>
                <w:szCs w:val="18"/>
                <w:lang w:val="en-GB" w:eastAsia="fr-FR"/>
                <w14:ligatures w14:val="none"/>
              </w:rPr>
              <w:t>BD Pharmingen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BF76C6A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550280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2E06DC66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Rat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842103E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IHF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7975F688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1/40</w:t>
            </w:r>
          </w:p>
        </w:tc>
      </w:tr>
      <w:tr w:rsidR="00B00D36" w:rsidRPr="00B00D36" w14:paraId="346CFC7A" w14:textId="77777777" w:rsidTr="00B00D36">
        <w:trPr>
          <w:trHeight w:val="597"/>
        </w:trPr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93711CC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b/>
                <w:bCs/>
                <w:color w:val="000000"/>
                <w:sz w:val="18"/>
                <w:szCs w:val="18"/>
                <w:lang w:val="en-GB" w:eastAsia="fr-FR"/>
                <w14:ligatures w14:val="none"/>
              </w:rPr>
              <w:t>CD8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00B29F2C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Thermo Fisher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F910937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MA5-17594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5A1B5F97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Rat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672F1CA3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IHF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14:paraId="156A91ED" w14:textId="77777777" w:rsidR="00B00D36" w:rsidRPr="00B00D36" w:rsidRDefault="00B00D36" w:rsidP="00B00D36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36"/>
                <w:szCs w:val="36"/>
                <w:lang w:val="en-GB" w:eastAsia="fr-FR"/>
                <w14:ligatures w14:val="none"/>
              </w:rPr>
            </w:pPr>
            <w:r w:rsidRPr="00B00D36">
              <w:rPr>
                <w:rFonts w:ascii="Aptos" w:eastAsia="Aptos" w:hAnsi="Aptos" w:cs="Times New Roman"/>
                <w:color w:val="000000"/>
                <w:sz w:val="18"/>
                <w:szCs w:val="18"/>
                <w:lang w:val="en-GB" w:eastAsia="fr-FR"/>
                <w14:ligatures w14:val="none"/>
              </w:rPr>
              <w:t>1/40</w:t>
            </w:r>
          </w:p>
        </w:tc>
      </w:tr>
    </w:tbl>
    <w:p w14:paraId="541EA3D1" w14:textId="77777777" w:rsidR="00B00D36" w:rsidRPr="00B00D36" w:rsidRDefault="00B00D36" w:rsidP="00B00D3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80" w:lineRule="auto"/>
        <w:jc w:val="both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</w:p>
    <w:p w14:paraId="367F7E6A" w14:textId="77777777" w:rsidR="00B00D36" w:rsidRPr="00B00D36" w:rsidRDefault="00B00D36" w:rsidP="00B00D36">
      <w:pPr>
        <w:spacing w:line="259" w:lineRule="auto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u w:color="000000"/>
          <w:bdr w:val="nil"/>
          <w:lang w:val="en-GB"/>
          <w14:ligatures w14:val="none"/>
        </w:rPr>
      </w:pPr>
      <w:r w:rsidRPr="00B00D36">
        <w:rPr>
          <w:rFonts w:ascii="Calibri" w:eastAsia="Calibri" w:hAnsi="Times New Roman" w:cs="Times New Roman"/>
          <w:b/>
          <w:kern w:val="0"/>
          <w:sz w:val="28"/>
          <w:szCs w:val="28"/>
          <w:lang w:val="en-GB"/>
          <w14:ligatures w14:val="none"/>
        </w:rPr>
        <w:br w:type="page"/>
      </w:r>
    </w:p>
    <w:p w14:paraId="54217B27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lastRenderedPageBreak/>
        <w:t>30. Karki R, Sharma BR, Tuladhar S, Williams EP, Zalduondo L, Samir P, et al. Synergism of TNF-α and IFN-γ Triggers Inflammatory Cell Death, Tissue Damage, and Mortality in SARS-CoV-2 Infection and Cytokine Shock Syndromes. Cell. 2021;184:149-168.e17. https://doi.org/10.1016/j.cell.2020.11.025</w:t>
      </w:r>
    </w:p>
    <w:p w14:paraId="237E6E6C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32. Ma JF, Sanchez BJ, Hall DT, Tremblay AK, Di Marco S, Gallouzi I. </w:t>
      </w:r>
      <w:r w:rsidRPr="00B00D36">
        <w:rPr>
          <w:rFonts w:ascii="Calibri" w:eastAsia="Calibri" w:hAnsi="Calibri" w:cs="Arial"/>
          <w:smallCaps/>
          <w:kern w:val="0"/>
          <w:sz w:val="22"/>
          <w:szCs w:val="22"/>
          <w:lang w:val="en-GB"/>
          <w14:ligatures w14:val="none"/>
        </w:rPr>
        <w:t>STAT</w:t>
      </w: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 3 promotes </w:t>
      </w:r>
      <w:r w:rsidRPr="00B00D36">
        <w:rPr>
          <w:rFonts w:ascii="Calibri" w:eastAsia="Calibri" w:hAnsi="Calibri" w:cs="Arial"/>
          <w:smallCaps/>
          <w:kern w:val="0"/>
          <w:sz w:val="22"/>
          <w:szCs w:val="22"/>
          <w:lang w:val="en-GB"/>
          <w14:ligatures w14:val="none"/>
        </w:rPr>
        <w:t>IFN</w:t>
      </w: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 γ/ </w:t>
      </w:r>
      <w:r w:rsidRPr="00B00D36">
        <w:rPr>
          <w:rFonts w:ascii="Calibri" w:eastAsia="Calibri" w:hAnsi="Calibri" w:cs="Arial"/>
          <w:smallCaps/>
          <w:kern w:val="0"/>
          <w:sz w:val="22"/>
          <w:szCs w:val="22"/>
          <w:lang w:val="en-GB"/>
          <w14:ligatures w14:val="none"/>
        </w:rPr>
        <w:t>TNF</w:t>
      </w: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 α‐induced muscle wasting in an </w:t>
      </w:r>
      <w:r w:rsidRPr="00B00D36">
        <w:rPr>
          <w:rFonts w:ascii="Calibri" w:eastAsia="Calibri" w:hAnsi="Calibri" w:cs="Arial"/>
          <w:smallCaps/>
          <w:kern w:val="0"/>
          <w:sz w:val="22"/>
          <w:szCs w:val="22"/>
          <w:lang w:val="en-GB"/>
          <w14:ligatures w14:val="none"/>
        </w:rPr>
        <w:t>NF</w:t>
      </w: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 ‐κB‐dependent and </w:t>
      </w:r>
      <w:r w:rsidRPr="00B00D36">
        <w:rPr>
          <w:rFonts w:ascii="Calibri" w:eastAsia="Calibri" w:hAnsi="Calibri" w:cs="Arial"/>
          <w:smallCaps/>
          <w:kern w:val="0"/>
          <w:sz w:val="22"/>
          <w:szCs w:val="22"/>
          <w:lang w:val="en-GB"/>
          <w14:ligatures w14:val="none"/>
        </w:rPr>
        <w:t>IL</w:t>
      </w: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 xml:space="preserve"> ‐6‐independent manner. EMBO Mol Med. 2017;9:622–37. https://doi.org/10.15252/emmm.201607052</w:t>
      </w:r>
    </w:p>
    <w:p w14:paraId="445EE440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>33. Zhang F, Mears JR, Shakib L, Beynor JI, Shanaj S, Korsunsky I, et al. IFN-γ and TNF-α drive a CXCL10+ CCL2+ macrophage phenotype expanded in severe COVID-19 lungs and inflammatory diseases with tissue inflammation. Genome Med. 2021;13:64. https://doi.org/10.1186/s13073-021-00881-3</w:t>
      </w:r>
    </w:p>
    <w:p w14:paraId="07673BE0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>51. Paludan SR. Synergistic action of pro-inflammatory agents: cellular and molecular aspects. J Leukoc Biol. 2000;67:18–25. https://doi.org/10.1002/jlb.67.1.18</w:t>
      </w:r>
    </w:p>
    <w:p w14:paraId="1E70C4F0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>52. Qiao Y, Giannopoulou EG, Chan CH, Park S, Gong S, Chen J, et al. Synergistic Activation of Inflammatory Cytokine Genes by Interferon-γ-Induced Chromatin Remodeling and Toll-like Receptor Signaling. Immunity. 2013;39:454–69. https://doi.org/10.1016/j.immuni.2013.08.009</w:t>
      </w:r>
    </w:p>
    <w:p w14:paraId="673FE661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>53. Ohmori Y, Schreiber RD, Hamilton TA. Synergy between Interferon-γ and Tumor Necrosis Factor-α in Transcriptional Activation Is Mediated by Cooperation between Signal Transducer and Activator of Transcription 1 and Nuclear Factor κB. J Biol Chem. 1997;272:14899–907. https://doi.org/10.1074/jbc.272.23.14899</w:t>
      </w:r>
    </w:p>
    <w:p w14:paraId="1976041D" w14:textId="77777777" w:rsidR="00B00D36" w:rsidRPr="00B00D36" w:rsidRDefault="00B00D36" w:rsidP="00B00D36">
      <w:pPr>
        <w:spacing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</w:pPr>
      <w:r w:rsidRPr="00B00D36">
        <w:rPr>
          <w:rFonts w:ascii="Calibri" w:eastAsia="Calibri" w:hAnsi="Calibri" w:cs="Arial"/>
          <w:kern w:val="0"/>
          <w:sz w:val="22"/>
          <w:szCs w:val="22"/>
          <w:lang w:val="en-GB"/>
          <w14:ligatures w14:val="none"/>
        </w:rPr>
        <w:t>54. Woznicki JA, Saini N, Flood P, Rajaram S, Lee CM, Stamou P, et al. TNF-α synergises with IFN-γ to induce caspase-8-JAK1/2-STAT1-dependent death of intestinal epithelial cells. Cell Death Dis. 2021;12:864. https://doi.org/10.1038/s41419-021-04151-3</w:t>
      </w:r>
    </w:p>
    <w:p w14:paraId="00DEC091" w14:textId="77777777" w:rsidR="004341FA" w:rsidRDefault="004341FA"/>
    <w:sectPr w:rsidR="004341FA" w:rsidSect="00B00D3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24"/>
    <w:rsid w:val="000B4EC8"/>
    <w:rsid w:val="004341FA"/>
    <w:rsid w:val="00445795"/>
    <w:rsid w:val="004970A9"/>
    <w:rsid w:val="008D7724"/>
    <w:rsid w:val="00B00D36"/>
    <w:rsid w:val="00B935D1"/>
    <w:rsid w:val="00DB69AD"/>
    <w:rsid w:val="00DF3D68"/>
    <w:rsid w:val="00E2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815D4"/>
  <w15:chartTrackingRefBased/>
  <w15:docId w15:val="{8FFBF401-E738-4A4E-AA2A-A5392C70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7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7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77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77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7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7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7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7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7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77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77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7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77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7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77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77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77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7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7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7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7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7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77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77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77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7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77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959</Words>
  <Characters>5467</Characters>
  <Application>Microsoft Office Word</Application>
  <DocSecurity>0</DocSecurity>
  <Lines>45</Lines>
  <Paragraphs>12</Paragraphs>
  <ScaleCrop>false</ScaleCrop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Valère DESMEURE</dc:creator>
  <cp:keywords/>
  <dc:description/>
  <cp:lastModifiedBy>Valère DESMEURE</cp:lastModifiedBy>
  <cp:revision>4</cp:revision>
  <dcterms:created xsi:type="dcterms:W3CDTF">2026-05-07T16:42:00Z</dcterms:created>
  <dcterms:modified xsi:type="dcterms:W3CDTF">2026-05-07T17:07:00Z</dcterms:modified>
</cp:coreProperties>
</file>