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3168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598"/>
        <w:gridCol w:w="670"/>
        <w:gridCol w:w="4059"/>
        <w:gridCol w:w="862"/>
        <w:gridCol w:w="802"/>
        <w:gridCol w:w="802"/>
        <w:gridCol w:w="478"/>
        <w:gridCol w:w="866"/>
        <w:gridCol w:w="929"/>
        <w:gridCol w:w="934"/>
        <w:gridCol w:w="1518"/>
        <w:gridCol w:w="1086"/>
        <w:gridCol w:w="918"/>
        <w:gridCol w:w="918"/>
        <w:gridCol w:w="918"/>
        <w:gridCol w:w="918"/>
        <w:gridCol w:w="918"/>
        <w:gridCol w:w="462"/>
        <w:gridCol w:w="622"/>
        <w:gridCol w:w="318"/>
        <w:gridCol w:w="870"/>
        <w:gridCol w:w="854"/>
        <w:gridCol w:w="1110"/>
        <w:gridCol w:w="1338"/>
        <w:gridCol w:w="1301"/>
        <w:gridCol w:w="1301"/>
        <w:gridCol w:w="1842"/>
        <w:gridCol w:w="822"/>
        <w:gridCol w:w="822"/>
        <w:gridCol w:w="135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number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Gender（Female 0, Male 1）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Age(years)</w:t>
            </w:r>
          </w:p>
        </w:tc>
        <w:tc>
          <w:tcPr>
            <w:tcW w:w="4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Associated Disease</w:t>
            </w:r>
          </w:p>
        </w:tc>
        <w:tc>
          <w:tcPr>
            <w:tcW w:w="8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WBC(*10^9/L)</w:t>
            </w:r>
          </w:p>
        </w:tc>
        <w:tc>
          <w:tcPr>
            <w:tcW w:w="80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LY(*10^9/L)</w:t>
            </w:r>
          </w:p>
        </w:tc>
        <w:tc>
          <w:tcPr>
            <w:tcW w:w="80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NE(*10^9/L)</w:t>
            </w:r>
          </w:p>
        </w:tc>
        <w:tc>
          <w:tcPr>
            <w:tcW w:w="47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HB(g/l)</w:t>
            </w:r>
          </w:p>
        </w:tc>
        <w:tc>
          <w:tcPr>
            <w:tcW w:w="86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PLT(*10^9/L)</w:t>
            </w:r>
          </w:p>
        </w:tc>
        <w:tc>
          <w:tcPr>
            <w:tcW w:w="929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Large granular lymphocyte count(*10^9/L)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LDH（140-271U/L)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Ferritin(23.9-336.2ng/ml)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β2-microglobulin（1.09-2.53mg/L)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Chromosomal abnormalities（0:negative，1:positive）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CD4（0:negative，1:positive）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CD8（0:negative，1:positive）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TCRαβ（0:negative，1:positive）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TCRγδ（0:negative，1:positive）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Fatigue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 symptoms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Rash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Hepatomegaly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Splenomegaly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Lymphadenopathy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Treatment(0.Non-drug treatment 1.MTX,2CTX,3.CSA 4.Others)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DCR1 (0:PR+CR,1:PD+NR)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DCR2 (0:CR,1:PR+PD+NR)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stat3 mutation(1:positive,0:negative)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TFS（month, until2018-10)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OS（month, until2018-10)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status（0:survival,1:death）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1" name="直线连接符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直线连接符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2" name="直线连接符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直线连接符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3" name="直线连接符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直线连接符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4" name="直线连接符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直线连接符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5" name="直线连接符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直线连接符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6" name="直线连接符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直线连接符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7" name="直线连接符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直线连接符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8" name="直线连接符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直线连接符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9" name="直线连接符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直线连接符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10" name="直线连接符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直线连接符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SLE,PRCA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11" name="直线连接符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直线连接符_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12" name="直线连接符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直线连接符_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13" name="直线连接符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直线连接符_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14" name="直线连接符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直线连接符_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15" name="直线连接符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直线连接符_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16" name="直线连接符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直线连接符_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AIHA，Antiphospholipid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Hypothyroidism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17" name="直线连接符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直线连接符_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18" name="直线连接符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直线连接符_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19" name="直线连接符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直线连接符_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20" name="直线连接符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直线连接符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PRCA,Sjogren's syndrome,Demyelinating diseases of nervous system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21" name="直线连接符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直线连接符_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22" name="直线连接符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直线连接符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23" name="直线连接符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直线连接符_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24" name="直线连接符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直线连接符_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Sjogren's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25" name="直线连接符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直线连接符_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26" name="直线连接符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直线连接符_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27" name="直线连接符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直线连接符_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28" name="直线连接符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直线连接符_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Dermatomyositis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SLE,Demyelinating diseases of nervous system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29" name="直线连接符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直线连接符_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30" name="直线连接符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直线连接符_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31" name="直线连接符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直线连接符_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32" name="直线连接符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直线连接符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Hemorrhagic fever with renal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33" name="直线连接符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直线连接符_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34" name="直线连接符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直线连接符_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195.9，3499.2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35" name="直线连接符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直线连接符_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36" name="直线连接符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直线连接符_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37" name="直线连接符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直线连接符_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38" name="直线连接符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直线连接符_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39" name="直线连接符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直线连接符_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40" name="直线连接符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直线连接符_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41" name="直线连接符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直线连接符_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42" name="直线连接符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直线连接符_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43" name="直线连接符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直线连接符_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44" name="直线连接符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直线连接符_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48" name="直线连接符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直线连接符_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45" name="直线连接符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直线连接符_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46" name="直线连接符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直线连接符_5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47" name="直线连接符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直线连接符_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ITP,Hyperthyroidism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50" name="直线连接符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直线连接符_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49" name="直线连接符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直线连接符_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51" name="直线连接符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直线连接符_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52" name="直线连接符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直线连接符_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53" name="直线连接符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直线连接符_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54" name="直线连接符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直线连接符_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55" name="直线连接符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直线连接符_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56" name="直线连接符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直线连接符_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57" name="直线连接符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直线连接符_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58" name="直线连接符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直线连接符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59" name="直线连接符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直线连接符_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355600</wp:posOffset>
                  </wp:positionH>
                  <wp:positionV relativeFrom="paragraph">
                    <wp:posOffset>118110</wp:posOffset>
                  </wp:positionV>
                  <wp:extent cx="127000" cy="0"/>
                  <wp:effectExtent l="0" t="0" r="0" b="0"/>
                  <wp:wrapNone/>
                  <wp:docPr id="60" name="直线连接符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直线连接符_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DengXi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DengXi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</w:tbl>
    <w:p>
      <w:pPr>
        <w:rPr>
          <w:rFonts w:hint="eastAsia" w:ascii="Times New Roman" w:hAnsi="Times New Roman" w:eastAsia="DengXian" w:cs="Times New Roman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ind w:right="-33" w:firstLine="0" w:firstLineChars="0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List of Supporting Information</w:t>
      </w:r>
    </w:p>
    <w:p>
      <w:pPr>
        <w:ind w:right="-33" w:firstLine="0" w:firstLineChars="0"/>
        <w:rPr>
          <w:rFonts w:hint="default" w:ascii="Times New Roman" w:hAnsi="Times New Roman" w:eastAsia="宋体" w:cs="Times New Roman"/>
          <w:i w:val="0"/>
          <w:caps w:val="0"/>
          <w:spacing w:val="0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Table S1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 w:val="0"/>
          <w:caps w:val="0"/>
          <w:spacing w:val="0"/>
          <w:sz w:val="20"/>
          <w:szCs w:val="20"/>
          <w:lang w:val="en-US" w:eastAsia="zh-CN"/>
        </w:rPr>
        <w:t>clinical and experimental characteristics of T-LGLL patients</w:t>
      </w:r>
    </w:p>
    <w:p>
      <w:pPr>
        <w:ind w:right="-33" w:firstLine="0" w:firstLineChars="0"/>
        <w:rPr>
          <w:rFonts w:hint="default" w:ascii="Times New Roman" w:hAnsi="Times New Roman" w:eastAsia="宋体" w:cs="Times New Roman"/>
          <w:i w:val="0"/>
          <w:caps w:val="0"/>
          <w:spacing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0"/>
          <w:sz w:val="20"/>
          <w:szCs w:val="20"/>
          <w:lang w:val="en-US" w:eastAsia="zh-CN"/>
        </w:rPr>
        <w:t>RA, Rheumatoid Arthritis; PRCA,Pure red blood cell aplastic anemia;SLE, Systemic lupus erythematosus;AIHA, Autoimmune hemolytic anemia;ITP,Idiopathic thrombocytopenic purpura;WBC, white blood cell;  LY,lymphocyte; NE,Neutrophil; HB,Hemoglobin; PLT, Platelets; LDH,Lactate dehydrogenase; TCR, t cell receptor; MTX, Methotrexate; CTX, Cyclophosphamide; CSA, Cyclosporine; DCR,disease control rate; PR, Partial remission; CR, complete remission; PD, progression of disease; NR, not remission; DCR2; TFS, tumor free survival;OS, overall survival;NA, not available.</w:t>
      </w:r>
    </w:p>
    <w:p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103F16"/>
    <w:rsid w:val="04AA69BD"/>
    <w:rsid w:val="07103F16"/>
    <w:rsid w:val="195B3740"/>
    <w:rsid w:val="338908C1"/>
    <w:rsid w:val="51FC667C"/>
    <w:rsid w:val="79D01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2020-03-08T11:43:00Z</dcterms:created>
  <dc:creator>曹蕾</dc:creator>
  <cp:lastModifiedBy>曹蕾</cp:lastModifiedBy>
  <dcterms:modified xsi:type="dcterms:W3CDTF">2020-06-06T11:25:49Z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