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C40F4">
      <w:pPr>
        <w:jc w:val="center"/>
      </w:pPr>
      <w:r>
        <w:rPr>
          <w:b/>
          <w:sz w:val="32"/>
        </w:rPr>
        <w:t>Supplementary Information</w:t>
      </w:r>
    </w:p>
    <w:p w14:paraId="15182853">
      <w:pPr>
        <w:jc w:val="center"/>
      </w:pPr>
      <w:r>
        <w:rPr>
          <w:i/>
        </w:rPr>
        <w:t>for “Early KDIGO trajectories after sepsis-associated acute kidney injury onset: an exploratory retrospective cohort study using MIMIC-IV”</w:t>
      </w:r>
    </w:p>
    <w:p w14:paraId="7D0F2B5A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eastAsia="宋体"/>
          <w:b w:val="0"/>
          <w:bCs/>
          <w:color w:val="auto"/>
          <w:sz w:val="21"/>
          <w:szCs w:val="21"/>
          <w:vertAlign w:val="superscript"/>
          <w:lang w:val="en-US" w:eastAsia="zh-CN"/>
        </w:rPr>
      </w:pPr>
      <w:r>
        <w:t>Zihan Liu</w:t>
      </w:r>
      <w:r>
        <w:rPr>
          <w:vertAlign w:val="superscript"/>
        </w:rPr>
        <w:t>1</w:t>
      </w:r>
      <w:r>
        <w:t>, Yueming Chen</w:t>
      </w:r>
      <w:r>
        <w:rPr>
          <w:vertAlign w:val="superscript"/>
        </w:rPr>
        <w:t>2</w:t>
      </w:r>
      <w:r>
        <w:t>, Ning Zhou</w:t>
      </w:r>
      <w:r>
        <w:rPr>
          <w:vertAlign w:val="superscript"/>
        </w:rPr>
        <w:t>2*</w:t>
      </w:r>
    </w:p>
    <w:p w14:paraId="4FA798C8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eastAsia="宋体"/>
          <w:b w:val="0"/>
          <w:bCs/>
          <w:color w:val="auto"/>
          <w:sz w:val="21"/>
          <w:szCs w:val="21"/>
          <w:vertAlign w:val="baseline"/>
          <w:lang w:val="en-US" w:eastAsia="zh-CN"/>
        </w:rPr>
      </w:pPr>
      <w:r>
        <w:t>1 First Affiliated Hospital of Jinan University, Guangzhou, Guangdong, China</w:t>
      </w:r>
      <w:bookmarkStart w:id="0" w:name="_GoBack"/>
      <w:bookmarkEnd w:id="0"/>
    </w:p>
    <w:p w14:paraId="4B4556CB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eastAsia="宋体"/>
          <w:b w:val="0"/>
          <w:bCs/>
          <w:color w:val="auto"/>
          <w:sz w:val="21"/>
          <w:szCs w:val="21"/>
          <w:vertAlign w:val="baseline"/>
          <w:lang w:val="en-US" w:eastAsia="zh-CN"/>
        </w:rPr>
      </w:pPr>
      <w:r>
        <w:t>2 Central People's Hospital of Zhanjiang, Zhanjiang, Guangdong, China</w:t>
      </w:r>
    </w:p>
    <w:p w14:paraId="0F009462">
      <w:pPr>
        <w:jc w:val="center"/>
        <w:rPr>
          <w:sz w:val="21"/>
          <w:szCs w:val="21"/>
        </w:rPr>
      </w:pPr>
      <w:r>
        <w:t>*Corresponding author: Ning Zhou (zjzhou121@163.com)</w:t>
      </w:r>
    </w:p>
    <w:p w14:paraId="6DA05FA7"/>
    <w:p w14:paraId="2E089967">
      <w:pPr>
        <w:pStyle w:val="2"/>
        <w:spacing w:before="240" w:after="120"/>
      </w:pPr>
      <w:r>
        <w:rPr>
          <w:b/>
        </w:rPr>
        <w:t>Supplementary contents</w:t>
      </w:r>
    </w:p>
    <w:p w14:paraId="0D662A4A">
      <w:pPr>
        <w:spacing w:after="120" w:line="276" w:lineRule="auto"/>
      </w:pPr>
      <w:r>
        <w:t>Supplementary Figures: Figure S1, three-class LCMM trajectories; Figure S2, ROC curves; Figure S3, calibration curves; Figure S4, decision curves; Figure S5, Kaplan–Meier survival curves.</w:t>
      </w:r>
    </w:p>
    <w:p w14:paraId="454FBF24">
      <w:pPr>
        <w:spacing w:after="120" w:line="276" w:lineRule="auto"/>
      </w:pPr>
      <w:r>
        <w:t>Supplementary Tables: Table S1, missingness and multiple imputation settings; Table S2, likelihood ratio tests and DeLong tests; Table S3, cross-tabulation of the simplified rule-based groups and the four-class LCMM categories; Table S4, discordant external analysis in eICU; Table S5, results of the three-class LCMM sensitivity analysis; Table S6, abbreviations; Table S7, time-window definitions, clinical meaning, and rationale for multivariable adjustment covariates; Table S8, discrimination performance at the optimal thresholds; Table S9, simplified rule-based algorithm and operational outcome definition; Table S10, model fit and classification quality of candidate LCMM models; Table S11, multiple imputation settings and missing-data diagnostics; Table S12, sensitivity analyses for alternative coding strategies; Table S13, included-versus-excluded audit comparison under the 96-hour landmark design; and Table S14, comparison between the complete-case and full landmark samples.</w:t>
      </w:r>
    </w:p>
    <w:p w14:paraId="3CFF3402">
      <w:pPr>
        <w:pStyle w:val="2"/>
        <w:spacing w:before="240" w:after="120"/>
      </w:pPr>
      <w:r>
        <w:rPr>
          <w:b/>
        </w:rPr>
        <w:t>Supplementary Figure Legends</w:t>
      </w:r>
    </w:p>
    <w:p w14:paraId="2DEB04C5">
      <w:pPr>
        <w:pStyle w:val="3"/>
        <w:spacing w:before="200" w:after="80"/>
      </w:pPr>
      <w:r>
        <w:rPr>
          <w:b/>
        </w:rPr>
        <w:t>Figure S1. Three-class LCMM trajectories</w:t>
      </w:r>
    </w:p>
    <w:p w14:paraId="61F700B8">
      <w:pPr>
        <w:spacing w:after="120" w:line="276" w:lineRule="auto"/>
      </w:pPr>
      <w:r>
        <w:t>The three-class model reproduced an overall gradient of low, intermediate, and high kidney injury burden, but provided less clinical granularity than the four-class main model.</w:t>
      </w:r>
    </w:p>
    <w:p w14:paraId="5FFE630D">
      <w:pPr>
        <w:jc w:val="center"/>
      </w:pPr>
      <w:r>
        <w:drawing>
          <wp:inline distT="0" distB="0" distL="114300" distR="114300">
            <wp:extent cx="5486400" cy="21259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26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DE215">
      <w:pPr>
        <w:pStyle w:val="3"/>
        <w:spacing w:before="200" w:after="80"/>
      </w:pPr>
      <w:r>
        <w:rPr>
          <w:b/>
        </w:rPr>
        <w:t>Figure S2. ROC curves for different models predicting 30-day mortality and day-7 persistent AKI or death</w:t>
      </w:r>
    </w:p>
    <w:p w14:paraId="3256DE56">
      <w:pPr>
        <w:spacing w:after="120" w:line="276" w:lineRule="auto"/>
      </w:pPr>
      <w:r>
        <w:t>Panel A shows ROC curves for 30-day mortality after the landmark time. Panel B shows ROC curves for day-7 persistent AKI or death.</w:t>
      </w:r>
      <w:r>
        <w:drawing>
          <wp:inline distT="0" distB="0" distL="114300" distR="114300">
            <wp:extent cx="5486400" cy="622808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FF426">
      <w:pPr>
        <w:pStyle w:val="3"/>
        <w:spacing w:before="200" w:after="80"/>
      </w:pPr>
      <w:r>
        <w:rPr>
          <w:b/>
        </w:rPr>
        <w:t>Figure S3. Calibration curves for different models predicting 30-day mortality and day-7 persistent AKI or death</w:t>
      </w:r>
    </w:p>
    <w:p w14:paraId="3D58D8B8">
      <w:pPr>
        <w:spacing w:after="120" w:line="276" w:lineRule="auto"/>
      </w:pPr>
      <w:r>
        <w:t>Panel A shows calibration curves for 30-day mortality after the landmark time. Panel B shows calibration curves for day-7 persistent AKI or death.</w:t>
      </w:r>
    </w:p>
    <w:p w14:paraId="76290885">
      <w:pPr>
        <w:jc w:val="center"/>
      </w:pPr>
      <w:r>
        <w:drawing>
          <wp:inline distT="0" distB="0" distL="114300" distR="114300">
            <wp:extent cx="5486400" cy="2286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5706F">
      <w:pPr>
        <w:pStyle w:val="3"/>
        <w:spacing w:before="200" w:after="80"/>
      </w:pPr>
      <w:r>
        <w:rPr>
          <w:b/>
        </w:rPr>
        <w:t>Figure S4. Decision curves for different models predicting 30-day mortality and day-7 persistent AKI or death</w:t>
      </w:r>
    </w:p>
    <w:p w14:paraId="3DBD2800">
      <w:pPr>
        <w:spacing w:after="120" w:line="276" w:lineRule="auto"/>
      </w:pPr>
      <w:r>
        <w:t>Panel A shows decision curves for 30-day mortality after the landmark time. Panel B shows decision curves for day-7 persistent AKI or death.</w:t>
      </w:r>
    </w:p>
    <w:p w14:paraId="67B4EDFC">
      <w:pPr>
        <w:jc w:val="center"/>
      </w:pPr>
      <w:r>
        <w:drawing>
          <wp:inline distT="0" distB="0" distL="114300" distR="114300">
            <wp:extent cx="5486400" cy="2286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8C991">
      <w:pPr>
        <w:pStyle w:val="3"/>
        <w:spacing w:before="200" w:after="80"/>
      </w:pPr>
      <w:r>
        <w:rPr>
          <w:b/>
        </w:rPr>
        <w:t>Figure S5. Kaplan–Meier survival curves for 30-day mortality after the landmark time stratified by the four-class LCMM trajectories</w:t>
      </w:r>
    </w:p>
    <w:p w14:paraId="0542CBE8">
      <w:pPr>
        <w:spacing w:after="120" w:line="276" w:lineRule="auto"/>
      </w:pPr>
      <w:r>
        <w:t>The curves show 30-day survival probabilities after the landmark time across the four LCMM trajectory classes. The number-at-risk table is shown below the curves.</w:t>
      </w:r>
    </w:p>
    <w:p w14:paraId="3AE26CF3">
      <w:pPr>
        <w:jc w:val="center"/>
      </w:pPr>
    </w:p>
    <w:p w14:paraId="002B925A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120765" cy="4058920"/>
            <wp:effectExtent l="0" t="0" r="13335" b="17780"/>
            <wp:docPr id="6" name="图片 6" descr="Figure_S5_English_with_NumberAtRi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_S5_English_with_NumberAtRisk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05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DFDDC">
      <w:pPr>
        <w:pStyle w:val="2"/>
        <w:spacing w:before="240" w:after="120"/>
      </w:pPr>
      <w:r>
        <w:rPr>
          <w:b/>
        </w:rPr>
        <w:t>Supplementary Tables</w:t>
      </w:r>
    </w:p>
    <w:p w14:paraId="6C9F45EC">
      <w:pPr>
        <w:pStyle w:val="3"/>
        <w:spacing w:before="200" w:after="80"/>
      </w:pPr>
      <w:r>
        <w:rPr>
          <w:b/>
        </w:rPr>
        <w:t>Table S1. Missingness and multiple imputation settings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6"/>
        <w:gridCol w:w="3216"/>
        <w:gridCol w:w="3216"/>
      </w:tblGrid>
      <w:tr w14:paraId="48A8F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3216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E92DAF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Variable</w:t>
            </w:r>
          </w:p>
        </w:tc>
        <w:tc>
          <w:tcPr>
            <w:tcW w:w="3216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562BFD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Number missing</w:t>
            </w:r>
          </w:p>
        </w:tc>
        <w:tc>
          <w:tcPr>
            <w:tcW w:w="3216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ABCCD1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Missing proportion (%)</w:t>
            </w:r>
          </w:p>
        </w:tc>
      </w:tr>
      <w:tr w14:paraId="744BF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C9DAC5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Baseline serum creatinine</w:t>
            </w:r>
          </w:p>
        </w:tc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BA0F1A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16</w:t>
            </w:r>
          </w:p>
        </w:tc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B4FDE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0.21</w:t>
            </w:r>
          </w:p>
        </w:tc>
      </w:tr>
      <w:tr w14:paraId="18D10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9363F7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First lactate within 24 hours after AKI onset</w:t>
            </w:r>
          </w:p>
        </w:tc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98B0C1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2536</w:t>
            </w:r>
          </w:p>
        </w:tc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AA362F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32.78</w:t>
            </w:r>
          </w:p>
        </w:tc>
      </w:tr>
      <w:tr w14:paraId="72576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4EB769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Four-class trajectory group</w:t>
            </w:r>
          </w:p>
        </w:tc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019385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578EEA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0.0</w:t>
            </w:r>
          </w:p>
        </w:tc>
      </w:tr>
      <w:tr w14:paraId="4EBD3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2B79C0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Age</w:t>
            </w:r>
          </w:p>
        </w:tc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404BD1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78CBE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0.0</w:t>
            </w:r>
          </w:p>
        </w:tc>
      </w:tr>
      <w:tr w14:paraId="0545F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3E26D5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Sex (male)</w:t>
            </w:r>
          </w:p>
        </w:tc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FB4715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A2FE31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0.0</w:t>
            </w:r>
          </w:p>
        </w:tc>
      </w:tr>
      <w:tr w14:paraId="7EFE7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B5100C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Non-renal SOFA proxy within 24 hours after AKI onset</w:t>
            </w:r>
          </w:p>
        </w:tc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C223B7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1F8D3E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0.0</w:t>
            </w:r>
          </w:p>
        </w:tc>
      </w:tr>
      <w:tr w14:paraId="7994A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F7DE3D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Maximum KDIGO stage within 24 hours after AKI onset</w:t>
            </w:r>
          </w:p>
        </w:tc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BDC0CF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69F64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0.0</w:t>
            </w:r>
          </w:p>
        </w:tc>
      </w:tr>
      <w:tr w14:paraId="283D1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4C393A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Chronic kidney disease</w:t>
            </w:r>
          </w:p>
        </w:tc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416F93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2810DB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0.0</w:t>
            </w:r>
          </w:p>
        </w:tc>
      </w:tr>
      <w:tr w14:paraId="77FDB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6D5D8E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Vasopressor use within 24 hours after AKI onset</w:t>
            </w:r>
          </w:p>
        </w:tc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C55FAA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0A8E2F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0.0</w:t>
            </w:r>
          </w:p>
        </w:tc>
      </w:tr>
      <w:tr w14:paraId="6D1F1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E0FC64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Invasive mechanical ventilation within 24 hours after AKI onset</w:t>
            </w:r>
          </w:p>
        </w:tc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6DC4BE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2DE6AF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0.0</w:t>
            </w:r>
          </w:p>
        </w:tc>
      </w:tr>
      <w:tr w14:paraId="0A0D8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11AD00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Septic shock proxy within 24 hours after AKI onset</w:t>
            </w:r>
          </w:p>
        </w:tc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E4069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670AF9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0.0</w:t>
            </w:r>
          </w:p>
        </w:tc>
      </w:tr>
      <w:tr w14:paraId="5A949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536EE7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30-day mortality after the landmark time</w:t>
            </w:r>
          </w:p>
        </w:tc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A7F43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989AA1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0.0</w:t>
            </w:r>
          </w:p>
        </w:tc>
      </w:tr>
      <w:tr w14:paraId="56251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D02757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Day-7 persistent AKI or death</w:t>
            </w:r>
          </w:p>
        </w:tc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66F779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3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A8CA9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0.0</w:t>
            </w:r>
          </w:p>
        </w:tc>
      </w:tr>
    </w:tbl>
    <w:p w14:paraId="325D3064">
      <w:pPr>
        <w:spacing w:before="40" w:after="160" w:line="264" w:lineRule="auto"/>
      </w:pPr>
      <w:r>
        <w:rPr>
          <w:b/>
          <w:i/>
        </w:rPr>
        <w:t xml:space="preserve">Note. </w:t>
      </w:r>
      <w:r>
        <w:rPr>
          <w:i/>
        </w:rPr>
        <w:t>MICE was performed using 20 imputations and 20 iterations. Missingness was concentrated mainly in lactate (32.78%), with minimal missingness in baseline serum creatinine (0.21%).</w:t>
      </w:r>
    </w:p>
    <w:p w14:paraId="62EC2F16">
      <w:pPr>
        <w:pStyle w:val="3"/>
        <w:spacing w:before="200" w:after="80"/>
      </w:pPr>
      <w:r>
        <w:rPr>
          <w:b/>
        </w:rPr>
        <w:t>Table S2. Likelihood ratio tests and DeLong tests for model comparison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1"/>
        <w:gridCol w:w="6623"/>
        <w:gridCol w:w="1696"/>
      </w:tblGrid>
      <w:tr w14:paraId="5EC03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016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71576D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Test</w:t>
            </w:r>
          </w:p>
        </w:tc>
        <w:tc>
          <w:tcPr>
            <w:tcW w:w="6912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27B148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Comparison</w:t>
            </w:r>
          </w:p>
        </w:tc>
        <w:tc>
          <w:tcPr>
            <w:tcW w:w="1728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8BF715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P value</w:t>
            </w:r>
          </w:p>
        </w:tc>
      </w:tr>
      <w:tr w14:paraId="07EB9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490E6F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Likelihood ratio test</w:t>
            </w:r>
          </w:p>
        </w:tc>
        <w:tc>
          <w:tcPr>
            <w:tcW w:w="69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98472E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30-day mortality: baseline covariate model vs baseline covariate model + simplified rule-based four-group classification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FE3C45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9.19×10^-16</w:t>
            </w:r>
          </w:p>
        </w:tc>
      </w:tr>
      <w:tr w14:paraId="202C3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CF6E1C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Likelihood ratio test</w:t>
            </w:r>
          </w:p>
        </w:tc>
        <w:tc>
          <w:tcPr>
            <w:tcW w:w="69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EF2551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30-day mortality: baseline covariate model vs baseline covariate model + four-class LCMM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F09B91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1.03×10^-23</w:t>
            </w:r>
          </w:p>
        </w:tc>
      </w:tr>
      <w:tr w14:paraId="7B583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97DE4F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Likelihood ratio test</w:t>
            </w:r>
          </w:p>
        </w:tc>
        <w:tc>
          <w:tcPr>
            <w:tcW w:w="69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0F8FF8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30-day mortality: simplified rule-based model vs combined model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9D3EF2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1.87×10^-10</w:t>
            </w:r>
          </w:p>
        </w:tc>
      </w:tr>
      <w:tr w14:paraId="572D1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1702D4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Likelihood ratio test</w:t>
            </w:r>
          </w:p>
        </w:tc>
        <w:tc>
          <w:tcPr>
            <w:tcW w:w="69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B5E20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30-day mortality: four-class LCMM model vs combined model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E98425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1.05×10^-2</w:t>
            </w:r>
          </w:p>
        </w:tc>
      </w:tr>
      <w:tr w14:paraId="2570B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DCFB84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Likelihood ratio test</w:t>
            </w:r>
          </w:p>
        </w:tc>
        <w:tc>
          <w:tcPr>
            <w:tcW w:w="69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9697C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Day-7 persistent AKI or death: baseline covariate model vs baseline covariate model + simplified rule-based four-group classification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35CC1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2.15×10^-54</w:t>
            </w:r>
          </w:p>
        </w:tc>
      </w:tr>
      <w:tr w14:paraId="7F242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E81F2A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Likelihood ratio test</w:t>
            </w:r>
          </w:p>
        </w:tc>
        <w:tc>
          <w:tcPr>
            <w:tcW w:w="69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21930C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Day-7 persistent AKI or death: baseline covariate model vs baseline covariate model + four-class LCMM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C51069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4.71×10^-86</w:t>
            </w:r>
          </w:p>
        </w:tc>
      </w:tr>
      <w:tr w14:paraId="6D983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876026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Likelihood ratio test</w:t>
            </w:r>
          </w:p>
        </w:tc>
        <w:tc>
          <w:tcPr>
            <w:tcW w:w="69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BFD853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Day-7 persistent AKI or death: simplified rule-based model vs combined model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456683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6.57×10^-35</w:t>
            </w:r>
          </w:p>
        </w:tc>
      </w:tr>
      <w:tr w14:paraId="63D0C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C9423F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Likelihood ratio test</w:t>
            </w:r>
          </w:p>
        </w:tc>
        <w:tc>
          <w:tcPr>
            <w:tcW w:w="69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61EF38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Day-7 persistent AKI or death: four-class LCMM model vs combined model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2DD329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1.24×10^-3</w:t>
            </w:r>
          </w:p>
        </w:tc>
      </w:tr>
      <w:tr w14:paraId="14194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6F6DF2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DeLong test</w:t>
            </w:r>
          </w:p>
        </w:tc>
        <w:tc>
          <w:tcPr>
            <w:tcW w:w="69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0A7181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30-day mortality: baseline covariate model vs baseline covariate model + simplified rule-based four-group classification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BC9A6C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1.82×10^-5</w:t>
            </w:r>
          </w:p>
        </w:tc>
      </w:tr>
      <w:tr w14:paraId="07B56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4AB75C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DeLong test</w:t>
            </w:r>
          </w:p>
        </w:tc>
        <w:tc>
          <w:tcPr>
            <w:tcW w:w="69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54FBE7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30-day mortality: baseline covariate model vs baseline covariate model + four-class LCMM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6F7E45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1.45×10^-7</w:t>
            </w:r>
          </w:p>
        </w:tc>
      </w:tr>
      <w:tr w14:paraId="21EBA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491952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DeLong test</w:t>
            </w:r>
          </w:p>
        </w:tc>
        <w:tc>
          <w:tcPr>
            <w:tcW w:w="69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F6639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30-day mortality: simplified rule-based four-group classification vs four-class LCMM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89D5C2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2.43×10^-2</w:t>
            </w:r>
          </w:p>
        </w:tc>
      </w:tr>
      <w:tr w14:paraId="72713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23E344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DeLong test</w:t>
            </w:r>
          </w:p>
        </w:tc>
        <w:tc>
          <w:tcPr>
            <w:tcW w:w="69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9F7E39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Day-7 persistent AKI or death: baseline covariate model vs baseline covariate model + simplified rule-based four-group classification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60356A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1.04×10^-17</w:t>
            </w:r>
          </w:p>
        </w:tc>
      </w:tr>
      <w:tr w14:paraId="4BA5B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A593DE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DeLong test</w:t>
            </w:r>
          </w:p>
        </w:tc>
        <w:tc>
          <w:tcPr>
            <w:tcW w:w="69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E4DC89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Day-7 persistent AKI or death: baseline covariate model vs baseline covariate model + four-class LCMM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2A49D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2.71×10^-27</w:t>
            </w:r>
          </w:p>
        </w:tc>
      </w:tr>
      <w:tr w14:paraId="33F6A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3AEBF5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DeLong test</w:t>
            </w:r>
          </w:p>
        </w:tc>
        <w:tc>
          <w:tcPr>
            <w:tcW w:w="69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CA811C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Day-7 persistent AKI or death: simplified rule-based four-group classification vs four-class LCMM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44191F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1.80×10^-6</w:t>
            </w:r>
          </w:p>
        </w:tc>
      </w:tr>
    </w:tbl>
    <w:p w14:paraId="1D9DF2C9">
      <w:pPr>
        <w:pStyle w:val="3"/>
        <w:spacing w:before="200" w:after="80"/>
      </w:pPr>
      <w:r>
        <w:rPr>
          <w:b/>
        </w:rPr>
        <w:t>Table S3. Cross-tabulation of the simplified rule-based groups and the four-class LCMM categories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3"/>
        <w:gridCol w:w="1497"/>
        <w:gridCol w:w="1505"/>
        <w:gridCol w:w="1836"/>
        <w:gridCol w:w="1380"/>
        <w:gridCol w:w="1079"/>
      </w:tblGrid>
      <w:tr w14:paraId="1A79A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3168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7F871C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Simplified rule-based group</w:t>
            </w:r>
          </w:p>
        </w:tc>
        <w:tc>
          <w:tcPr>
            <w:tcW w:w="158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78090E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Mild rapidly resolving</w:t>
            </w:r>
          </w:p>
        </w:tc>
        <w:tc>
          <w:tcPr>
            <w:tcW w:w="158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54B2A4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Severe early improving</w:t>
            </w:r>
          </w:p>
        </w:tc>
        <w:tc>
          <w:tcPr>
            <w:tcW w:w="1728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074EDD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Persistent/fluctuating moderate</w:t>
            </w:r>
          </w:p>
        </w:tc>
        <w:tc>
          <w:tcPr>
            <w:tcW w:w="1440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E7DBF4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Persistent severe</w:t>
            </w:r>
          </w:p>
        </w:tc>
        <w:tc>
          <w:tcPr>
            <w:tcW w:w="1152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B2B192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Total</w:t>
            </w:r>
          </w:p>
        </w:tc>
      </w:tr>
      <w:tr w14:paraId="4134D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BE0005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Rapidly resolving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801D1A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1618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740D1A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590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61683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BF053E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EF6D33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2208</w:t>
            </w:r>
          </w:p>
        </w:tc>
      </w:tr>
      <w:tr w14:paraId="1C498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577D71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Persistent mild-to-moderate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207F8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170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D61FF8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126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F01332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166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787FA7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2D6558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462</w:t>
            </w:r>
          </w:p>
        </w:tc>
      </w:tr>
      <w:tr w14:paraId="343ED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A0573E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Worsening/fluctuating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38AD9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864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E788FA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256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E4B305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1242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2E764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850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72A4FE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3212</w:t>
            </w:r>
          </w:p>
        </w:tc>
      </w:tr>
      <w:tr w14:paraId="2B6CF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7B1781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Persistent severe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FBD0E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5EFF82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51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8CD903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478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36BD38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1326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902B9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1855</w:t>
            </w:r>
          </w:p>
        </w:tc>
      </w:tr>
    </w:tbl>
    <w:p w14:paraId="51ED1E61">
      <w:pPr>
        <w:spacing w:before="40" w:after="160" w:line="264" w:lineRule="auto"/>
      </w:pPr>
      <w:r>
        <w:rPr>
          <w:b/>
          <w:i/>
        </w:rPr>
        <w:t xml:space="preserve">Note. </w:t>
      </w:r>
      <w:r>
        <w:rPr>
          <w:i/>
        </w:rPr>
        <w:t>The rapidly resolving rule-based group contained both the mild rapidly resolving and severe early improving LCMM subgroups, whereas the worsening/fluctuating group spanned all four LCMM classes.</w:t>
      </w:r>
    </w:p>
    <w:p w14:paraId="7F9FCA88">
      <w:pPr>
        <w:pStyle w:val="3"/>
        <w:spacing w:before="200" w:after="80"/>
      </w:pPr>
      <w:r>
        <w:rPr>
          <w:b/>
        </w:rPr>
        <w:t>Table S4. Discordant external analysis in eICU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864"/>
        <w:gridCol w:w="1440"/>
        <w:gridCol w:w="1440"/>
        <w:gridCol w:w="2448"/>
        <w:gridCol w:w="1152"/>
      </w:tblGrid>
      <w:tr w14:paraId="38B11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880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C9B69D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External rule-based group</w:t>
            </w:r>
          </w:p>
        </w:tc>
        <w:tc>
          <w:tcPr>
            <w:tcW w:w="86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BFB943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n</w:t>
            </w:r>
          </w:p>
        </w:tc>
        <w:tc>
          <w:tcPr>
            <w:tcW w:w="1440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37A4D5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In-hospital deaths</w:t>
            </w:r>
          </w:p>
        </w:tc>
        <w:tc>
          <w:tcPr>
            <w:tcW w:w="1440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FE2FBD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In-hospital mortality (%)</w:t>
            </w:r>
          </w:p>
        </w:tc>
        <w:tc>
          <w:tcPr>
            <w:tcW w:w="2448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08474D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Adjusted OR (95% CI)</w:t>
            </w:r>
          </w:p>
        </w:tc>
        <w:tc>
          <w:tcPr>
            <w:tcW w:w="1152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0942BB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P value</w:t>
            </w:r>
          </w:p>
        </w:tc>
      </w:tr>
      <w:tr w14:paraId="0CBD9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6B673C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Rapidly resolving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EBBEA5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900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22D87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245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E6FD2C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27.22</w:t>
            </w:r>
          </w:p>
        </w:tc>
        <w:tc>
          <w:tcPr>
            <w:tcW w:w="24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1519C5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1.00 (reference)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B40849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—</w:t>
            </w:r>
          </w:p>
        </w:tc>
      </w:tr>
      <w:tr w14:paraId="68546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2F9DB5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Persistent mild-to-moderate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356191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148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23E85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58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213F32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39.19</w:t>
            </w:r>
          </w:p>
        </w:tc>
        <w:tc>
          <w:tcPr>
            <w:tcW w:w="24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B489AB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1.73 (1.20–2.48)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EDF87F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0.003</w:t>
            </w:r>
          </w:p>
        </w:tc>
      </w:tr>
      <w:tr w14:paraId="7E3CD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720084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Worsening/fluctuating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EC4F99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767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86F4E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258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8DB67F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33.64</w:t>
            </w:r>
          </w:p>
        </w:tc>
        <w:tc>
          <w:tcPr>
            <w:tcW w:w="24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8C9E7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1.39 (1.12–1.72)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3F7B1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0.002</w:t>
            </w:r>
          </w:p>
        </w:tc>
      </w:tr>
      <w:tr w14:paraId="4072E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DEB36A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Persistent severe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DAE2B9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202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A2C8EB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49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53A1B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24.26</w:t>
            </w:r>
          </w:p>
        </w:tc>
        <w:tc>
          <w:tcPr>
            <w:tcW w:w="24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9FCE6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0.92 (0.65–1.32)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2E17A9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0.666</w:t>
            </w:r>
          </w:p>
        </w:tc>
      </w:tr>
    </w:tbl>
    <w:p w14:paraId="33989939">
      <w:pPr>
        <w:spacing w:before="40" w:after="160" w:line="264" w:lineRule="auto"/>
      </w:pPr>
      <w:r>
        <w:rPr>
          <w:b/>
          <w:i/>
        </w:rPr>
        <w:t xml:space="preserve">Note. </w:t>
      </w:r>
      <w:r>
        <w:rPr>
          <w:i/>
        </w:rPr>
        <w:t>The rapidly resolving group was used as the reference. These findings should be interpreted as discordant external evidence rather than confirmatory external validation.</w:t>
      </w:r>
    </w:p>
    <w:p w14:paraId="37F814E2">
      <w:pPr>
        <w:pStyle w:val="3"/>
        <w:spacing w:before="200" w:after="80"/>
      </w:pPr>
      <w:r>
        <w:rPr>
          <w:b/>
        </w:rPr>
        <w:t>Table S5. Results of the three-class LCMM sensitivity analysis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2"/>
        <w:gridCol w:w="788"/>
        <w:gridCol w:w="2422"/>
        <w:gridCol w:w="1039"/>
        <w:gridCol w:w="2769"/>
        <w:gridCol w:w="1040"/>
      </w:tblGrid>
      <w:tr w14:paraId="17CE8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592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27A90B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Three-class LCMM trajectory</w:t>
            </w:r>
          </w:p>
        </w:tc>
        <w:tc>
          <w:tcPr>
            <w:tcW w:w="86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D7A79A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n</w:t>
            </w:r>
          </w:p>
        </w:tc>
        <w:tc>
          <w:tcPr>
            <w:tcW w:w="2880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B1B20F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Adjusted OR for 30-day mortality (95% CI)</w:t>
            </w:r>
          </w:p>
        </w:tc>
        <w:tc>
          <w:tcPr>
            <w:tcW w:w="1152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2D947B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P value</w:t>
            </w:r>
          </w:p>
        </w:tc>
        <w:tc>
          <w:tcPr>
            <w:tcW w:w="3312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82F9CF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Adjusted OR for day-7 persistent AKI or death (95% CI)</w:t>
            </w:r>
          </w:p>
        </w:tc>
        <w:tc>
          <w:tcPr>
            <w:tcW w:w="1152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7D56C7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P value</w:t>
            </w:r>
          </w:p>
        </w:tc>
      </w:tr>
      <w:tr w14:paraId="0CBD1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F1E2FA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Low burden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A5CCA7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1842</w:t>
            </w:r>
          </w:p>
        </w:tc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960C7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1.00 (reference)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7E034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33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05578C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1.00 (reference)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30DBE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—</w:t>
            </w:r>
          </w:p>
        </w:tc>
      </w:tr>
      <w:tr w14:paraId="0387C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E6333C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Intermediate burden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79E87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4124</w:t>
            </w:r>
          </w:p>
        </w:tc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10D703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1.66 (1.26–2.21)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0B2AA3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&lt;0.001</w:t>
            </w:r>
          </w:p>
        </w:tc>
        <w:tc>
          <w:tcPr>
            <w:tcW w:w="33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074D7A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2.39 (2.02–2.83)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B8F48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&lt;0.001</w:t>
            </w:r>
          </w:p>
        </w:tc>
      </w:tr>
      <w:tr w14:paraId="5F9CF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56E8BE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High burden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3C0A87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1771</w:t>
            </w:r>
          </w:p>
        </w:tc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2ACC5A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3.29 (2.56–4.23)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2F1867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&lt;0.001</w:t>
            </w:r>
          </w:p>
        </w:tc>
        <w:tc>
          <w:tcPr>
            <w:tcW w:w="33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6EB6EF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8.37 (6.62–10.58)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846B3F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&lt;0.001</w:t>
            </w:r>
          </w:p>
        </w:tc>
      </w:tr>
    </w:tbl>
    <w:p w14:paraId="1BFFEACE">
      <w:pPr>
        <w:spacing w:before="40" w:after="160" w:line="264" w:lineRule="auto"/>
      </w:pPr>
      <w:r>
        <w:rPr>
          <w:b/>
          <w:i/>
        </w:rPr>
        <w:t xml:space="preserve">Note. </w:t>
      </w:r>
      <w:r>
        <w:rPr>
          <w:i/>
        </w:rPr>
        <w:t>The three-class model reproduced the overall prognostic gradient but compressed clinically meaningful heterogeneity relative to the four-class main model.</w:t>
      </w:r>
    </w:p>
    <w:p w14:paraId="55770203">
      <w:pPr>
        <w:pStyle w:val="3"/>
        <w:spacing w:before="200" w:after="80"/>
      </w:pPr>
      <w:r>
        <w:rPr>
          <w:b/>
        </w:rPr>
        <w:t>Table S6. Abbreviations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7920"/>
      </w:tblGrid>
      <w:tr w14:paraId="2B6B4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728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CCEDB7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Abbreviation</w:t>
            </w:r>
          </w:p>
        </w:tc>
        <w:tc>
          <w:tcPr>
            <w:tcW w:w="7920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343FB9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Full term</w:t>
            </w:r>
          </w:p>
        </w:tc>
      </w:tr>
      <w:tr w14:paraId="2605C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0A9C94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AKI</w:t>
            </w:r>
          </w:p>
        </w:tc>
        <w:tc>
          <w:tcPr>
            <w:tcW w:w="79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A8341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acute kidney injury</w:t>
            </w:r>
          </w:p>
        </w:tc>
      </w:tr>
      <w:tr w14:paraId="64AA0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167DA8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SA-AKI</w:t>
            </w:r>
          </w:p>
        </w:tc>
        <w:tc>
          <w:tcPr>
            <w:tcW w:w="79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7434E5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sepsis-associated acute kidney injury</w:t>
            </w:r>
          </w:p>
        </w:tc>
      </w:tr>
      <w:tr w14:paraId="08BA3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034752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ICU</w:t>
            </w:r>
          </w:p>
        </w:tc>
        <w:tc>
          <w:tcPr>
            <w:tcW w:w="79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8E2199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intensive care unit</w:t>
            </w:r>
          </w:p>
        </w:tc>
      </w:tr>
      <w:tr w14:paraId="2DB39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BB3C18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KDIGO</w:t>
            </w:r>
          </w:p>
        </w:tc>
        <w:tc>
          <w:tcPr>
            <w:tcW w:w="79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DED47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Kidney Disease: Improving Global Outcomes</w:t>
            </w:r>
          </w:p>
        </w:tc>
      </w:tr>
      <w:tr w14:paraId="579CA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76F810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MIMIC-IV</w:t>
            </w:r>
          </w:p>
        </w:tc>
        <w:tc>
          <w:tcPr>
            <w:tcW w:w="79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0BAD6C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Medical Information Mart for Intensive Care IV</w:t>
            </w:r>
          </w:p>
        </w:tc>
      </w:tr>
      <w:tr w14:paraId="09C8B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DABF12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eICU</w:t>
            </w:r>
          </w:p>
        </w:tc>
        <w:tc>
          <w:tcPr>
            <w:tcW w:w="79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222031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eICU Collaborative Research Database</w:t>
            </w:r>
          </w:p>
        </w:tc>
      </w:tr>
      <w:tr w14:paraId="32A3A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1300A4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LCMM</w:t>
            </w:r>
          </w:p>
        </w:tc>
        <w:tc>
          <w:tcPr>
            <w:tcW w:w="79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53A85E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latent class mixed model</w:t>
            </w:r>
          </w:p>
        </w:tc>
      </w:tr>
      <w:tr w14:paraId="4233E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C5293D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MICE</w:t>
            </w:r>
          </w:p>
        </w:tc>
        <w:tc>
          <w:tcPr>
            <w:tcW w:w="79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D84085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multiple imputation by chained equations</w:t>
            </w:r>
          </w:p>
        </w:tc>
      </w:tr>
      <w:tr w14:paraId="24893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94BFDF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AIC</w:t>
            </w:r>
          </w:p>
        </w:tc>
        <w:tc>
          <w:tcPr>
            <w:tcW w:w="79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BBA365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Akaike information criterion</w:t>
            </w:r>
          </w:p>
        </w:tc>
      </w:tr>
      <w:tr w14:paraId="25D5B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B35F88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BIC</w:t>
            </w:r>
          </w:p>
        </w:tc>
        <w:tc>
          <w:tcPr>
            <w:tcW w:w="79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E0D19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Bayesian information criterion</w:t>
            </w:r>
          </w:p>
        </w:tc>
      </w:tr>
      <w:tr w14:paraId="43014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AA268B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AUC</w:t>
            </w:r>
          </w:p>
        </w:tc>
        <w:tc>
          <w:tcPr>
            <w:tcW w:w="79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686EF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area under the receiver operating characteristic curve</w:t>
            </w:r>
          </w:p>
        </w:tc>
      </w:tr>
      <w:tr w14:paraId="49BE1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3F8B7B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ROC</w:t>
            </w:r>
          </w:p>
        </w:tc>
        <w:tc>
          <w:tcPr>
            <w:tcW w:w="79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226FA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receiver operating characteristic curve</w:t>
            </w:r>
          </w:p>
        </w:tc>
      </w:tr>
      <w:tr w14:paraId="35598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8D806A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SOFA</w:t>
            </w:r>
          </w:p>
        </w:tc>
        <w:tc>
          <w:tcPr>
            <w:tcW w:w="79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E3280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Sequential Organ Failure Assessment</w:t>
            </w:r>
          </w:p>
        </w:tc>
      </w:tr>
      <w:tr w14:paraId="543B5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8EAEBE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CKD</w:t>
            </w:r>
          </w:p>
        </w:tc>
        <w:tc>
          <w:tcPr>
            <w:tcW w:w="79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840B49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chronic kidney disease</w:t>
            </w:r>
          </w:p>
        </w:tc>
      </w:tr>
      <w:tr w14:paraId="4F874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F04E8E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OR</w:t>
            </w:r>
          </w:p>
        </w:tc>
        <w:tc>
          <w:tcPr>
            <w:tcW w:w="79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CDA44B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odds ratio</w:t>
            </w:r>
          </w:p>
        </w:tc>
      </w:tr>
      <w:tr w14:paraId="3A0E7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735BC9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CI</w:t>
            </w:r>
          </w:p>
        </w:tc>
        <w:tc>
          <w:tcPr>
            <w:tcW w:w="79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8BB62B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confidence interval</w:t>
            </w:r>
          </w:p>
        </w:tc>
      </w:tr>
    </w:tbl>
    <w:p w14:paraId="6D5670E9">
      <w:pPr>
        <w:pStyle w:val="3"/>
        <w:spacing w:before="200" w:after="80"/>
      </w:pPr>
      <w:r>
        <w:rPr>
          <w:b/>
        </w:rPr>
        <w:t>Table S7. Time-window definitions, clinical meaning, and rationale for multivariable adjustment covariates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9"/>
        <w:gridCol w:w="1998"/>
        <w:gridCol w:w="2432"/>
        <w:gridCol w:w="3281"/>
      </w:tblGrid>
      <w:tr w14:paraId="259BC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592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29B863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Variable</w:t>
            </w:r>
          </w:p>
        </w:tc>
        <w:tc>
          <w:tcPr>
            <w:tcW w:w="2016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8D88FC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Time window</w:t>
            </w:r>
          </w:p>
        </w:tc>
        <w:tc>
          <w:tcPr>
            <w:tcW w:w="2448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BF1A5D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Clinical meaning</w:t>
            </w:r>
          </w:p>
        </w:tc>
        <w:tc>
          <w:tcPr>
            <w:tcW w:w="3312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731FEA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Rationale for inclusion</w:t>
            </w:r>
          </w:p>
        </w:tc>
      </w:tr>
      <w:tr w14:paraId="3202C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59B635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Age</w:t>
            </w:r>
          </w:p>
        </w:tc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B20DE7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Baseline</w:t>
            </w:r>
          </w:p>
        </w:tc>
        <w:tc>
          <w:tcPr>
            <w:tcW w:w="24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CBC8D7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Demographic characteristic</w:t>
            </w:r>
          </w:p>
        </w:tc>
        <w:tc>
          <w:tcPr>
            <w:tcW w:w="33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590225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Basic characteristic associated with short-term mortality and kidney outcomes in SA-AKI</w:t>
            </w:r>
          </w:p>
        </w:tc>
      </w:tr>
      <w:tr w14:paraId="14738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204E4F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Sex</w:t>
            </w:r>
          </w:p>
        </w:tc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BB07F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Baseline</w:t>
            </w:r>
          </w:p>
        </w:tc>
        <w:tc>
          <w:tcPr>
            <w:tcW w:w="24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31843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Demographic characteristic</w:t>
            </w:r>
          </w:p>
        </w:tc>
        <w:tc>
          <w:tcPr>
            <w:tcW w:w="33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6EC2FF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May affect AKI severity, organ support requirements, and prognosis</w:t>
            </w:r>
          </w:p>
        </w:tc>
      </w:tr>
      <w:tr w14:paraId="66820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5BA20A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Chronic kidney disease</w:t>
            </w:r>
          </w:p>
        </w:tc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431FCE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Baseline</w:t>
            </w:r>
          </w:p>
        </w:tc>
        <w:tc>
          <w:tcPr>
            <w:tcW w:w="24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ED9ED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Pre-existing kidney vulnerability</w:t>
            </w:r>
          </w:p>
        </w:tc>
        <w:tc>
          <w:tcPr>
            <w:tcW w:w="33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DB3B6E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Reflects baseline renal reserve and long-term kidney risk</w:t>
            </w:r>
          </w:p>
        </w:tc>
      </w:tr>
      <w:tr w14:paraId="5FA1B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AF58F4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Baseline serum creatinine</w:t>
            </w:r>
          </w:p>
        </w:tc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423CE7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Baseline</w:t>
            </w:r>
          </w:p>
        </w:tc>
        <w:tc>
          <w:tcPr>
            <w:tcW w:w="24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802F6A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Baseline kidney function</w:t>
            </w:r>
          </w:p>
        </w:tc>
        <w:tc>
          <w:tcPr>
            <w:tcW w:w="33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5564C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Used to characterize prior renal function and interpret subsequent KDIGO staging</w:t>
            </w:r>
          </w:p>
        </w:tc>
      </w:tr>
      <w:tr w14:paraId="1079E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28E7FD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Non-renal SOFA proxy within 24 h after AKI onset</w:t>
            </w:r>
          </w:p>
        </w:tc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BDECFE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0–24 h after AKI onset</w:t>
            </w:r>
          </w:p>
        </w:tc>
        <w:tc>
          <w:tcPr>
            <w:tcW w:w="24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5C8A09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Non-renal acute illness severity</w:t>
            </w:r>
          </w:p>
        </w:tc>
        <w:tc>
          <w:tcPr>
            <w:tcW w:w="33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F42017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Used to adjust for systemic critical illness burden</w:t>
            </w:r>
          </w:p>
        </w:tc>
      </w:tr>
      <w:tr w14:paraId="47846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CCBADF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Maximum KDIGO stage within 24 h after AKI onset</w:t>
            </w:r>
          </w:p>
        </w:tc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6AAD2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0–24 h after AKI onset</w:t>
            </w:r>
          </w:p>
        </w:tc>
        <w:tc>
          <w:tcPr>
            <w:tcW w:w="24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3E0A4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Early kidney injury burden</w:t>
            </w:r>
          </w:p>
        </w:tc>
        <w:tc>
          <w:tcPr>
            <w:tcW w:w="33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EAED8C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Used to adjust for initial kidney injury severity</w:t>
            </w:r>
          </w:p>
        </w:tc>
      </w:tr>
      <w:tr w14:paraId="754E6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7EF93B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Vasopressor use within 24 h after AKI onset</w:t>
            </w:r>
          </w:p>
        </w:tc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51C902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0–24 h after AKI onset</w:t>
            </w:r>
          </w:p>
        </w:tc>
        <w:tc>
          <w:tcPr>
            <w:tcW w:w="24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136741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Circulatory support requirement</w:t>
            </w:r>
          </w:p>
        </w:tc>
        <w:tc>
          <w:tcPr>
            <w:tcW w:w="33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27A713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Reflects hemodynamic instability and shock-related risk</w:t>
            </w:r>
          </w:p>
        </w:tc>
      </w:tr>
      <w:tr w14:paraId="67ACD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75CD3B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Invasive mechanical ventilation within 24 h after AKI onset</w:t>
            </w:r>
          </w:p>
        </w:tc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C9203E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0–24 h after AKI onset</w:t>
            </w:r>
          </w:p>
        </w:tc>
        <w:tc>
          <w:tcPr>
            <w:tcW w:w="24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EF1C7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Organ support requirement</w:t>
            </w:r>
          </w:p>
        </w:tc>
        <w:tc>
          <w:tcPr>
            <w:tcW w:w="33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D5F84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Reflects overall illness severity</w:t>
            </w:r>
          </w:p>
        </w:tc>
      </w:tr>
      <w:tr w14:paraId="5F3A3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C3CCE9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Septic shock proxy within 24 h after AKI onset</w:t>
            </w:r>
          </w:p>
        </w:tc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72358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0–24 h after AKI onset</w:t>
            </w:r>
          </w:p>
        </w:tc>
        <w:tc>
          <w:tcPr>
            <w:tcW w:w="24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23D81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Infection-related circulatory failure risk</w:t>
            </w:r>
          </w:p>
        </w:tc>
        <w:tc>
          <w:tcPr>
            <w:tcW w:w="33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87EF8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Reflects sepsis severity</w:t>
            </w:r>
          </w:p>
        </w:tc>
      </w:tr>
      <w:tr w14:paraId="188E8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A7B9C1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First lactate within 24 h after AKI onset</w:t>
            </w:r>
          </w:p>
        </w:tc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F89727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0–24 h after AKI onset</w:t>
            </w:r>
          </w:p>
        </w:tc>
        <w:tc>
          <w:tcPr>
            <w:tcW w:w="24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CE11A9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Tissue hypoperfusion and metabolic stress</w:t>
            </w:r>
          </w:p>
        </w:tc>
        <w:tc>
          <w:tcPr>
            <w:tcW w:w="33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8F9D1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Reflects systemic hypoperfusion and disease severity</w:t>
            </w:r>
          </w:p>
        </w:tc>
      </w:tr>
    </w:tbl>
    <w:p w14:paraId="6FE319F0">
      <w:pPr>
        <w:spacing w:before="40" w:after="160" w:line="264" w:lineRule="auto"/>
      </w:pPr>
      <w:r>
        <w:rPr>
          <w:b/>
          <w:i/>
        </w:rPr>
        <w:t xml:space="preserve">Note. </w:t>
      </w:r>
      <w:r>
        <w:rPr>
          <w:i/>
        </w:rPr>
        <w:t>These variables were prespecified before model fitting on the basis of clinical relevance, prior literature, and data availability within the early post-onset window.</w:t>
      </w:r>
    </w:p>
    <w:p w14:paraId="23D1FEAB">
      <w:pPr>
        <w:pStyle w:val="3"/>
        <w:spacing w:before="200" w:after="80"/>
      </w:pPr>
      <w:r>
        <w:rPr>
          <w:b/>
        </w:rPr>
        <w:t>Table S8. Discrimination performance of different models at the optimal thresholds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6"/>
        <w:gridCol w:w="2144"/>
        <w:gridCol w:w="1144"/>
        <w:gridCol w:w="792"/>
        <w:gridCol w:w="1089"/>
        <w:gridCol w:w="1089"/>
        <w:gridCol w:w="792"/>
        <w:gridCol w:w="792"/>
        <w:gridCol w:w="972"/>
      </w:tblGrid>
      <w:tr w14:paraId="50665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872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CFBBB2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Outcome</w:t>
            </w:r>
          </w:p>
        </w:tc>
        <w:tc>
          <w:tcPr>
            <w:tcW w:w="2880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AC4690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Model</w:t>
            </w:r>
          </w:p>
        </w:tc>
        <w:tc>
          <w:tcPr>
            <w:tcW w:w="1296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7C736B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Optimal threshold</w:t>
            </w:r>
          </w:p>
        </w:tc>
        <w:tc>
          <w:tcPr>
            <w:tcW w:w="86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644FCD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AUC</w:t>
            </w:r>
          </w:p>
        </w:tc>
        <w:tc>
          <w:tcPr>
            <w:tcW w:w="1152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1CE0F1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Sensitivity</w:t>
            </w:r>
          </w:p>
        </w:tc>
        <w:tc>
          <w:tcPr>
            <w:tcW w:w="1152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147623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Specificity</w:t>
            </w:r>
          </w:p>
        </w:tc>
        <w:tc>
          <w:tcPr>
            <w:tcW w:w="86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2E0A1B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PPV</w:t>
            </w:r>
          </w:p>
        </w:tc>
        <w:tc>
          <w:tcPr>
            <w:tcW w:w="86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7323B3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NPV</w:t>
            </w:r>
          </w:p>
        </w:tc>
        <w:tc>
          <w:tcPr>
            <w:tcW w:w="1008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FDC1E8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Accuracy</w:t>
            </w:r>
          </w:p>
        </w:tc>
      </w:tr>
      <w:tr w14:paraId="7C6D4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F7F550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30-day mortality</w:t>
            </w:r>
          </w:p>
        </w:tc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718D0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Baseline covariate model</w:t>
            </w:r>
          </w:p>
        </w:tc>
        <w:tc>
          <w:tcPr>
            <w:tcW w:w="12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35031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0.2879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206D3E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0.6487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00D0A9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0.6377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A9D7E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0.5765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D0B63F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0.3855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B3B523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0.7924</w:t>
            </w:r>
          </w:p>
        </w:tc>
        <w:tc>
          <w:tcPr>
            <w:tcW w:w="1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B99878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0.5945</w:t>
            </w:r>
          </w:p>
        </w:tc>
      </w:tr>
      <w:tr w14:paraId="7E0AA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4E3A1C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30-day mortality</w:t>
            </w:r>
          </w:p>
        </w:tc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343E52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Baseline + simplified rule-based classification</w:t>
            </w:r>
          </w:p>
        </w:tc>
        <w:tc>
          <w:tcPr>
            <w:tcW w:w="12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676C4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0.2713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C5EE0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0.6661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DFF4BC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0.7168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B1DE4A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0.5328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44A04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0.3900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F3BC2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0.8187</w:t>
            </w:r>
          </w:p>
        </w:tc>
        <w:tc>
          <w:tcPr>
            <w:tcW w:w="1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E4DE8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0.5870</w:t>
            </w:r>
          </w:p>
        </w:tc>
      </w:tr>
      <w:tr w14:paraId="4D7DB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978776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30-day mortality</w:t>
            </w:r>
          </w:p>
        </w:tc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A4D0AF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Baseline + four-class LCMM</w:t>
            </w:r>
          </w:p>
        </w:tc>
        <w:tc>
          <w:tcPr>
            <w:tcW w:w="12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DCA93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0.2877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C63FC8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0.6751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0F3DC5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0.6501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D07E9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0.6168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50167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0.4142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40E5B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0.8088</w:t>
            </w:r>
          </w:p>
        </w:tc>
        <w:tc>
          <w:tcPr>
            <w:tcW w:w="1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F4FEF3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0.6266</w:t>
            </w:r>
          </w:p>
        </w:tc>
      </w:tr>
      <w:tr w14:paraId="6F05E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B02220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30-day mortality</w:t>
            </w:r>
          </w:p>
        </w:tc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98380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Combined model</w:t>
            </w:r>
          </w:p>
        </w:tc>
        <w:tc>
          <w:tcPr>
            <w:tcW w:w="12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8ACBA3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0.2867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9ACAE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0.6764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8F5367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0.6638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A7D6BB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0.6045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E26078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0.4116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817BE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0.8119</w:t>
            </w:r>
          </w:p>
        </w:tc>
        <w:tc>
          <w:tcPr>
            <w:tcW w:w="1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8DCE9F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0.6220</w:t>
            </w:r>
          </w:p>
        </w:tc>
      </w:tr>
      <w:tr w14:paraId="4BC0B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BB3103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Day-7 persistent AKI or death</w:t>
            </w:r>
          </w:p>
        </w:tc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EBEF3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Baseline covariate model</w:t>
            </w:r>
          </w:p>
        </w:tc>
        <w:tc>
          <w:tcPr>
            <w:tcW w:w="12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D6882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0.5649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6D58AC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0.6618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B4B3B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0.4776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B695C1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0.7639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F9A617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0.6853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ED1E09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0.5759</w:t>
            </w:r>
          </w:p>
        </w:tc>
        <w:tc>
          <w:tcPr>
            <w:tcW w:w="1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69C84E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0.6154</w:t>
            </w:r>
          </w:p>
        </w:tc>
      </w:tr>
      <w:tr w14:paraId="14A84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3D5B8A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Day-7 persistent AKI or death</w:t>
            </w:r>
          </w:p>
        </w:tc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40CC3B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Baseline + simplified rule-based classification</w:t>
            </w:r>
          </w:p>
        </w:tc>
        <w:tc>
          <w:tcPr>
            <w:tcW w:w="12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6A0212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0.5192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684DDB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0.7046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F5117E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0.6627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02EB22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0.6376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F83B62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0.6632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20B92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0.6371</w:t>
            </w:r>
          </w:p>
        </w:tc>
        <w:tc>
          <w:tcPr>
            <w:tcW w:w="1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C9B987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0.6506</w:t>
            </w:r>
          </w:p>
        </w:tc>
      </w:tr>
      <w:tr w14:paraId="0C344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94B7A2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Day-7 persistent AKI or death</w:t>
            </w:r>
          </w:p>
        </w:tc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1B37A3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Baseline + four-class LCMM</w:t>
            </w:r>
          </w:p>
        </w:tc>
        <w:tc>
          <w:tcPr>
            <w:tcW w:w="12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6B411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0.5407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843152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0.7238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D5A042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0.5974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69EC5B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0.7507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132DBC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0.7207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2F6BA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0.6339</w:t>
            </w:r>
          </w:p>
        </w:tc>
        <w:tc>
          <w:tcPr>
            <w:tcW w:w="1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32535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0.6712</w:t>
            </w:r>
          </w:p>
        </w:tc>
      </w:tr>
      <w:tr w14:paraId="6DE4E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669A8B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Day-7 persistent AKI or death</w:t>
            </w:r>
          </w:p>
        </w:tc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80085A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Combined model</w:t>
            </w:r>
          </w:p>
        </w:tc>
        <w:tc>
          <w:tcPr>
            <w:tcW w:w="12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2D3F32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0.5589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850F1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0.7264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62ED62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0.5685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E7C8F1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0.7771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1A301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0.7330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173DBA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0.6258</w:t>
            </w:r>
          </w:p>
        </w:tc>
        <w:tc>
          <w:tcPr>
            <w:tcW w:w="1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376A45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0.6689</w:t>
            </w:r>
          </w:p>
        </w:tc>
      </w:tr>
    </w:tbl>
    <w:p w14:paraId="729E5677">
      <w:pPr>
        <w:spacing w:before="40" w:after="160" w:line="264" w:lineRule="auto"/>
      </w:pPr>
      <w:r>
        <w:rPr>
          <w:b/>
          <w:i/>
        </w:rPr>
        <w:t xml:space="preserve">Note. </w:t>
      </w:r>
      <w:r>
        <w:rPr>
          <w:i/>
        </w:rPr>
        <w:t>Thresholds were determined using the Youden index. PPV indicates positive predictive value; NPV, negative predictive value.</w:t>
      </w:r>
    </w:p>
    <w:p w14:paraId="40F9DA85">
      <w:pPr>
        <w:pStyle w:val="3"/>
        <w:spacing w:before="200" w:after="80"/>
      </w:pPr>
      <w:r>
        <w:rPr>
          <w:b/>
        </w:rPr>
        <w:t>Table S9. Simplified rule-based four-group algorithm and operational definition of the secondary outcome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872"/>
        <w:gridCol w:w="4608"/>
        <w:gridCol w:w="2592"/>
      </w:tblGrid>
      <w:tr w14:paraId="3945D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008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602982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Section</w:t>
            </w:r>
          </w:p>
        </w:tc>
        <w:tc>
          <w:tcPr>
            <w:tcW w:w="1872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D06F0D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Item</w:t>
            </w:r>
          </w:p>
        </w:tc>
        <w:tc>
          <w:tcPr>
            <w:tcW w:w="4608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6405E5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Operational definition</w:t>
            </w:r>
          </w:p>
        </w:tc>
        <w:tc>
          <w:tcPr>
            <w:tcW w:w="2592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E1E95D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Remarks</w:t>
            </w:r>
          </w:p>
        </w:tc>
      </w:tr>
      <w:tr w14:paraId="00A2B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317274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A</w:t>
            </w:r>
          </w:p>
        </w:tc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8D1D7C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Rapidly resolving</w:t>
            </w:r>
          </w:p>
        </w:tc>
        <w:tc>
          <w:tcPr>
            <w:tcW w:w="46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430C4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No increase in KDIGO stage across the four consecutive 24-hour windows, and KDIGO stage = 0 in the fourth window.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86437C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Mutually exclusive rule; priority below worsening/fluctuating.</w:t>
            </w:r>
          </w:p>
        </w:tc>
      </w:tr>
      <w:tr w14:paraId="3C431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2FE74D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A</w:t>
            </w:r>
          </w:p>
        </w:tc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5ABAE5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Persistent mild-to-moderate</w:t>
            </w:r>
          </w:p>
        </w:tc>
        <w:tc>
          <w:tcPr>
            <w:tcW w:w="46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A10349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Monotonic non-increasing trajectory across the four windows, but not meeting the criteria for rapidly resolving or persistent severe.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6738A3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Residual category for monotonic non-increasing trajectories.</w:t>
            </w:r>
          </w:p>
        </w:tc>
      </w:tr>
      <w:tr w14:paraId="014A2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333546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A</w:t>
            </w:r>
          </w:p>
        </w:tc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2CA703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Worsening/fluctuating</w:t>
            </w:r>
          </w:p>
        </w:tc>
        <w:tc>
          <w:tcPr>
            <w:tcW w:w="46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EECAB1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Any increase in KDIGO stage between adjacent windows.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60395F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Highest hierarchical priority; once met, the patient is assigned to this group.</w:t>
            </w:r>
          </w:p>
        </w:tc>
      </w:tr>
      <w:tr w14:paraId="59A60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FE512B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A</w:t>
            </w:r>
          </w:p>
        </w:tc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C8CD3F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Persistent severe</w:t>
            </w:r>
          </w:p>
        </w:tc>
        <w:tc>
          <w:tcPr>
            <w:tcW w:w="46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DD924C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Monotonic non-increasing trajectory across the four windows and either KDIGO stage ≥2 in the fourth window, or KDIGO stage = 1 in the fourth window with KDIGO stage 3 appearing at least twice across the four windows.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19B63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Priority below rapidly resolving but above persistent mild-to-moderate.</w:t>
            </w:r>
          </w:p>
        </w:tc>
      </w:tr>
      <w:tr w14:paraId="3F34E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BE7CF1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B</w:t>
            </w:r>
          </w:p>
        </w:tc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BA6FE5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T0 and landmark time</w:t>
            </w:r>
          </w:p>
        </w:tc>
        <w:tc>
          <w:tcPr>
            <w:tcW w:w="46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4889EB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T0 was defined as AKI onset; the landmark time was defined as 96 hours after AKI onset.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4C566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Primary outcome was calculated from the landmark time.</w:t>
            </w:r>
          </w:p>
        </w:tc>
      </w:tr>
      <w:tr w14:paraId="06737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3EA0CC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B</w:t>
            </w:r>
          </w:p>
        </w:tc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140A9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30-day all-cause mortality</w:t>
            </w:r>
          </w:p>
        </w:tc>
        <w:tc>
          <w:tcPr>
            <w:tcW w:w="46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C2B75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All-cause death within 30 days after the 96-hour landmark time.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400C0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Primary outcome.</w:t>
            </w:r>
          </w:p>
        </w:tc>
      </w:tr>
      <w:tr w14:paraId="1BC41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8C0FF8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B</w:t>
            </w:r>
          </w:p>
        </w:tc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FF6B5B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Day-7 persistent AKI</w:t>
            </w:r>
          </w:p>
        </w:tc>
        <w:tc>
          <w:tcPr>
            <w:tcW w:w="46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23A3D7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Operationally defined using the maximum KDIGO stage in the day-7 assessment window; maximum stage ≥1 was classified as persistent AKI, and maximum stage = 0 as no persistent AKI.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F50E78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Intended to represent delayed kidney recovery or sustained kidney injury risk; not equivalent to all existing definitions of persistent AKI or AKD.</w:t>
            </w:r>
          </w:p>
        </w:tc>
      </w:tr>
      <w:tr w14:paraId="1BA65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E3DC35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B</w:t>
            </w:r>
          </w:p>
        </w:tc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F2D3E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Day-7 persistent AKI or death</w:t>
            </w:r>
          </w:p>
        </w:tc>
        <w:tc>
          <w:tcPr>
            <w:tcW w:w="46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D04B71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Persistent AKI on day 7 or death before day 7 after AKI onset.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EF2EF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Key secondary outcome.</w:t>
            </w:r>
          </w:p>
        </w:tc>
      </w:tr>
      <w:tr w14:paraId="6C8C1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BBABDD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B</w:t>
            </w:r>
          </w:p>
        </w:tc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FB8B8F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Handling of death before day 7 and unevaluable day-7 status</w:t>
            </w:r>
          </w:p>
        </w:tc>
        <w:tc>
          <w:tcPr>
            <w:tcW w:w="46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06116E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Patients who died before day 7 were included in the composite endpoint. Patients without day-7 evaluability and without death before day 7 were excluded from the main analysis; alternative coding strategies were assessed in sensitivity analyses.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31411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Used to address potential endpoint misclassification.</w:t>
            </w:r>
          </w:p>
        </w:tc>
      </w:tr>
    </w:tbl>
    <w:p w14:paraId="7688A58A">
      <w:pPr>
        <w:pStyle w:val="3"/>
        <w:spacing w:before="200" w:after="80"/>
      </w:pPr>
      <w:r>
        <w:rPr>
          <w:b/>
        </w:rPr>
        <w:t>Table S10. Model fit and classification quality of candidate LCMM models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810"/>
        <w:gridCol w:w="1317"/>
        <w:gridCol w:w="973"/>
        <w:gridCol w:w="973"/>
        <w:gridCol w:w="1045"/>
        <w:gridCol w:w="646"/>
        <w:gridCol w:w="727"/>
        <w:gridCol w:w="1052"/>
        <w:gridCol w:w="1204"/>
      </w:tblGrid>
      <w:tr w14:paraId="228E7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736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ED7F2D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Model/approach</w:t>
            </w:r>
          </w:p>
        </w:tc>
        <w:tc>
          <w:tcPr>
            <w:tcW w:w="86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7F4765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Classes</w:t>
            </w:r>
          </w:p>
        </w:tc>
        <w:tc>
          <w:tcPr>
            <w:tcW w:w="158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0DCEEC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Log-likelihood</w:t>
            </w:r>
          </w:p>
        </w:tc>
        <w:tc>
          <w:tcPr>
            <w:tcW w:w="1152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1DBD1E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AIC</w:t>
            </w:r>
          </w:p>
        </w:tc>
        <w:tc>
          <w:tcPr>
            <w:tcW w:w="1152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DA2D53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BIC</w:t>
            </w:r>
          </w:p>
        </w:tc>
        <w:tc>
          <w:tcPr>
            <w:tcW w:w="1152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903186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Converged</w:t>
            </w:r>
          </w:p>
        </w:tc>
        <w:tc>
          <w:tcPr>
            <w:tcW w:w="1152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9B693E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Min class size</w:t>
            </w:r>
          </w:p>
        </w:tc>
        <w:tc>
          <w:tcPr>
            <w:tcW w:w="1152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0EB736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Min class (%)</w:t>
            </w:r>
          </w:p>
        </w:tc>
        <w:tc>
          <w:tcPr>
            <w:tcW w:w="1440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0DAC24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Mean max posterior probability</w:t>
            </w:r>
          </w:p>
        </w:tc>
        <w:tc>
          <w:tcPr>
            <w:tcW w:w="2592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CA7DA0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Remarks</w:t>
            </w:r>
          </w:p>
        </w:tc>
      </w:tr>
      <w:tr w14:paraId="04674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F4792B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One-class initialization model (m1)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689F1B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56B468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-39911.882769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B555B7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79833.766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84368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79868.534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E0D43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Yes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504471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7737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3C77FE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100.00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D6263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1.0000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4B399C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Used for initialization of multi-class models</w:t>
            </w:r>
          </w:p>
        </w:tc>
      </w:tr>
      <w:tr w14:paraId="6EB29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D3236C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Exploratory two-class model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3FAC0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CEB56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NR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EE2EA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NR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07D9E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NR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6B7EC5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NR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3E7037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NR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FD40DC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NR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3006CC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NR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BC4A19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Not retained in the final reproducible main analysis</w:t>
            </w:r>
          </w:p>
        </w:tc>
      </w:tr>
      <w:tr w14:paraId="3E75C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67EE37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Final three-class model (m3_final)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9CBFDC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0D3B8F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-38687.302878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F14D7B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77400.606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438465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77491.005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F27B1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Yes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A613EB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1771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7CC26A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22.89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D42773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0.8472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08CABA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Prespecified sensitivity analysis model</w:t>
            </w:r>
          </w:p>
        </w:tc>
      </w:tr>
      <w:tr w14:paraId="48FA7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927FA7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Final four-class model (m4_final)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73744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62B37A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-38445.022179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C0A59B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76918.044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7694F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77015.397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B41B5F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Yes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01923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1023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1DB62B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13.22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52DA97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0.8763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893FB9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Main analysis model</w:t>
            </w:r>
          </w:p>
        </w:tc>
      </w:tr>
      <w:tr w14:paraId="436C0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6BE91D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Expanded models with ≥5 classes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A8520F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≥5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5E29DB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NR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BCF25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NR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09D40B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NR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F4D60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NR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11100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NR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6B999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NR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E72F8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NR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A391F5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Not retained in the final reproducible main analysis</w:t>
            </w:r>
          </w:p>
        </w:tc>
      </w:tr>
    </w:tbl>
    <w:p w14:paraId="687481FA">
      <w:pPr>
        <w:spacing w:before="40" w:after="160" w:line="264" w:lineRule="auto"/>
      </w:pPr>
      <w:r>
        <w:rPr>
          <w:b/>
          <w:i/>
        </w:rPr>
        <w:t xml:space="preserve">Note. </w:t>
      </w:r>
      <w:r>
        <w:rPr>
          <w:i/>
        </w:rPr>
        <w:t>NR indicates that the corresponding quantitative metrics were not retained in the archived final analysis outputs.</w:t>
      </w:r>
    </w:p>
    <w:p w14:paraId="7DE15E22">
      <w:pPr>
        <w:pStyle w:val="3"/>
        <w:spacing w:before="200" w:after="80"/>
      </w:pPr>
      <w:r>
        <w:rPr>
          <w:b/>
        </w:rPr>
        <w:t>Table S11. Multiple imputation settings and summary of missing-data diagnostics</w:t>
      </w:r>
    </w:p>
    <w:p w14:paraId="6540102E">
      <w:pPr>
        <w:pStyle w:val="4"/>
        <w:spacing w:before="200" w:after="80"/>
      </w:pPr>
      <w:r>
        <w:rPr>
          <w:b/>
        </w:rPr>
        <w:t>Part A. Variable-level missingness and imputation roles</w:t>
      </w:r>
    </w:p>
    <w:p w14:paraId="5F8007EE">
      <w:pPr>
        <w:pStyle w:val="3"/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1"/>
        <w:gridCol w:w="1679"/>
        <w:gridCol w:w="1132"/>
        <w:gridCol w:w="1279"/>
        <w:gridCol w:w="997"/>
        <w:gridCol w:w="1415"/>
        <w:gridCol w:w="1137"/>
      </w:tblGrid>
      <w:tr w14:paraId="4DF3A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736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AAE6E5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Variable</w:t>
            </w:r>
          </w:p>
        </w:tc>
        <w:tc>
          <w:tcPr>
            <w:tcW w:w="1728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826B0B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Role in main analysis</w:t>
            </w:r>
          </w:p>
        </w:tc>
        <w:tc>
          <w:tcPr>
            <w:tcW w:w="1152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7B3EB1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Number missing</w:t>
            </w:r>
          </w:p>
        </w:tc>
        <w:tc>
          <w:tcPr>
            <w:tcW w:w="1296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FF76A3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Missing proportion (%)</w:t>
            </w:r>
          </w:p>
        </w:tc>
        <w:tc>
          <w:tcPr>
            <w:tcW w:w="1008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58737C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Imputed</w:t>
            </w:r>
          </w:p>
        </w:tc>
        <w:tc>
          <w:tcPr>
            <w:tcW w:w="1440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D2C7F1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Imputation method</w:t>
            </w:r>
          </w:p>
        </w:tc>
        <w:tc>
          <w:tcPr>
            <w:tcW w:w="1152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898AB2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Used as predictor</w:t>
            </w:r>
          </w:p>
        </w:tc>
      </w:tr>
      <w:tr w14:paraId="76386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784126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Four-class trajectory group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539898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Exposure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837FE2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12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5C6022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0.0</w:t>
            </w:r>
          </w:p>
        </w:tc>
        <w:tc>
          <w:tcPr>
            <w:tcW w:w="1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1BACD5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No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ED09F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Not imputed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C8E17C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Yes</w:t>
            </w:r>
          </w:p>
        </w:tc>
      </w:tr>
      <w:tr w14:paraId="1DAC2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D3254D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Age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87FE13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Covariate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889389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12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B6717C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0.0</w:t>
            </w:r>
          </w:p>
        </w:tc>
        <w:tc>
          <w:tcPr>
            <w:tcW w:w="1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6312E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No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F67FD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Not imputed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CD4A03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Yes</w:t>
            </w:r>
          </w:p>
        </w:tc>
      </w:tr>
      <w:tr w14:paraId="06EFE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3FCE23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Male sex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487417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Covariate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CB4B6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12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63E5F5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0.0</w:t>
            </w:r>
          </w:p>
        </w:tc>
        <w:tc>
          <w:tcPr>
            <w:tcW w:w="1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46BE31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No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913FA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Not imputed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3ACCBB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Yes</w:t>
            </w:r>
          </w:p>
        </w:tc>
      </w:tr>
      <w:tr w14:paraId="1CCF7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84F11C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Non-renal SOFA proxy within 24 h after AKI onset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4E59C1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Covariate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83B022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12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50312A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0.0</w:t>
            </w:r>
          </w:p>
        </w:tc>
        <w:tc>
          <w:tcPr>
            <w:tcW w:w="1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DF79EF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No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0156F7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Not imputed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75A92B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Yes</w:t>
            </w:r>
          </w:p>
        </w:tc>
      </w:tr>
      <w:tr w14:paraId="4953D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F70DFD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Maximum KDIGO stage within 24 h after AKI onset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C5C285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Covariate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67367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12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8BEE25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0.0</w:t>
            </w:r>
          </w:p>
        </w:tc>
        <w:tc>
          <w:tcPr>
            <w:tcW w:w="1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B23D4E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No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D432F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Not imputed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78954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Yes</w:t>
            </w:r>
          </w:p>
        </w:tc>
      </w:tr>
      <w:tr w14:paraId="6980D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A0FDE6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Chronic kidney disease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86664B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Covariate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AA7AE8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12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F51F42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0.0</w:t>
            </w:r>
          </w:p>
        </w:tc>
        <w:tc>
          <w:tcPr>
            <w:tcW w:w="1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A282D8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No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2AEC53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Not imputed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81CD22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Yes</w:t>
            </w:r>
          </w:p>
        </w:tc>
      </w:tr>
      <w:tr w14:paraId="3F25A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0F0FB7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Baseline serum creatinine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4B29F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Covariate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54AD33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16</w:t>
            </w:r>
          </w:p>
        </w:tc>
        <w:tc>
          <w:tcPr>
            <w:tcW w:w="12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E7D5FB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0.21</w:t>
            </w:r>
          </w:p>
        </w:tc>
        <w:tc>
          <w:tcPr>
            <w:tcW w:w="1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612645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Yes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2C6B6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PMM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D52E71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Yes</w:t>
            </w:r>
          </w:p>
        </w:tc>
      </w:tr>
      <w:tr w14:paraId="24F2F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5DF714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Vasopressor use within 24 h after AKI onset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8B9591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Covariate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948975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12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83EADE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0.0</w:t>
            </w:r>
          </w:p>
        </w:tc>
        <w:tc>
          <w:tcPr>
            <w:tcW w:w="1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11ADE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No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034888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Not imputed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255FFC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Yes</w:t>
            </w:r>
          </w:p>
        </w:tc>
      </w:tr>
      <w:tr w14:paraId="3C74F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D88C50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Invasive mechanical ventilation within 24 h after AKI onset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7323BE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Covariate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1FD15A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12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C0715E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0.0</w:t>
            </w:r>
          </w:p>
        </w:tc>
        <w:tc>
          <w:tcPr>
            <w:tcW w:w="1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348AB9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No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336F89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Not imputed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61F02F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Yes</w:t>
            </w:r>
          </w:p>
        </w:tc>
      </w:tr>
      <w:tr w14:paraId="2535F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9430B9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Septic shock proxy within 24 h after AKI onset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86D68C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Covariate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1A2B8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12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EECDD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0.0</w:t>
            </w:r>
          </w:p>
        </w:tc>
        <w:tc>
          <w:tcPr>
            <w:tcW w:w="1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E1680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No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CE30FE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Not imputed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06E068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Yes</w:t>
            </w:r>
          </w:p>
        </w:tc>
      </w:tr>
      <w:tr w14:paraId="0C1FD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831E45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First lactate within 24 h after AKI onset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63400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Covariate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E0FFC9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2536</w:t>
            </w:r>
          </w:p>
        </w:tc>
        <w:tc>
          <w:tcPr>
            <w:tcW w:w="12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C5AF5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32.78</w:t>
            </w:r>
          </w:p>
        </w:tc>
        <w:tc>
          <w:tcPr>
            <w:tcW w:w="1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1F08BE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Yes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DB15AB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PMM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472AC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Yes</w:t>
            </w:r>
          </w:p>
        </w:tc>
      </w:tr>
      <w:tr w14:paraId="1131F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CDAD39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30-day mortality after the landmark time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59428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Outcome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CF947C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12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3B9E4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0.0</w:t>
            </w:r>
          </w:p>
        </w:tc>
        <w:tc>
          <w:tcPr>
            <w:tcW w:w="1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375715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No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8F42E1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Not imputed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B5D55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Yes</w:t>
            </w:r>
          </w:p>
        </w:tc>
      </w:tr>
      <w:tr w14:paraId="76411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B44EEC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Day-7 persistent AKI or death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AA7658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Outcome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1FC508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129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50DF7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0.0</w:t>
            </w:r>
          </w:p>
        </w:tc>
        <w:tc>
          <w:tcPr>
            <w:tcW w:w="1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8AD0DA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No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DCEA98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Not imputed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4A629B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Yes</w:t>
            </w:r>
          </w:p>
        </w:tc>
      </w:tr>
    </w:tbl>
    <w:p w14:paraId="431CABB6">
      <w:pPr>
        <w:pStyle w:val="4"/>
        <w:spacing w:before="200" w:after="80"/>
      </w:pPr>
      <w:r>
        <w:rPr>
          <w:b/>
        </w:rPr>
        <w:t>Part B. Summary of imputation settings</w:t>
      </w:r>
    </w:p>
    <w:p w14:paraId="62290D8B">
      <w:pPr>
        <w:pStyle w:val="3"/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2"/>
        <w:gridCol w:w="7418"/>
      </w:tblGrid>
      <w:tr w14:paraId="4B4EF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880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79AFB5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Item</w:t>
            </w:r>
          </w:p>
        </w:tc>
        <w:tc>
          <w:tcPr>
            <w:tcW w:w="7488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DF388B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Description</w:t>
            </w:r>
          </w:p>
        </w:tc>
      </w:tr>
      <w:tr w14:paraId="6A322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39E471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Imputation framework</w:t>
            </w:r>
          </w:p>
        </w:tc>
        <w:tc>
          <w:tcPr>
            <w:tcW w:w="74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38AD57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Multiple imputation by chained equations (mice)</w:t>
            </w:r>
          </w:p>
        </w:tc>
      </w:tr>
      <w:tr w14:paraId="5F2CA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DE74A5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Number of imputations (m)</w:t>
            </w:r>
          </w:p>
        </w:tc>
        <w:tc>
          <w:tcPr>
            <w:tcW w:w="74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CCFDE1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20</w:t>
            </w:r>
          </w:p>
        </w:tc>
      </w:tr>
      <w:tr w14:paraId="0D0C0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232706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Number of iterations per imputation</w:t>
            </w:r>
          </w:p>
        </w:tc>
        <w:tc>
          <w:tcPr>
            <w:tcW w:w="74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464491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20</w:t>
            </w:r>
          </w:p>
        </w:tc>
      </w:tr>
      <w:tr w14:paraId="45F6B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A4CD56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Random seed</w:t>
            </w:r>
          </w:p>
        </w:tc>
        <w:tc>
          <w:tcPr>
            <w:tcW w:w="74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F9C3F3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20260409</w:t>
            </w:r>
          </w:p>
        </w:tc>
      </w:tr>
      <w:tr w14:paraId="7B220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A89C49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Imputed variables</w:t>
            </w:r>
          </w:p>
        </w:tc>
        <w:tc>
          <w:tcPr>
            <w:tcW w:w="74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2FECD2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Baseline serum creatinine and first lactate within 24 hours after AKI onset</w:t>
            </w:r>
          </w:p>
        </w:tc>
      </w:tr>
      <w:tr w14:paraId="31C16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4FFC08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Imputation method</w:t>
            </w:r>
          </w:p>
        </w:tc>
        <w:tc>
          <w:tcPr>
            <w:tcW w:w="74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E00721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Predictive mean matching (PMM) for both partially missing covariates</w:t>
            </w:r>
          </w:p>
        </w:tc>
      </w:tr>
      <w:tr w14:paraId="12959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ADDF13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Predictor matrix</w:t>
            </w:r>
          </w:p>
        </w:tc>
        <w:tc>
          <w:tcPr>
            <w:tcW w:w="74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D4D55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Default mice predictor matrix with diagonal elements set to zero; prespecified exposures, outcomes, and covariates were allowed as predictors</w:t>
            </w:r>
          </w:p>
        </w:tc>
      </w:tr>
      <w:tr w14:paraId="0F19D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71F5B0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Auxiliary variables</w:t>
            </w:r>
          </w:p>
        </w:tc>
        <w:tc>
          <w:tcPr>
            <w:tcW w:w="74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36CCCC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No auxiliary variables beyond prespecified analysis variables were added</w:t>
            </w:r>
          </w:p>
        </w:tc>
      </w:tr>
      <w:tr w14:paraId="67989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9EF0DC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Main reported analysis</w:t>
            </w:r>
          </w:p>
        </w:tc>
        <w:tc>
          <w:tcPr>
            <w:tcW w:w="74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B85B48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Complete-case analysis</w:t>
            </w:r>
          </w:p>
        </w:tc>
      </w:tr>
      <w:tr w14:paraId="6B1AE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9631D8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Robustness analysis</w:t>
            </w:r>
          </w:p>
        </w:tc>
        <w:tc>
          <w:tcPr>
            <w:tcW w:w="74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1F03C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MICE was used to assess whether missing-data handling materially changed effect direction, effect magnitude, or risk ordering</w:t>
            </w:r>
          </w:p>
        </w:tc>
      </w:tr>
      <w:tr w14:paraId="5B6D4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467E72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Complete-case sample size</w:t>
            </w:r>
          </w:p>
        </w:tc>
        <w:tc>
          <w:tcPr>
            <w:tcW w:w="74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116FCE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5198</w:t>
            </w:r>
          </w:p>
        </w:tc>
      </w:tr>
      <w:tr w14:paraId="7A132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A1868B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Number excluded from complete-case analysis</w:t>
            </w:r>
          </w:p>
        </w:tc>
        <w:tc>
          <w:tcPr>
            <w:tcW w:w="74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D1DF87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2539</w:t>
            </w:r>
          </w:p>
        </w:tc>
      </w:tr>
    </w:tbl>
    <w:p w14:paraId="32167D8B">
      <w:pPr>
        <w:spacing w:before="40" w:after="160" w:line="264" w:lineRule="auto"/>
      </w:pPr>
      <w:r>
        <w:rPr>
          <w:b/>
          <w:i/>
        </w:rPr>
        <w:t xml:space="preserve">Note. </w:t>
      </w:r>
      <w:r>
        <w:rPr>
          <w:i/>
        </w:rPr>
        <w:t>This table summarizes the variables included in the multiple imputation procedure, the extent of missingness, and key imputation settings.</w:t>
      </w:r>
    </w:p>
    <w:p w14:paraId="187E7F76">
      <w:pPr>
        <w:pStyle w:val="3"/>
        <w:spacing w:before="200" w:after="80"/>
      </w:pPr>
      <w:r>
        <w:rPr>
          <w:b/>
        </w:rPr>
        <w:t>Table S12. Sensitivity analyses using alternative coding strategies for the composite endpoint of day-7 persistent AKI or death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1212"/>
        <w:gridCol w:w="727"/>
        <w:gridCol w:w="1325"/>
        <w:gridCol w:w="727"/>
        <w:gridCol w:w="1640"/>
        <w:gridCol w:w="727"/>
        <w:gridCol w:w="1418"/>
        <w:gridCol w:w="727"/>
      </w:tblGrid>
      <w:tr w14:paraId="76C70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160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7B1505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Trajectory class</w:t>
            </w:r>
          </w:p>
        </w:tc>
        <w:tc>
          <w:tcPr>
            <w:tcW w:w="2016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96DA5E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Original coding OR (95% CI)</w:t>
            </w:r>
          </w:p>
        </w:tc>
        <w:tc>
          <w:tcPr>
            <w:tcW w:w="86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E565B5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P value</w:t>
            </w:r>
          </w:p>
        </w:tc>
        <w:tc>
          <w:tcPr>
            <w:tcW w:w="2160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01D270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Excluding unevaluable patients OR (95% CI)</w:t>
            </w:r>
          </w:p>
        </w:tc>
        <w:tc>
          <w:tcPr>
            <w:tcW w:w="86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A5AD64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P value</w:t>
            </w:r>
          </w:p>
        </w:tc>
        <w:tc>
          <w:tcPr>
            <w:tcW w:w="2160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1FC7E1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Missing-outcome imputation OR (95% CI)</w:t>
            </w:r>
          </w:p>
        </w:tc>
        <w:tc>
          <w:tcPr>
            <w:tcW w:w="86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8724D5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P value</w:t>
            </w:r>
          </w:p>
        </w:tc>
        <w:tc>
          <w:tcPr>
            <w:tcW w:w="2160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16D0B6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Extreme-case analysis OR (95% CI)</w:t>
            </w:r>
          </w:p>
        </w:tc>
        <w:tc>
          <w:tcPr>
            <w:tcW w:w="86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9C6C87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P value</w:t>
            </w:r>
          </w:p>
        </w:tc>
      </w:tr>
      <w:tr w14:paraId="7CABB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6CC45C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Mild rapidly resolving</w:t>
            </w:r>
          </w:p>
        </w:tc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23754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1.00 (reference)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5E9D99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21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F21399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1.00 (reference)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C04E6F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21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344142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1.00 (reference)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61A461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21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D5E8CE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1.00 (reference)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4FAA6A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—</w:t>
            </w:r>
          </w:p>
        </w:tc>
      </w:tr>
      <w:tr w14:paraId="63F9C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18AA38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Severe early improving</w:t>
            </w:r>
          </w:p>
        </w:tc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FB9D6A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1.48 (1.20–1.83)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73593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&lt;0.001</w:t>
            </w:r>
          </w:p>
        </w:tc>
        <w:tc>
          <w:tcPr>
            <w:tcW w:w="21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F0C4B5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1.81 (1.40–2.33)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CDC55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&lt;0.001</w:t>
            </w:r>
          </w:p>
        </w:tc>
        <w:tc>
          <w:tcPr>
            <w:tcW w:w="21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3E3F91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1.98 (1.59–2.45)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9C6B68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&lt;0.001</w:t>
            </w:r>
          </w:p>
        </w:tc>
        <w:tc>
          <w:tcPr>
            <w:tcW w:w="21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BC457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1.66 (1.32–2.09)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B943BB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&lt;0.001</w:t>
            </w:r>
          </w:p>
        </w:tc>
      </w:tr>
      <w:tr w14:paraId="76559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27DAD1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Persistent/fluctuating moderate</w:t>
            </w:r>
          </w:p>
        </w:tc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A80008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2.52 (2.14–2.97)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7A41B3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&lt;0.001</w:t>
            </w:r>
          </w:p>
        </w:tc>
        <w:tc>
          <w:tcPr>
            <w:tcW w:w="21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FADC9C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3.00 (2.47–3.64)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F056E3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&lt;0.001</w:t>
            </w:r>
          </w:p>
        </w:tc>
        <w:tc>
          <w:tcPr>
            <w:tcW w:w="21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01483F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3.15 (2.73–3.63)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A3809F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&lt;0.001</w:t>
            </w:r>
          </w:p>
        </w:tc>
        <w:tc>
          <w:tcPr>
            <w:tcW w:w="21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1D33DC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2.21 (1.86–2.63)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DFBFFA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&lt;0.001</w:t>
            </w:r>
          </w:p>
        </w:tc>
      </w:tr>
      <w:tr w14:paraId="005EF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BD40CF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Persistent severe</w:t>
            </w:r>
          </w:p>
        </w:tc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24F46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5.87 (4.78–7.21)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91F4D5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&lt;0.001</w:t>
            </w:r>
          </w:p>
        </w:tc>
        <w:tc>
          <w:tcPr>
            <w:tcW w:w="21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A552DB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8.26 (6.31–10.80)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742021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&lt;0.001</w:t>
            </w:r>
          </w:p>
        </w:tc>
        <w:tc>
          <w:tcPr>
            <w:tcW w:w="21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2C0D95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7.82 (6.22–9.83)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128AD8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&lt;0.001</w:t>
            </w:r>
          </w:p>
        </w:tc>
        <w:tc>
          <w:tcPr>
            <w:tcW w:w="21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B7C45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5.22 (4.05–6.71)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33923F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&lt;0.001</w:t>
            </w:r>
          </w:p>
        </w:tc>
      </w:tr>
    </w:tbl>
    <w:p w14:paraId="7DBA694D">
      <w:pPr>
        <w:spacing w:before="40" w:after="160" w:line="264" w:lineRule="auto"/>
      </w:pPr>
      <w:r>
        <w:rPr>
          <w:b/>
          <w:i/>
        </w:rPr>
        <w:t xml:space="preserve">Note. </w:t>
      </w:r>
      <w:r>
        <w:rPr>
          <w:i/>
        </w:rPr>
        <w:t>The mild rapidly resolving class was used as the reference group.</w:t>
      </w:r>
    </w:p>
    <w:p w14:paraId="17EDA20B">
      <w:pPr>
        <w:pStyle w:val="3"/>
        <w:spacing w:before="200" w:after="80"/>
      </w:pPr>
      <w:r>
        <w:rPr>
          <w:b/>
        </w:rPr>
        <w:t>Table S13. Baseline characteristics of included and excluded audit groups under the 96-hour landmark design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584"/>
        <w:gridCol w:w="1584"/>
        <w:gridCol w:w="4032"/>
      </w:tblGrid>
      <w:tr w14:paraId="70845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880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548E8D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Variable</w:t>
            </w:r>
          </w:p>
        </w:tc>
        <w:tc>
          <w:tcPr>
            <w:tcW w:w="158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4D0F43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Excluded group (n=13,426)</w:t>
            </w:r>
          </w:p>
        </w:tc>
        <w:tc>
          <w:tcPr>
            <w:tcW w:w="158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BFD8F7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Included group (n=7,737)</w:t>
            </w:r>
          </w:p>
        </w:tc>
        <w:tc>
          <w:tcPr>
            <w:tcW w:w="4032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0462EE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Interpretation</w:t>
            </w:r>
          </w:p>
        </w:tc>
      </w:tr>
      <w:tr w14:paraId="5AE2E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0BF3AA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Sample size, n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562743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13,426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0C9225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7,737</w:t>
            </w:r>
          </w:p>
        </w:tc>
        <w:tc>
          <w:tcPr>
            <w:tcW w:w="40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711A82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Numbers of excluded and included patients in the main analysis</w:t>
            </w:r>
          </w:p>
        </w:tc>
      </w:tr>
      <w:tr w14:paraId="0732B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2B861C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Age, mean (years)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D0ACEE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66.9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A489A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63.7</w:t>
            </w:r>
          </w:p>
        </w:tc>
        <w:tc>
          <w:tcPr>
            <w:tcW w:w="40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2785C9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Excluded patients were slightly older on average</w:t>
            </w:r>
          </w:p>
        </w:tc>
      </w:tr>
      <w:tr w14:paraId="50CF9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D9B09E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Age, median (years)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B8B60B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68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2C7F6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65</w:t>
            </w:r>
          </w:p>
        </w:tc>
        <w:tc>
          <w:tcPr>
            <w:tcW w:w="40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A69BBB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Consistent with the mean difference</w:t>
            </w:r>
          </w:p>
        </w:tc>
      </w:tr>
      <w:tr w14:paraId="6739B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3428B7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Male sex, %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6E9FE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58.6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B77EB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58.3</w:t>
            </w:r>
          </w:p>
        </w:tc>
        <w:tc>
          <w:tcPr>
            <w:tcW w:w="40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60129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Similar sex composition</w:t>
            </w:r>
          </w:p>
        </w:tc>
      </w:tr>
      <w:tr w14:paraId="40EBE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1CF9E2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ICU length of stay, median (days)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EA5F0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2.28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A9E46B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9.56</w:t>
            </w:r>
          </w:p>
        </w:tc>
        <w:tc>
          <w:tcPr>
            <w:tcW w:w="40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6E4B3F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Included patients had to survive and remain observed through 96 hours</w:t>
            </w:r>
          </w:p>
        </w:tc>
      </w:tr>
      <w:tr w14:paraId="6E5EC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370A8C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Total hospital length of stay, median (days)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7B038F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7.02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3C66DE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16.93</w:t>
            </w:r>
          </w:p>
        </w:tc>
        <w:tc>
          <w:tcPr>
            <w:tcW w:w="40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4E90F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Included patients had longer overall hospitalization</w:t>
            </w:r>
          </w:p>
        </w:tc>
      </w:tr>
      <w:tr w14:paraId="40790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AC5F8E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In-hospital mortality, %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0B7BA2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17.24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69E0B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24.48</w:t>
            </w:r>
          </w:p>
        </w:tc>
        <w:tc>
          <w:tcPr>
            <w:tcW w:w="40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D11C5C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Percentage of deaths during the entire hospitalization</w:t>
            </w:r>
          </w:p>
        </w:tc>
      </w:tr>
      <w:tr w14:paraId="26D42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9800A5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30-day mortality after AKI onset, %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6E3E48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22.01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A02281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27.05</w:t>
            </w:r>
          </w:p>
        </w:tc>
        <w:tc>
          <w:tcPr>
            <w:tcW w:w="40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7D78CB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Not recalculated from the landmark time</w:t>
            </w:r>
          </w:p>
        </w:tc>
      </w:tr>
      <w:tr w14:paraId="60BDF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43733A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Complete four-window KDIGO sequence, %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9B9EA2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12.73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86D1C7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100.00</w:t>
            </w:r>
          </w:p>
        </w:tc>
        <w:tc>
          <w:tcPr>
            <w:tcW w:w="40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49A6A9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Included patients all met this requirement by definition</w:t>
            </w:r>
          </w:p>
        </w:tc>
      </w:tr>
      <w:tr w14:paraId="75E06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06A1E4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Alive at 96 hours, %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749B8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85.77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97AC24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100.00</w:t>
            </w:r>
          </w:p>
        </w:tc>
        <w:tc>
          <w:tcPr>
            <w:tcW w:w="40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1C6C7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Included patients all met this requirement by definition</w:t>
            </w:r>
          </w:p>
        </w:tc>
      </w:tr>
      <w:tr w14:paraId="4EB0A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CB35D4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Under observation at 96 hours, %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FB0296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0.63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013C10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100.00</w:t>
            </w:r>
          </w:p>
        </w:tc>
        <w:tc>
          <w:tcPr>
            <w:tcW w:w="40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5089FB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Included patients all met this requirement by definition</w:t>
            </w:r>
          </w:p>
        </w:tc>
      </w:tr>
    </w:tbl>
    <w:p w14:paraId="1E825414">
      <w:pPr>
        <w:spacing w:before="40" w:after="160" w:line="264" w:lineRule="auto"/>
      </w:pPr>
      <w:r>
        <w:rPr>
          <w:b/>
          <w:i/>
        </w:rPr>
        <w:t xml:space="preserve">Note. </w:t>
      </w:r>
      <w:r>
        <w:rPr>
          <w:i/>
        </w:rPr>
        <w:t>This table describes differences between included and excluded audit groups in order to assess potential selection bias and limited generalizability introduced by the landmark design.</w:t>
      </w:r>
    </w:p>
    <w:p w14:paraId="0C425BB0">
      <w:pPr>
        <w:pStyle w:val="3"/>
        <w:spacing w:before="200" w:after="80"/>
      </w:pPr>
      <w:r>
        <w:rPr>
          <w:b/>
        </w:rPr>
        <w:t>Table S14. Comparison between the complete-case sample and the full landmark sample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2304"/>
        <w:gridCol w:w="2304"/>
      </w:tblGrid>
      <w:tr w14:paraId="26E67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320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CD1068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Variable</w:t>
            </w:r>
          </w:p>
        </w:tc>
        <w:tc>
          <w:tcPr>
            <w:tcW w:w="230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6D4300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Full landmark sample (n=7,737)</w:t>
            </w:r>
          </w:p>
        </w:tc>
        <w:tc>
          <w:tcPr>
            <w:tcW w:w="230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27474F">
            <w:pPr>
              <w:spacing w:before="40" w:after="0" w:line="264" w:lineRule="auto"/>
              <w:jc w:val="center"/>
            </w:pPr>
            <w:r>
              <w:rPr>
                <w:b/>
                <w:sz w:val="16"/>
              </w:rPr>
              <w:t>Complete-case sample (n=5,198)</w:t>
            </w:r>
          </w:p>
        </w:tc>
      </w:tr>
      <w:tr w14:paraId="126C0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14EFC6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Chronic kidney disease, %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7F5112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23.0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AB7D45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25.3</w:t>
            </w:r>
          </w:p>
        </w:tc>
      </w:tr>
      <w:tr w14:paraId="67ECC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F70AFE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Baseline serum creatinine, mg/dL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E608B2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1.1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98E299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1.2</w:t>
            </w:r>
          </w:p>
        </w:tc>
      </w:tr>
      <w:tr w14:paraId="6A58C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C0BCF2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Non-renal SOFA proxy within 24 h after AKI onset, median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7B5BB2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607EBD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2</w:t>
            </w:r>
          </w:p>
        </w:tc>
      </w:tr>
      <w:tr w14:paraId="737A1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2D8FEC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Vasopressor use within 24 h after AKI onset, %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63177C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47.1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D08522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58.2</w:t>
            </w:r>
          </w:p>
        </w:tc>
      </w:tr>
      <w:tr w14:paraId="4F016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4C19D0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Invasive mechanical ventilation within 24 h after AKI onset, %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5FB6E2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70.8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72315C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79.6</w:t>
            </w:r>
          </w:p>
        </w:tc>
      </w:tr>
      <w:tr w14:paraId="4A9BA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EC4F59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Septic shock proxy within 24 h after AKI onset, %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D4FBEF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18.4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E0A9D7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27.4</w:t>
            </w:r>
          </w:p>
        </w:tc>
      </w:tr>
      <w:tr w14:paraId="27899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1BD643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30-day mortality after the landmark time, %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209AF8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28.1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F46989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29.4</w:t>
            </w:r>
          </w:p>
        </w:tc>
      </w:tr>
      <w:tr w14:paraId="1C0BE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2CBF8C">
            <w:pPr>
              <w:spacing w:before="40" w:after="0" w:line="264" w:lineRule="auto"/>
              <w:jc w:val="left"/>
            </w:pPr>
            <w:r>
              <w:rPr>
                <w:sz w:val="16"/>
              </w:rPr>
              <w:t>Day-7 persistent AKI or death, %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764F57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47.7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F63DE3">
            <w:pPr>
              <w:spacing w:before="40" w:after="0" w:line="264" w:lineRule="auto"/>
              <w:jc w:val="center"/>
            </w:pPr>
            <w:r>
              <w:rPr>
                <w:sz w:val="16"/>
              </w:rPr>
              <w:t>51.8</w:t>
            </w:r>
          </w:p>
        </w:tc>
      </w:tr>
    </w:tbl>
    <w:p w14:paraId="4DDAC852">
      <w:pPr>
        <w:spacing w:before="40" w:after="160" w:line="264" w:lineRule="auto"/>
      </w:pPr>
      <w:r>
        <w:rPr>
          <w:b/>
          <w:i/>
        </w:rPr>
        <w:t xml:space="preserve">Note. </w:t>
      </w:r>
      <w:r>
        <w:rPr>
          <w:i/>
        </w:rPr>
        <w:t>This table compares the complete-case sample with the full landmark sample with respect to baseline kidney function, illness severity, organ support requirements, and event rates.</w:t>
      </w:r>
    </w:p>
    <w:p w14:paraId="358A661D"/>
    <w:sectPr>
      <w:pgSz w:w="12240" w:h="15840"/>
      <w:pgMar w:top="1080" w:right="1080" w:bottom="1080" w:left="108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860A1"/>
    <w:rsid w:val="0AD3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eastAsia="Arial" w:cstheme="minorBidi"/>
      <w:sz w:val="21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1F4E79"/>
      <w:sz w:val="26"/>
      <w:szCs w:val="2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1F4E79"/>
      <w:sz w:val="23"/>
      <w:szCs w:val="26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1F4E79"/>
      <w:sz w:val="21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1376</Words>
  <Characters>8578</Characters>
  <Lines>0</Lines>
  <Paragraphs>0</Paragraphs>
  <TotalTime>1</TotalTime>
  <ScaleCrop>false</ScaleCrop>
  <LinksUpToDate>false</LinksUpToDate>
  <CharactersWithSpaces>9653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2026-05-06T00:39:00Z</dcterms:created>
  <dc:creator>PC</dc:creator>
  <cp:lastModifiedBy>Joyey</cp:lastModifiedBy>
  <dcterms:modified xsi:type="dcterms:W3CDTF">2026-05-07T14:09:32Z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eyJoZGlkIjoiZDRjZTNjZTNkYmM4MGExNGYxYTE1OGI2NDIwMzcwZWQiLCJ1c2VySWQiOiI5MDA4NjE2NjAifQ==</vt:lpwstr>
  </property>
  <property fmtid="{D5CDD505-2E9C-101B-9397-08002B2CF9AE}" pid="4" name="ICV">
    <vt:lpwstr>231E69A1FBD14456A8180F9B346FADDB_12</vt:lpwstr>
  </property>
</Properties>
</file>