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E579F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1EC3D5BE">
      <w:pPr>
        <w:jc w:val="center"/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1. Coverage of MDA (Sep-Oct 2019) by health district and round.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267"/>
        <w:gridCol w:w="1261"/>
        <w:gridCol w:w="1727"/>
        <w:gridCol w:w="240"/>
        <w:gridCol w:w="1294"/>
        <w:gridCol w:w="1646"/>
      </w:tblGrid>
      <w:tr w14:paraId="4A343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59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C03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 District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C8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Registered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Population</w:t>
            </w:r>
          </w:p>
        </w:tc>
        <w:tc>
          <w:tcPr>
            <w:tcW w:w="2988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4D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Round 1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F89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40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9D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Round 2</w:t>
            </w:r>
          </w:p>
        </w:tc>
      </w:tr>
      <w:tr w14:paraId="7065E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59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B9104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19F3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F37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Population of Treated</w:t>
            </w:r>
          </w:p>
        </w:tc>
        <w:tc>
          <w:tcPr>
            <w:tcW w:w="172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85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Coverage 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(95% CI)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C49A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28B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Population of Treated</w:t>
            </w:r>
          </w:p>
        </w:tc>
        <w:tc>
          <w:tcPr>
            <w:tcW w:w="164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10C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Coverage 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(95% CI)</w:t>
            </w:r>
          </w:p>
        </w:tc>
      </w:tr>
      <w:tr w14:paraId="40A5B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4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Moroni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25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78,461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55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65,084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C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83.0 (82.7-83.2)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6F6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A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41,112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4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52.4 (52.0-52.7)</w:t>
            </w:r>
          </w:p>
        </w:tc>
      </w:tr>
      <w:tr w14:paraId="3DCC3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0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Mitsamiouli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3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54,261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B4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44,138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C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 (81.0-81.7)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6A5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80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31,147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CC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57.4 (57.0-57.8)</w:t>
            </w:r>
          </w:p>
        </w:tc>
      </w:tr>
      <w:tr w14:paraId="492BF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21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Itsandra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E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43,655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50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37,326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8A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85.5 (85.2-85.8)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8CB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7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24,696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3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56.6 (56.1-57.0)</w:t>
            </w:r>
          </w:p>
        </w:tc>
      </w:tr>
      <w:tr w14:paraId="27B51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5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Bambao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8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40,267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19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34,122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D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84.7 (84.4-85.1)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200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6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23,406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E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58.1 (57.6-58.6)</w:t>
            </w:r>
          </w:p>
        </w:tc>
      </w:tr>
      <w:tr w14:paraId="020D7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7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Mbadjini Est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D1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32,458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C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27,427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0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 (84.1-84.9)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684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28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20,624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8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63.5 (63.0-64.1)</w:t>
            </w:r>
          </w:p>
        </w:tc>
      </w:tr>
      <w:tr w14:paraId="7F24C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6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Hamahamet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70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31,217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B2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25,389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BB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 (80.9-81.8)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A61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C3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13,727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EF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44.0 (43.4-44.5)</w:t>
            </w:r>
          </w:p>
        </w:tc>
      </w:tr>
      <w:tr w14:paraId="349CC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0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Oichili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0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25,105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47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21,816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8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86.9 (86.5-87.3)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EBF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7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15,474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C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61.6 (61.0-62.2)</w:t>
            </w:r>
          </w:p>
        </w:tc>
      </w:tr>
      <w:tr w14:paraId="13C75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B9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Mbadjini Ouest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FF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24,027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F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19,315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F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80.4 (79.9-80.9)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94E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B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19,411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98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80.8 (80.3-81.3)</w:t>
            </w:r>
          </w:p>
        </w:tc>
      </w:tr>
      <w:tr w14:paraId="5E122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BA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Hambou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A8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19,510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1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16,760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0D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85.9 (85.4-86.4)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D13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F7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12,964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A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66.4 (65.8-67.1)</w:t>
            </w:r>
          </w:p>
        </w:tc>
      </w:tr>
      <w:tr w14:paraId="2DE35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5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0A5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81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348,961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D37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291,377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1B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83.5 (83.4-83.6)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00FA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791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202,561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0D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58.0 (57.9-58.2)</w:t>
            </w:r>
          </w:p>
        </w:tc>
      </w:tr>
    </w:tbl>
    <w:p w14:paraId="61647F08">
      <w:pPr>
        <w:rPr>
          <w:rFonts w:hint="default" w:ascii="Times New Roman" w:hAnsi="Times New Roman" w:cs="Times New Roman"/>
          <w:lang w:val="en-US" w:eastAsia="zh-CN"/>
        </w:rPr>
      </w:pPr>
    </w:p>
    <w:p w14:paraId="0B297E5C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Notes. </w:t>
      </w:r>
      <w:r>
        <w:rPr>
          <w:rFonts w:hint="default" w:ascii="Times New Roman" w:hAnsi="Times New Roman" w:cs="Times New Roman"/>
        </w:rPr>
        <w:t xml:space="preserve">CI, confidence interval; MDA, mass drug administration. Coverage was calculated as (number of individuals treated / registered population) × 100%. Exact 95% </w:t>
      </w:r>
      <w:r>
        <w:rPr>
          <w:rFonts w:hint="default" w:ascii="Times New Roman" w:hAnsi="Times New Roman" w:cs="Times New Roman"/>
          <w:lang w:val="en-US" w:eastAsia="zh-CN"/>
        </w:rPr>
        <w:t>CI</w:t>
      </w:r>
      <w:r>
        <w:rPr>
          <w:rFonts w:hint="default" w:ascii="Times New Roman" w:hAnsi="Times New Roman" w:cs="Times New Roman"/>
        </w:rPr>
        <w:t>s were calculated using the Clopper–Pearson (binomial exact) method. Round 1 was conducted in September 2019; Round 2 was conducted in October 2019.</w:t>
      </w:r>
    </w:p>
    <w:p w14:paraId="147D3793">
      <w:pPr>
        <w:rPr>
          <w:rFonts w:hint="default" w:ascii="Times New Roman" w:hAnsi="Times New Roman" w:cs="Times New Roman"/>
        </w:rPr>
      </w:pPr>
    </w:p>
    <w:p w14:paraId="1FEA8C78">
      <w:pPr>
        <w:rPr>
          <w:rFonts w:hint="default" w:ascii="Times New Roman" w:hAnsi="Times New Roman" w:cs="Times New Roman"/>
        </w:rPr>
      </w:pPr>
    </w:p>
    <w:p w14:paraId="57738CF4">
      <w:pPr>
        <w:rPr>
          <w:rFonts w:hint="default" w:ascii="Times New Roman" w:hAnsi="Times New Roman" w:cs="Times New Roman"/>
        </w:rPr>
      </w:pPr>
    </w:p>
    <w:p w14:paraId="35E74821">
      <w:pPr>
        <w:rPr>
          <w:rFonts w:hint="default" w:ascii="Times New Roman" w:hAnsi="Times New Roman" w:cs="Times New Roman"/>
        </w:rPr>
      </w:pPr>
    </w:p>
    <w:p w14:paraId="43821858">
      <w:pPr>
        <w:rPr>
          <w:rFonts w:hint="default" w:ascii="Times New Roman" w:hAnsi="Times New Roman" w:cs="Times New Roman"/>
        </w:rPr>
      </w:pPr>
    </w:p>
    <w:p w14:paraId="46396273">
      <w:pPr>
        <w:rPr>
          <w:rFonts w:hint="default" w:ascii="Times New Roman" w:hAnsi="Times New Roman" w:cs="Times New Roman"/>
        </w:rPr>
      </w:pPr>
    </w:p>
    <w:p w14:paraId="5036080E">
      <w:pPr>
        <w:rPr>
          <w:rFonts w:hint="default" w:ascii="Times New Roman" w:hAnsi="Times New Roman" w:cs="Times New Roman"/>
        </w:rPr>
      </w:pPr>
    </w:p>
    <w:p w14:paraId="08737047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575B8B2B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Table 2. Adverse events following two rounds of MDA.</w:t>
      </w:r>
    </w:p>
    <w:tbl>
      <w:tblPr>
        <w:tblStyle w:val="2"/>
        <w:tblpPr w:leftFromText="180" w:rightFromText="180" w:vertAnchor="text" w:horzAnchor="page" w:tblpX="4562" w:tblpY="284"/>
        <w:tblOverlap w:val="never"/>
        <w:tblW w:w="791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1867"/>
        <w:gridCol w:w="1906"/>
        <w:gridCol w:w="1922"/>
      </w:tblGrid>
      <w:tr w14:paraId="3B2EB2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219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2D6A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Adverse event</w:t>
            </w:r>
          </w:p>
        </w:tc>
        <w:tc>
          <w:tcPr>
            <w:tcW w:w="1867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52C4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Round 1 (n = 994)</w:t>
            </w:r>
          </w:p>
          <w:p w14:paraId="784B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 (%)</w:t>
            </w:r>
          </w:p>
        </w:tc>
        <w:tc>
          <w:tcPr>
            <w:tcW w:w="1906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5A86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Round 2 (n = 449)</w:t>
            </w:r>
          </w:p>
          <w:p w14:paraId="531CA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 (%)</w:t>
            </w:r>
          </w:p>
        </w:tc>
        <w:tc>
          <w:tcPr>
            <w:tcW w:w="1922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3DBA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Total (N = 1,443)</w:t>
            </w:r>
          </w:p>
          <w:p w14:paraId="2AC1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 (%)</w:t>
            </w:r>
          </w:p>
        </w:tc>
      </w:tr>
      <w:tr w14:paraId="1622E2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2D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Fatigue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D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202 (20.3)</w:t>
            </w:r>
          </w:p>
        </w:tc>
        <w:tc>
          <w:tcPr>
            <w:tcW w:w="19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BB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69 (15.4)</w:t>
            </w:r>
          </w:p>
        </w:tc>
        <w:tc>
          <w:tcPr>
            <w:tcW w:w="19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C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271 (18.8)</w:t>
            </w:r>
          </w:p>
        </w:tc>
      </w:tr>
      <w:tr w14:paraId="4AECE0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73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Dizziness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C1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134 (13.5)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BF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52 (11.6)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E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186 (12.9)</w:t>
            </w:r>
          </w:p>
        </w:tc>
      </w:tr>
      <w:tr w14:paraId="37BA53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BD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Headache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6B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105 (10.6)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B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34 (7.6)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80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139 (9.6)</w:t>
            </w:r>
          </w:p>
        </w:tc>
      </w:tr>
      <w:tr w14:paraId="1B4354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E6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Fever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64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63 (6.3)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A7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69 (15.4)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2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132 (9.1)</w:t>
            </w:r>
          </w:p>
        </w:tc>
      </w:tr>
      <w:tr w14:paraId="0D8891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2A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Nausea/vomiting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F5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308 (31.0)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5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107 (23.8)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D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415 (28.8)</w:t>
            </w:r>
          </w:p>
        </w:tc>
      </w:tr>
      <w:tr w14:paraId="274878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5B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Diarrhea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38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37 (3.7)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98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32 (7.1)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E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69 (4.8)</w:t>
            </w:r>
          </w:p>
        </w:tc>
      </w:tr>
      <w:tr w14:paraId="2ACAD9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F4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Abdominal pain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7B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34 (3.4)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8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35 (7.8)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21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69 (4.8)</w:t>
            </w:r>
          </w:p>
        </w:tc>
      </w:tr>
      <w:tr w14:paraId="2D2D75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95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Galactorrhea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16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 (0.6)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7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 (0.0)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F5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 (0.4)</w:t>
            </w:r>
          </w:p>
        </w:tc>
      </w:tr>
      <w:tr w14:paraId="051A91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8C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Muscle pain/joint pain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7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53 (5.3)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B8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24 (5.3)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54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77 (5.3)</w:t>
            </w:r>
          </w:p>
        </w:tc>
      </w:tr>
      <w:tr w14:paraId="35EED3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13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Skin itch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FD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18 (1.8)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5C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 (0.9)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2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22 (1.5)</w:t>
            </w:r>
          </w:p>
        </w:tc>
      </w:tr>
      <w:tr w14:paraId="74BBE5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0A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Weakness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E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34 (3.4)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F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23 (5.1)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D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57 (4.0)</w:t>
            </w:r>
          </w:p>
        </w:tc>
      </w:tr>
      <w:tr w14:paraId="375EAE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1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2B47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Total</w:t>
            </w:r>
          </w:p>
        </w:tc>
        <w:tc>
          <w:tcPr>
            <w:tcW w:w="186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5C7D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994 (100.0)</w:t>
            </w:r>
          </w:p>
        </w:tc>
        <w:tc>
          <w:tcPr>
            <w:tcW w:w="190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46AE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449 (100.0)</w:t>
            </w: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E3E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1,443 (100.0)</w:t>
            </w:r>
          </w:p>
        </w:tc>
      </w:tr>
    </w:tbl>
    <w:p w14:paraId="4D6D923E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4B97DB6C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08F35F19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001DF278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30A486D3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5DCBC6B0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3BEED5B6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6CAB69B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50B88AB1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5E8EDC24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C23BAA7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3CFF6669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D27E884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19D24D1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7ED19EB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4A47A809"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567006DF">
      <w:pPr>
        <w:ind w:firstLine="2940" w:firstLineChars="140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Abbreviations. MDA, mass drug administration; n, number of adverse events.</w:t>
      </w:r>
    </w:p>
    <w:p w14:paraId="29ED26AD">
      <w:pPr>
        <w:ind w:firstLine="210" w:firstLineChars="10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14EA1A69">
      <w:pPr>
        <w:ind w:firstLine="210" w:firstLineChars="10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2CF184A2">
      <w:pPr>
        <w:ind w:firstLine="210" w:firstLineChars="10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632FFDAA">
      <w:pPr>
        <w:ind w:firstLine="210" w:firstLineChars="10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1597E145">
      <w:pPr>
        <w:ind w:firstLine="210" w:firstLineChars="10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4F508C0A">
      <w:pPr>
        <w:ind w:firstLine="210" w:firstLineChars="10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27EB2250">
      <w:pPr>
        <w:ind w:firstLine="210" w:firstLineChars="10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5EF4BA3B">
      <w:pPr>
        <w:ind w:firstLine="211" w:firstLineChars="10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D2BF91B">
      <w:pPr>
        <w:ind w:firstLine="211" w:firstLineChars="100"/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3. Parasitemia and gametocytemia prevalence before and after mass drug administration, by village and time point</w:t>
      </w:r>
    </w:p>
    <w:tbl>
      <w:tblPr>
        <w:tblStyle w:val="2"/>
        <w:tblW w:w="141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5"/>
        <w:gridCol w:w="697"/>
        <w:gridCol w:w="1161"/>
        <w:gridCol w:w="935"/>
        <w:gridCol w:w="243"/>
        <w:gridCol w:w="764"/>
        <w:gridCol w:w="1057"/>
        <w:gridCol w:w="1095"/>
        <w:gridCol w:w="240"/>
        <w:gridCol w:w="922"/>
        <w:gridCol w:w="1067"/>
        <w:gridCol w:w="1000"/>
        <w:gridCol w:w="257"/>
        <w:gridCol w:w="924"/>
        <w:gridCol w:w="1152"/>
        <w:gridCol w:w="933"/>
      </w:tblGrid>
      <w:tr w14:paraId="3561B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685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345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Village</w:t>
            </w:r>
          </w:p>
        </w:tc>
        <w:tc>
          <w:tcPr>
            <w:tcW w:w="2793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CE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Pre-MDA </w:t>
            </w:r>
          </w:p>
          <w:p w14:paraId="2AD54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(Jul 2019)</w:t>
            </w:r>
          </w:p>
        </w:tc>
        <w:tc>
          <w:tcPr>
            <w:tcW w:w="24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E481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16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37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round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of MDA </w:t>
            </w:r>
          </w:p>
          <w:p w14:paraId="51AD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(Sep 2019)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ADBF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9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C2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onth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ost-MDA </w:t>
            </w:r>
          </w:p>
          <w:p w14:paraId="2664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(Nov 2019)</w:t>
            </w:r>
          </w:p>
        </w:tc>
        <w:tc>
          <w:tcPr>
            <w:tcW w:w="25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492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09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C5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onths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ost-MDA </w:t>
            </w:r>
          </w:p>
          <w:p w14:paraId="385F5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(Jan 2021)</w:t>
            </w:r>
          </w:p>
        </w:tc>
      </w:tr>
      <w:tr w14:paraId="39958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68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7F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E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F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Para.</w:t>
            </w:r>
          </w:p>
          <w:p w14:paraId="6E7EF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n (%)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8E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Gam.</w:t>
            </w:r>
          </w:p>
          <w:p w14:paraId="7E0BB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n (%)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DE9A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21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73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Para.</w:t>
            </w:r>
          </w:p>
          <w:p w14:paraId="2B1B3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n (%)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99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Gam.</w:t>
            </w:r>
          </w:p>
          <w:p w14:paraId="47E0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n (%)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7953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E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A9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Para.</w:t>
            </w:r>
          </w:p>
          <w:p w14:paraId="7162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n (%)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30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Gam.</w:t>
            </w:r>
          </w:p>
          <w:p w14:paraId="07DFA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n (%)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565D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8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15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Para.</w:t>
            </w:r>
          </w:p>
          <w:p w14:paraId="023B4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n (%)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4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Gam.</w:t>
            </w:r>
          </w:p>
          <w:p w14:paraId="3F9DD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n (%)</w:t>
            </w:r>
          </w:p>
        </w:tc>
      </w:tr>
      <w:tr w14:paraId="0BCAA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B3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Djomani</w:t>
            </w:r>
          </w:p>
        </w:tc>
        <w:tc>
          <w:tcPr>
            <w:tcW w:w="69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6F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1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A5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 (20.8)</w:t>
            </w: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B8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 (7.2)</w:t>
            </w:r>
          </w:p>
        </w:tc>
        <w:tc>
          <w:tcPr>
            <w:tcW w:w="24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7568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B2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05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35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 (1.0)</w:t>
            </w:r>
          </w:p>
        </w:tc>
        <w:tc>
          <w:tcPr>
            <w:tcW w:w="109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A5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3CAC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2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106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D3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10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77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5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8F0C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0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AB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93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D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</w:tr>
      <w:tr w14:paraId="17C4F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F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Kouwa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E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1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 (11.5)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AF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(1.4)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E1B0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E0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20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(1.5)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05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9787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66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7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E5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9C70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9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6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E4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</w:tr>
      <w:tr w14:paraId="71936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5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Ouzio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A2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E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 (13.2)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77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 (7.4)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DB87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5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FA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B6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739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D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0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 (0.5)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11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BD45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65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47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(1.5)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71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</w:tr>
      <w:tr w14:paraId="44789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07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Ndroude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0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9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 (8.3)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C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 (1.9)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D00F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B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53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 (0.5)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85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9623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E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A2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 xml:space="preserve">1 </w:t>
            </w: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(</w:t>
            </w:r>
            <w:r>
              <w:rPr>
                <w:rStyle w:val="4"/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0.5</w:t>
            </w: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8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965A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3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14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(1.7)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2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(1.7)</w:t>
            </w:r>
          </w:p>
        </w:tc>
      </w:tr>
      <w:tr w14:paraId="284BD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47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Moidja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4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1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 (16.9)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1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(1.4)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7A66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53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0F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 (0.5)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5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BD96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3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3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1 (0.5</w:t>
            </w: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68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5F61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A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3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(2.4)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E0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 (1.6)</w:t>
            </w:r>
          </w:p>
        </w:tc>
      </w:tr>
      <w:tr w14:paraId="1A190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F9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Sidjou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8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22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 (16.1)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8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 (3.7)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F409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65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27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 (0.5)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2C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2BB4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47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6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 xml:space="preserve">3 </w:t>
            </w: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(</w:t>
            </w:r>
            <w:r>
              <w:rPr>
                <w:rStyle w:val="4"/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1.5</w:t>
            </w: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95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82C1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4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8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63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</w:tr>
      <w:tr w14:paraId="12A77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2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Nioumamilima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B3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DE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 (6.4)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B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 (2.0)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7C1E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0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02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(1.5)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C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0EA4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9F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1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 xml:space="preserve">1 </w:t>
            </w: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(</w:t>
            </w:r>
            <w:r>
              <w:rPr>
                <w:rStyle w:val="4"/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0.5</w:t>
            </w: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D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11E2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3F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5C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5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</w:tr>
      <w:tr w14:paraId="694E0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DB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Hetsa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16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2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 (20.5)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2B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 (6.0)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5E33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A6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A2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61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FEED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1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1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(1.5)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D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 (0.5)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9E1C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F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7A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61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</w:tr>
      <w:tr w14:paraId="6B8D5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EC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Mavingouni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53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58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 (10.6)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48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 (1.9)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6E5B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E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9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B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DEEF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5F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E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1F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AEBF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F3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31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9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</w:tr>
      <w:tr w14:paraId="6AD0A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89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Mkazi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56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9B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 (16.2)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F1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 (1.0)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1679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2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D3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 (5.0)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6D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(1.5)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9533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69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7A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6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FD7E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4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9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6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 (0)</w:t>
            </w:r>
          </w:p>
        </w:tc>
      </w:tr>
      <w:tr w14:paraId="43007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1CF16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Total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6E8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2,062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658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 (14.1)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04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 (3.4)</w:t>
            </w:r>
          </w:p>
        </w:tc>
        <w:tc>
          <w:tcPr>
            <w:tcW w:w="2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749CB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B7D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2,045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51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 (1.0)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73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(0.1)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F57E2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532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2,053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FF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 (0.5)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5ED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 (0.05)</w:t>
            </w:r>
          </w:p>
        </w:tc>
        <w:tc>
          <w:tcPr>
            <w:tcW w:w="2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A4EFC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60C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1,870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E7E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 (0.5)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35E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 (0.3)</w:t>
            </w:r>
          </w:p>
        </w:tc>
      </w:tr>
    </w:tbl>
    <w:p w14:paraId="604B2D17">
      <w:pPr>
        <w:ind w:firstLine="210" w:firstLineChars="10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0AA6B969">
      <w:pPr>
        <w:bidi w:val="0"/>
        <w:jc w:val="both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Notes</w:t>
      </w:r>
      <w:r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  <w:t xml:space="preserve">: </w:t>
      </w: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MDA, mass drug administration; N, number of individuals screened</w:t>
      </w:r>
      <w:r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  <w:t>;</w:t>
      </w: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 xml:space="preserve"> Para., parasitemia; Gam., gametocytemia.; Pre-MDA, before intervention (July 2019); After 1st round, following the first MDA round (September 2019); 1 Month Post-MDA, one month after completion of MDA (November 2019); 15 Months Post-MDA, fifteen months after MDA (January 2021).</w:t>
      </w:r>
    </w:p>
    <w:p w14:paraId="3C9829E0">
      <w:pPr>
        <w:bidi w:val="0"/>
        <w:ind w:firstLine="438" w:firstLineChars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441056A4">
      <w:pPr>
        <w:bidi w:val="0"/>
        <w:ind w:firstLine="438" w:firstLineChars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6F8712BA">
      <w:pPr>
        <w:bidi w:val="0"/>
        <w:ind w:firstLine="438" w:firstLineChars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01AE3025">
      <w:pPr>
        <w:bidi w:val="0"/>
        <w:ind w:firstLine="438" w:firstLineChars="0"/>
        <w:jc w:val="center"/>
        <w:rPr>
          <w:rFonts w:hint="default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  <w:t>Table 4. Summary of comparative effectiveness between two MDA campaigns.</w:t>
      </w:r>
    </w:p>
    <w:tbl>
      <w:tblPr>
        <w:tblStyle w:val="2"/>
        <w:tblW w:w="115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2"/>
        <w:gridCol w:w="2851"/>
        <w:gridCol w:w="3010"/>
        <w:gridCol w:w="1875"/>
      </w:tblGrid>
      <w:tr w14:paraId="7852B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6" w:hRule="atLeast"/>
          <w:jc w:val="center"/>
        </w:trPr>
        <w:tc>
          <w:tcPr>
            <w:tcW w:w="3822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D9D3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Parameter</w:t>
            </w:r>
          </w:p>
        </w:tc>
        <w:tc>
          <w:tcPr>
            <w:tcW w:w="285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D6E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MDA1 (Nov-Dec 2013)</w:t>
            </w:r>
          </w:p>
        </w:tc>
        <w:tc>
          <w:tcPr>
            <w:tcW w:w="301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AD64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MDA2 (Sep-Dec 2019)</w:t>
            </w:r>
          </w:p>
        </w:tc>
        <w:tc>
          <w:tcPr>
            <w:tcW w:w="1875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43F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-value</w:t>
            </w:r>
          </w:p>
        </w:tc>
      </w:tr>
      <w:tr w14:paraId="440EE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8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2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Baseline (cases/month)</w:t>
            </w:r>
          </w:p>
        </w:tc>
        <w:tc>
          <w:tcPr>
            <w:tcW w:w="28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BF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5,023</w:t>
            </w:r>
          </w:p>
        </w:tc>
        <w:tc>
          <w:tcPr>
            <w:tcW w:w="30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B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1,621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5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 w14:paraId="0908C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5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Nadir (cases/month)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F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13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11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2910A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7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Normalized nadir (% of baseline)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3E3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0.9%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1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11.8%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D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 w14:paraId="6169D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3C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Reduction magnitude (%)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1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99.1%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C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88.2%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2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20EB7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91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Recovery at 12 months (% of baseline)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1B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2.1%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D3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32.5%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A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8619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A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Recovery at 24 months (% of baseline)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1D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0.9%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52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93.6%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07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042A8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C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Duration below 50% baseline (months)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5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&gt;48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8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44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3418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97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Duration below 25% baseline (months)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F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&gt;48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7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E2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7F60B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5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Return to baseline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34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Never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CE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~26 months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2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 w14:paraId="0C081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38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F4C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Status at 48 months</w:t>
            </w:r>
          </w:p>
        </w:tc>
        <w:tc>
          <w:tcPr>
            <w:tcW w:w="285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8B1A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Suppressed (1% of baseline)</w:t>
            </w:r>
          </w:p>
        </w:tc>
        <w:tc>
          <w:tcPr>
            <w:tcW w:w="30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2D0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Overshoot (152% of baseline)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D26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</w:tbl>
    <w:p w14:paraId="264FB759">
      <w:pPr>
        <w:bidi w:val="0"/>
        <w:jc w:val="both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Notes</w:t>
      </w:r>
      <w:r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  <w:t xml:space="preserve">: Baseline for MDA1 was defined as the 12-month period preceding the intervention (January–December 2012; mean = 5,023 cases/month). Baseline for MDA2 was defined as January–December 2018 (mean = 1,621 cases/month). Normalized values were calculated as (monthly cases / baseline mean) × 100%. Nadir values represent the lowest monthly case count within 36 months post-MDA: MDA1 = 44 cases/month (November 2015); MDA2 = 192 cases/month (April 2020). Return to baseline was defined as the first month when monthly cases exceeded the pre-MDA baseline mean. P-values were calculated using the Wilcoxon rank-sum test for between-campaign comparisons of normalized case counts at specified time points (±3 months). All statistical tests were two-sided, and a </w:t>
      </w:r>
      <w:r>
        <w:rPr>
          <w:rFonts w:hint="default" w:ascii="Times New Roman" w:hAnsi="Times New Roman" w:cs="Times New Roman"/>
          <w:i/>
          <w:iCs/>
          <w:kern w:val="2"/>
          <w:sz w:val="21"/>
          <w:szCs w:val="24"/>
          <w:lang w:val="en-US" w:eastAsia="zh-CN" w:bidi="ar-SA"/>
        </w:rPr>
        <w:t>p</w:t>
      </w:r>
      <w:r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  <w:t>-value &lt; 0.05 was considered statistically significant.</w:t>
      </w:r>
    </w:p>
    <w:p w14:paraId="7F0C6F39">
      <w:pPr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04782669">
      <w:pPr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3F508A05">
      <w:pPr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5912B0D0">
      <w:pPr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6B763BC6">
      <w:pPr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65E278E3">
      <w:pPr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2C3197DF">
      <w:pPr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0C5290CF">
      <w:pPr>
        <w:tabs>
          <w:tab w:val="left" w:pos="2537"/>
        </w:tabs>
        <w:bidi w:val="0"/>
        <w:jc w:val="center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  <w:t>S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  <w:t>1. Monthly confirmed malaria cases on Grande Comore Island, Union of Comoros, 2012–2024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689"/>
        <w:gridCol w:w="689"/>
        <w:gridCol w:w="636"/>
        <w:gridCol w:w="636"/>
        <w:gridCol w:w="636"/>
        <w:gridCol w:w="636"/>
        <w:gridCol w:w="689"/>
        <w:gridCol w:w="689"/>
        <w:gridCol w:w="636"/>
        <w:gridCol w:w="689"/>
        <w:gridCol w:w="689"/>
        <w:gridCol w:w="689"/>
        <w:gridCol w:w="689"/>
      </w:tblGrid>
      <w:tr w14:paraId="55096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8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Month</w:t>
            </w:r>
          </w:p>
        </w:tc>
        <w:tc>
          <w:tcPr>
            <w:tcW w:w="0" w:type="auto"/>
            <w:gridSpan w:val="1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EF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Year, N/Cases</w:t>
            </w:r>
          </w:p>
        </w:tc>
      </w:tr>
      <w:tr w14:paraId="3A850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062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26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5D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18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4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7D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F7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2C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F6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33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C0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D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B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</w:t>
            </w:r>
          </w:p>
        </w:tc>
      </w:tr>
      <w:tr w14:paraId="62340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6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B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E1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6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59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3B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6A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3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2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5E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4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3A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10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 w14:paraId="43A4D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C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66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7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E4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3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F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45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4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88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C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4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4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F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6E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</w:tr>
      <w:tr w14:paraId="18234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72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3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D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1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84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6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2E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1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B1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22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A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F6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06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8A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</w:tr>
      <w:tr w14:paraId="6F7E0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07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A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88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FD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64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B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DF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F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18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2C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95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2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52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3F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808</w:t>
            </w:r>
          </w:p>
        </w:tc>
      </w:tr>
      <w:tr w14:paraId="626F6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47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69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8A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3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36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D3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4A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1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89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D6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D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4A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F9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F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005</w:t>
            </w:r>
          </w:p>
        </w:tc>
      </w:tr>
      <w:tr w14:paraId="54F74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8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4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A4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9C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1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8E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DB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05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09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ED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BA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83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E5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00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869</w:t>
            </w:r>
          </w:p>
        </w:tc>
      </w:tr>
      <w:tr w14:paraId="25898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1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1E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8D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CF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7C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70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38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78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7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5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2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68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62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9A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</w:t>
            </w:r>
          </w:p>
        </w:tc>
      </w:tr>
      <w:tr w14:paraId="1B79E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AE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8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21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2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DA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B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58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E9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1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9E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B5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E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B4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7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</w:tr>
      <w:tr w14:paraId="3EED7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1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6D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B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A3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A8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1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4B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69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F5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3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2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D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AF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07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027</w:t>
            </w:r>
          </w:p>
        </w:tc>
      </w:tr>
      <w:tr w14:paraId="689F9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C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7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8D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09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D2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98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1E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9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B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E9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8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5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68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F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</w:tr>
      <w:tr w14:paraId="31226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8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CE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D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72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BC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2D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64F2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C2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38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B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E8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0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BA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5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975</w:t>
            </w:r>
          </w:p>
        </w:tc>
      </w:tr>
      <w:tr w14:paraId="50E31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5AE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14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664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B6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94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B1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02FA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812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FBD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623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5E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0B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8B3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570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</w:tbl>
    <w:p w14:paraId="6338E0A0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  <w:t xml:space="preserve">Note: Data were monthly confirmed malaria cases reported by the National Malaria Control Programme of the Union of Comoros. </w:t>
      </w:r>
    </w:p>
    <w:p w14:paraId="53FA0397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1AAE97A9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49BCD9A5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62C0BB56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19D4BB31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3BFCDC56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418B8CE5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4CE9FFD8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7A4F62B2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620670BC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2F7DDFDB">
      <w:pPr>
        <w:bidi w:val="0"/>
        <w:jc w:val="center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  <w:t>S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  <w:t>2. Comparison of normalized recovery trajectories following two MDA campaigns</w:t>
      </w:r>
    </w:p>
    <w:tbl>
      <w:tblPr>
        <w:tblStyle w:val="2"/>
        <w:tblpPr w:leftFromText="180" w:rightFromText="180" w:vertAnchor="text" w:horzAnchor="page" w:tblpX="4393" w:tblpY="138"/>
        <w:tblOverlap w:val="never"/>
        <w:tblW w:w="8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2"/>
        <w:gridCol w:w="2604"/>
        <w:gridCol w:w="2438"/>
      </w:tblGrid>
      <w:tr w14:paraId="76362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550B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Time point (months)</w:t>
            </w:r>
          </w:p>
        </w:tc>
        <w:tc>
          <w:tcPr>
            <w:tcW w:w="26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ADC5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MDA1 (Nov-Dec 2013)</w:t>
            </w:r>
          </w:p>
        </w:tc>
        <w:tc>
          <w:tcPr>
            <w:tcW w:w="24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76C3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MDA2 (Sep-Oct 2019)</w:t>
            </w:r>
          </w:p>
        </w:tc>
      </w:tr>
      <w:tr w14:paraId="51BE5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0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Absolute baseline (cases/month)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A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5,023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C5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1,621</w:t>
            </w:r>
          </w:p>
        </w:tc>
      </w:tr>
      <w:tr w14:paraId="16D00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A9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Normalized baseline (%)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E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98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4AEAA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72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Nadir (month)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4B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0.9% (24 mo)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4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11.8% (6 mo)</w:t>
            </w:r>
          </w:p>
        </w:tc>
      </w:tr>
      <w:tr w14:paraId="2241C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5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 months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2A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4.2%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C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11.8%</w:t>
            </w:r>
          </w:p>
        </w:tc>
      </w:tr>
      <w:tr w14:paraId="79E35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29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12 months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B0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2.1%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7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32.5%</w:t>
            </w:r>
          </w:p>
        </w:tc>
      </w:tr>
      <w:tr w14:paraId="0CFB2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37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18 months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9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2.1%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9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43.4%</w:t>
            </w:r>
          </w:p>
        </w:tc>
      </w:tr>
      <w:tr w14:paraId="6B917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64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24 months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4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0.9%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7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93.6%</w:t>
            </w:r>
          </w:p>
        </w:tc>
      </w:tr>
      <w:tr w14:paraId="7751A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2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36 months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E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2.3%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99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130.5%</w:t>
            </w:r>
          </w:p>
        </w:tc>
      </w:tr>
      <w:tr w14:paraId="7540C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D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48 months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8E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2.3%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F4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132.4%</w:t>
            </w:r>
          </w:p>
        </w:tc>
      </w:tr>
      <w:tr w14:paraId="32A02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48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Return to baseline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C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Never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A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~26 months</w:t>
            </w:r>
          </w:p>
        </w:tc>
      </w:tr>
      <w:tr w14:paraId="43736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044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Status at 48 months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540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Suppressed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CAA9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Overshoot</w:t>
            </w:r>
          </w:p>
        </w:tc>
      </w:tr>
    </w:tbl>
    <w:p w14:paraId="4A2E83B2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0C788FAB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3B4AC957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63C7E53A">
      <w:pPr>
        <w:tabs>
          <w:tab w:val="left" w:pos="2537"/>
        </w:tabs>
        <w:bidi w:val="0"/>
        <w:jc w:val="center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5616E57A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1AF0DAD8">
      <w:pPr>
        <w:bidi w:val="0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3AEF06D1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1669E6E8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34C121AD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0CE180E5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26099297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4F1D153E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1A174092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3672B8C0">
      <w:pPr>
        <w:tabs>
          <w:tab w:val="left" w:pos="244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Note: Normalized values represent monthly cases as a percentage of pre-MDA baseline (baseline = 100%). MDA1 baseline: 5,023 cases/month (January–December 2012); MDA2 baseline: 1,621 cases/month (January–December 2018). Nadir values: MDA1 = 44 cases/month (November 2015, 24 months post-MDA); MDA2 = 192 cases/month (April 2020, 6 months post-MDA). Return to baseline was defined as the first month when monthly cases exceeded the pre-MDA baseline mean. </w:t>
      </w:r>
      <w:r>
        <w:rPr>
          <w:rFonts w:hint="default" w:ascii="Times New Roman" w:hAnsi="Times New Roman" w:cs="Times New Roman"/>
          <w:i/>
          <w:iCs/>
          <w:lang w:val="en-US" w:eastAsia="zh-CN"/>
        </w:rPr>
        <w:t>P</w:t>
      </w:r>
      <w:r>
        <w:rPr>
          <w:rFonts w:hint="default" w:ascii="Times New Roman" w:hAnsi="Times New Roman" w:cs="Times New Roman"/>
          <w:lang w:val="en-US" w:eastAsia="zh-CN"/>
        </w:rPr>
        <w:t>-values for between-campaign comparisons at 12 and 24 months were both &lt;0.001 (Wilcoxon rank-sum test).</w:t>
      </w:r>
    </w:p>
    <w:p w14:paraId="185DB1C0">
      <w:pPr>
        <w:tabs>
          <w:tab w:val="left" w:pos="244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4ED700C4">
      <w:pPr>
        <w:tabs>
          <w:tab w:val="left" w:pos="244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415C52E6">
      <w:pPr>
        <w:tabs>
          <w:tab w:val="left" w:pos="244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73F49F96">
      <w:pPr>
        <w:tabs>
          <w:tab w:val="left" w:pos="244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78258098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13B675D">
      <w:pPr>
        <w:bidi w:val="0"/>
        <w:rPr>
          <w:rFonts w:hint="default"/>
          <w:lang w:val="en-US" w:eastAsia="zh-CN"/>
        </w:rPr>
      </w:pPr>
    </w:p>
    <w:p w14:paraId="6DF531AA">
      <w:pPr>
        <w:bidi w:val="0"/>
        <w:rPr>
          <w:rFonts w:hint="default"/>
          <w:lang w:val="en-US" w:eastAsia="zh-CN"/>
        </w:rPr>
      </w:pPr>
    </w:p>
    <w:p w14:paraId="6589B34E">
      <w:pPr>
        <w:bidi w:val="0"/>
        <w:jc w:val="left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A0DF7"/>
    <w:rsid w:val="03FF60FC"/>
    <w:rsid w:val="07781501"/>
    <w:rsid w:val="07D72EEC"/>
    <w:rsid w:val="092044C9"/>
    <w:rsid w:val="115B5676"/>
    <w:rsid w:val="13000360"/>
    <w:rsid w:val="132633CD"/>
    <w:rsid w:val="15E038B4"/>
    <w:rsid w:val="17EB126F"/>
    <w:rsid w:val="19763B91"/>
    <w:rsid w:val="1BAF416F"/>
    <w:rsid w:val="1CE95744"/>
    <w:rsid w:val="1F6B41EE"/>
    <w:rsid w:val="233A4603"/>
    <w:rsid w:val="23DC4779"/>
    <w:rsid w:val="248975AD"/>
    <w:rsid w:val="29712D49"/>
    <w:rsid w:val="2AB54EB7"/>
    <w:rsid w:val="2ACF4E96"/>
    <w:rsid w:val="2DDE64D3"/>
    <w:rsid w:val="2EDE2C2F"/>
    <w:rsid w:val="337771AE"/>
    <w:rsid w:val="33EF31E8"/>
    <w:rsid w:val="367C4ADB"/>
    <w:rsid w:val="3B4C2CCE"/>
    <w:rsid w:val="3BEE647B"/>
    <w:rsid w:val="3BFF5F92"/>
    <w:rsid w:val="409B6CE3"/>
    <w:rsid w:val="41FD4D22"/>
    <w:rsid w:val="43CA5B33"/>
    <w:rsid w:val="478163F5"/>
    <w:rsid w:val="49170DBF"/>
    <w:rsid w:val="4974591F"/>
    <w:rsid w:val="49885819"/>
    <w:rsid w:val="4AF55130"/>
    <w:rsid w:val="4B2A0088"/>
    <w:rsid w:val="4F9B0E06"/>
    <w:rsid w:val="50F14B6C"/>
    <w:rsid w:val="521165E6"/>
    <w:rsid w:val="52483D98"/>
    <w:rsid w:val="54DC4C6B"/>
    <w:rsid w:val="55FB150F"/>
    <w:rsid w:val="57C9597B"/>
    <w:rsid w:val="5895585D"/>
    <w:rsid w:val="5A276988"/>
    <w:rsid w:val="5C581235"/>
    <w:rsid w:val="5DDA4491"/>
    <w:rsid w:val="63986998"/>
    <w:rsid w:val="64FD0834"/>
    <w:rsid w:val="75C8506C"/>
    <w:rsid w:val="7641171E"/>
    <w:rsid w:val="7CAA464A"/>
    <w:rsid w:val="7E3E411D"/>
    <w:rsid w:val="7FD3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5">
    <w:name w:val="font6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884</Words>
  <Characters>4229</Characters>
  <Lines>0</Lines>
  <Paragraphs>0</Paragraphs>
  <TotalTime>6</TotalTime>
  <ScaleCrop>false</ScaleCrop>
  <LinksUpToDate>false</LinksUpToDate>
  <CharactersWithSpaces>4761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2026-04-11T11:28:00Z</dcterms:created>
  <dc:creator>GUOVIN</dc:creator>
  <cp:lastModifiedBy>李国铭</cp:lastModifiedBy>
  <dcterms:modified xsi:type="dcterms:W3CDTF">2026-04-29T20:28:23Z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eyJoZGlkIjoiODViY2JkMjU3NGYzZTEwMzZmMGFkZWViYmNkYWU3NDIiLCJ1c2VySWQiOiIzODA0MDQzNzYifQ==</vt:lpwstr>
  </property>
  <property fmtid="{D5CDD505-2E9C-101B-9397-08002B2CF9AE}" pid="4" name="ICV">
    <vt:lpwstr>64D9CB73F2A347D99D0D7134826DB136_12</vt:lpwstr>
  </property>
</Properties>
</file>