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i w:val="0"/>
          <w:sz w:val="32"/>
        </w:rPr>
        <w:t>Highlights of the Paper</w:t>
      </w:r>
    </w:p>
    <w:p>
      <w:pPr>
        <w:jc w:val="center"/>
      </w:pPr>
      <w:r>
        <w:rPr>
          <w:rFonts w:ascii="Times New Roman" w:hAnsi="Times New Roman"/>
          <w:b w:val="0"/>
          <w:i/>
          <w:sz w:val="24"/>
        </w:rPr>
        <w:t>Joint Modelling of Longitudinal PANSS Scores and Informative Dropout Risk in Chronic Schizophrenia</w:t>
      </w:r>
    </w:p>
    <w:p/>
    <w:p>
      <w:pPr>
        <w:jc w:val="both"/>
      </w:pPr>
      <w:r>
        <w:rPr>
          <w:rFonts w:ascii="Times New Roman" w:hAnsi="Times New Roman"/>
          <w:b w:val="0"/>
          <w:i w:val="0"/>
          <w:sz w:val="22"/>
        </w:rPr>
        <w:t>The following highlights summarise the main methodological and substantive contributions of the manuscript.</w:t>
      </w:r>
    </w:p>
    <w:p>
      <w:pPr>
        <w:pStyle w:val="ListBullet"/>
        <w:spacing w:after="120"/>
        <w:ind w:left="288"/>
      </w:pPr>
      <w:r>
        <w:rPr>
          <w:rFonts w:ascii="Times New Roman" w:hAnsi="Times New Roman"/>
          <w:b w:val="0"/>
          <w:i w:val="0"/>
          <w:sz w:val="22"/>
        </w:rPr>
        <w:t>A shared-parameter joint modelling framework is used to analyse longitudinal PANSS scores together with time to dropout in chronic schizophrenia.</w:t>
      </w:r>
    </w:p>
    <w:p>
      <w:pPr>
        <w:pStyle w:val="ListBullet"/>
        <w:spacing w:after="120"/>
        <w:ind w:left="288"/>
      </w:pPr>
      <w:r>
        <w:rPr>
          <w:rFonts w:ascii="Times New Roman" w:hAnsi="Times New Roman"/>
          <w:b w:val="0"/>
          <w:i w:val="0"/>
          <w:sz w:val="22"/>
        </w:rPr>
        <w:t>The analysis shows that higher current latent PANSS severity is consistently associated with a higher hazard of dropout, indicating informative missingness rather than an ignorable dropout process.</w:t>
      </w:r>
    </w:p>
    <w:p>
      <w:pPr>
        <w:pStyle w:val="ListBullet"/>
        <w:spacing w:after="120"/>
        <w:ind w:left="288"/>
      </w:pPr>
      <w:r>
        <w:rPr>
          <w:rFonts w:ascii="Times New Roman" w:hAnsi="Times New Roman"/>
          <w:b w:val="0"/>
          <w:i w:val="0"/>
          <w:sz w:val="22"/>
        </w:rPr>
        <w:t>Results are compared across JM, JMbayes2, and INLAjoint, and the main direction of the PANSS–dropout association remains stable across modelling frameworks.</w:t>
      </w:r>
    </w:p>
    <w:p>
      <w:pPr>
        <w:pStyle w:val="ListBullet"/>
        <w:spacing w:after="120"/>
        <w:ind w:left="288"/>
      </w:pPr>
      <w:r>
        <w:rPr>
          <w:rFonts w:ascii="Times New Roman" w:hAnsi="Times New Roman"/>
          <w:b w:val="0"/>
          <w:i w:val="0"/>
          <w:sz w:val="22"/>
        </w:rPr>
        <w:t>Sensitivity analyses based on influence trimming show that the key scientific conclusion remains unchanged after removing the most influential subjects.</w:t>
      </w:r>
    </w:p>
    <w:p>
      <w:pPr>
        <w:pStyle w:val="ListBullet"/>
        <w:spacing w:after="120"/>
        <w:ind w:left="288"/>
      </w:pPr>
      <w:r>
        <w:rPr>
          <w:rFonts w:ascii="Times New Roman" w:hAnsi="Times New Roman"/>
          <w:b w:val="0"/>
          <w:i w:val="0"/>
          <w:sz w:val="22"/>
        </w:rPr>
        <w:t>A nonlinear INLAjoint extension suggests that the association between current PANSS severity and dropout may be U-shaped, with elevated dropout risk at both lower and higher PANSS levels.</w:t>
      </w:r>
    </w:p>
    <w:p>
      <w:pPr>
        <w:pStyle w:val="ListBullet"/>
        <w:spacing w:after="120"/>
        <w:ind w:left="288"/>
      </w:pPr>
      <w:r>
        <w:rPr>
          <w:rFonts w:ascii="Times New Roman" w:hAnsi="Times New Roman"/>
          <w:b w:val="0"/>
          <w:i w:val="0"/>
          <w:sz w:val="22"/>
        </w:rPr>
        <w:t>The study demonstrates that ignoring informative dropout can bias inference on symptom trajectories and treatment-related conclusions in longitudinal psychiatric trials.</w:t>
      </w:r>
    </w:p>
    <w:p/>
    <w:p>
      <w:pPr>
        <w:jc w:val="left"/>
      </w:pPr>
      <w:r>
        <w:rPr>
          <w:rFonts w:ascii="Times New Roman" w:hAnsi="Times New Roman"/>
          <w:b w:val="0"/>
          <w:i/>
          <w:sz w:val="20"/>
        </w:rPr>
        <w:t>Prepared for journal submission.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