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09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Table 1. </w:t>
      </w:r>
      <w:r>
        <w:rPr>
          <w:rFonts w:hint="default" w:ascii="Times New Roman" w:hAnsi="Times New Roman" w:cs="Times New Roman"/>
          <w:sz w:val="24"/>
          <w:szCs w:val="24"/>
        </w:rPr>
        <w:t>STROBE checklist (cross-sectional study).</w:t>
      </w:r>
    </w:p>
    <w:tbl>
      <w:tblPr>
        <w:tblStyle w:val="2"/>
        <w:tblW w:w="8641" w:type="dxa"/>
        <w:jc w:val="center"/>
        <w:tblBorders>
          <w:top w:val="none" w:color="BFBFBF" w:sz="4" w:space="0"/>
          <w:left w:val="none" w:color="BFBFBF" w:sz="4" w:space="0"/>
          <w:bottom w:val="none" w:color="BFBFBF" w:sz="4" w:space="0"/>
          <w:right w:val="none" w:color="BFBFBF" w:sz="4" w:space="0"/>
          <w:insideH w:val="none" w:color="BFBFBF" w:sz="4" w:space="0"/>
          <w:insideV w:val="non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080"/>
        <w:gridCol w:w="2971"/>
        <w:gridCol w:w="3216"/>
      </w:tblGrid>
      <w:tr w14:paraId="3B8AAE46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  <w:tl2br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4010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color w:val="00000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/>
                <w:sz w:val="20"/>
                <w:szCs w:val="20"/>
                <w:shd w:val="clear" w:color="auto" w:fill="auto"/>
              </w:rPr>
              <w:t>Section/topic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CAB9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color w:val="00000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/>
                <w:sz w:val="20"/>
                <w:szCs w:val="20"/>
                <w:shd w:val="clear" w:color="auto" w:fill="auto"/>
              </w:rPr>
              <w:t>Item No.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5DCF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color w:val="00000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/>
                <w:sz w:val="20"/>
                <w:szCs w:val="20"/>
                <w:shd w:val="clear" w:color="auto" w:fill="auto"/>
              </w:rPr>
              <w:t>Recommendation</w:t>
            </w:r>
          </w:p>
        </w:tc>
        <w:tc>
          <w:tcPr>
            <w:tcW w:w="321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9B6C3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color w:val="00000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/>
                <w:sz w:val="20"/>
                <w:szCs w:val="20"/>
                <w:shd w:val="clear" w:color="auto" w:fill="auto"/>
              </w:rPr>
              <w:t>Where addressed in the manuscript</w:t>
            </w:r>
          </w:p>
        </w:tc>
      </w:tr>
      <w:tr w14:paraId="37A15F1B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A21D4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Title and abstract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9D44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1a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D7E56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Indicate the study design with a commonly used term in the title or the abstract.</w:t>
            </w:r>
          </w:p>
        </w:tc>
        <w:tc>
          <w:tcPr>
            <w:tcW w:w="32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9051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Title; Abstract (Methods).</w:t>
            </w:r>
          </w:p>
        </w:tc>
      </w:tr>
      <w:tr w14:paraId="30ADCA6A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9725C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Title and abstract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9F506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8A32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Provide in the abstract an informative and balanced summary of what was done and what was found.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4B86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Abstract.</w:t>
            </w:r>
          </w:p>
        </w:tc>
      </w:tr>
      <w:tr w14:paraId="622EA9EC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6CDB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Introduction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513F5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35AD0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Explain the scientific background and rationale for the investigation being reported.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2B02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Background, paragraphs 1-3.</w:t>
            </w:r>
          </w:p>
        </w:tc>
      </w:tr>
      <w:tr w14:paraId="4B2F88DC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B391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Introduction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204C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7F2AF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State specific objectives, including any prespecified hypotheses.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D92C4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Background, final paragraph.</w:t>
            </w:r>
          </w:p>
        </w:tc>
      </w:tr>
      <w:tr w14:paraId="4A319FCD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2E8E1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FB6D0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81AE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Present key elements of study design early in the paper.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3596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2.1, Study design and setting.</w:t>
            </w:r>
          </w:p>
        </w:tc>
      </w:tr>
      <w:tr w14:paraId="59F313BB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1C654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77C93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D1B3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Describe the setting, locations, and relevant dates, including periods of recruitment, exposure, follow-up, and data collection.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55E2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2.1, Study design and setting: Changchun, 45 communities, October 2017 to June 2018.</w:t>
            </w:r>
          </w:p>
        </w:tc>
      </w:tr>
      <w:tr w14:paraId="4EDC6C7B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602C1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E20E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4AA2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Give the eligibility criteria, and the sources and methods of selection of participants.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493F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2.2, Study population.</w:t>
            </w:r>
          </w:p>
        </w:tc>
      </w:tr>
      <w:tr w14:paraId="1F6967CB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A61F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A2902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6B12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Clearly define all outcomes, exposures, predictors, potential confounders, and effect modifiers; give diagnostic criteria if applicable.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D596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2.3, Exposure definitions and analytic approach; Methods 2.4, Outcome measures and covariates.</w:t>
            </w:r>
          </w:p>
        </w:tc>
      </w:tr>
      <w:tr w14:paraId="0D2CADCD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A3D9F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05CC3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BE68B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For each variable of interest, give sources of data and details of methods of assessment; describe comparability of assessment methods if there is more than one group.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EF50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2.5, Measurements and quality control.</w:t>
            </w:r>
          </w:p>
        </w:tc>
      </w:tr>
      <w:tr w14:paraId="34AF86DD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94C8F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1BEC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0A1C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Describe any efforts to address potential sources of bias.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1529A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2.5, Measurements and quality control; Methods 2.6, Missing data and statistical analysis; Discussion 4.5, Strengths and limitations. Osteoporosis endpoints were recalculated directly from site-specific T-scores, descriptive four-group summaries were separated from primary main-effect inference, and complete-case analyses were used as sensitivity analyses.</w:t>
            </w:r>
          </w:p>
        </w:tc>
      </w:tr>
      <w:tr w14:paraId="784E36D1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57F5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68E88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F6D3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Explain how the study size was arrived at.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D90998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2.2, Study population. The sample size was determined by the number of eligible participants in the locked analytic dataset; no separate a priori sample size calculation was performed for this secondary analysis.</w:t>
            </w:r>
          </w:p>
        </w:tc>
      </w:tr>
      <w:tr w14:paraId="71C763FD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EDD66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98539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C33A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Explain how quantitative variables were handled in the analyses; if applicable, describe which groupings were chosen and why.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DF14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2.4, Outcome measures and covariates; Methods 2.6, Missing data and statistical analysis. Continuous outcomes, T-score thresholds, log-transformed bone turnover markers, and covariate categories are specified.</w:t>
            </w:r>
          </w:p>
        </w:tc>
      </w:tr>
      <w:tr w14:paraId="3698AA00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1242C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B50E3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57DA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Describe all statistical methods, including those used to control for confounding.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36498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2.6, Missing data and statistical analysis; Methods 2.7, Statistical software.</w:t>
            </w:r>
          </w:p>
        </w:tc>
      </w:tr>
      <w:tr w14:paraId="6C1E9D9A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ADBB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CBE6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D23C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Describe any methods used to examine subgroups and interactions.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4F0E1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2.3, Exposure definitions and analytic approach; Results 3.2, Descriptive distribution across the four exposure groups. Four mutually exclusive RA/GC groups were used for descriptive summaries only. No formal interaction model was used for primary inference because the GC-exposed strata were very small.</w:t>
            </w:r>
          </w:p>
        </w:tc>
      </w:tr>
      <w:tr w14:paraId="03BFAE4E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CD5E0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941ED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00E33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Explain how missing data were addressed.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53AE0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2.6, Missing data and statistical analysis; Results 3.1, Study population and data quality; Additional file 1, Supplementary Table S1.</w:t>
            </w:r>
          </w:p>
        </w:tc>
      </w:tr>
      <w:tr w14:paraId="1F5F894B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DEC3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43E0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F65C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If applicable, describe analytical methods taking account of sampling strategy.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ED5D4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Not applicable. Community recruitment is described in Methods 2.1; no survey-weighted or design-based estimation was used in the present analysis.</w:t>
            </w:r>
          </w:p>
        </w:tc>
      </w:tr>
      <w:tr w14:paraId="754ADE3F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C6407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79FD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12e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C92E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Describe any sensitivity analyses.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99AB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2.6, Missing data and statistical analysis; Results 3.3, DXA outcomes; Results 3.4, Bone turnover markers and physical performance; Additional file 1, Supplementary Table S4.</w:t>
            </w:r>
          </w:p>
        </w:tc>
      </w:tr>
      <w:tr w14:paraId="31FB170B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31D73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Results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8108D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5A57F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Report numbers of individuals at each stage of study, for example numbers potentially eligible, examined for eligibility, confirmed eligible, included in the study, completing follow-up, and analysed.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E5CA2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2.2, Study population; Results 3.1, Study population and data quality; Table 1. The final analytic sample and the four RA/GC exposure-group counts are reported.</w:t>
            </w:r>
          </w:p>
        </w:tc>
      </w:tr>
      <w:tr w14:paraId="61E93582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72326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Results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1DA6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8969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Give reasons for non-participation at each stage.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5474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2.2, Study population. Eligibility restrictions for the analytic sample are described; detailed reasons for non-participation at each stage were not reported in this secondary cross-sectional analysis..</w:t>
            </w:r>
          </w:p>
        </w:tc>
      </w:tr>
      <w:tr w14:paraId="0EC69F14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9860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Results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7E9E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23E0E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Consider use of a flow diagram.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A02AF8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Not included. No participant flow diagram was included; the final analytic sample and exposure-group counts are reported in Results 3.1 and Table 1.</w:t>
            </w:r>
          </w:p>
        </w:tc>
      </w:tr>
      <w:tr w14:paraId="006FDD3A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66186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Results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39EA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A3D55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Give characteristics of study participants and information on exposures and potential confounders.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485A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Results 3.1, Study population and data quality; Table 1.</w:t>
            </w:r>
          </w:p>
        </w:tc>
      </w:tr>
      <w:tr w14:paraId="6BC6703D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4048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Results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E1839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6DC3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Indicate number of participants with missing data for each variable of interest.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B4CF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2.6, Missing data and statistical analysis; Results 3.1, Study population and data quality; Additional file 1, Supplementary Table S1.</w:t>
            </w:r>
          </w:p>
        </w:tc>
      </w:tr>
      <w:tr w14:paraId="562A0601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EF92B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Results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2DF7A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14433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Report numbers of outcome events or summary measures.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18F5E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Results 3.1-3.4; Table 1; Table 2; Table 3; Figure 1.</w:t>
            </w:r>
          </w:p>
        </w:tc>
      </w:tr>
      <w:tr w14:paraId="7BBCF9BD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3DA0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Results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74E1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38F58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Give unadjusted and, if applicable, confounder-adjusted estimates and their precision; make clear which confounders were adjusted for and why they were included.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D5457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2.6, Missing data and statistical analysis; Results 3.3, DXA outcomes; Results 3.4, Bone turnover markers and physical performance; Table 2; Table 3; Additional file 1, Supplementary Tables S3-S4.</w:t>
            </w:r>
          </w:p>
        </w:tc>
      </w:tr>
      <w:tr w14:paraId="04DA40C3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DD8DA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Results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51AB4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EE4AA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Report category boundaries when continuous variables were categorized.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59486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Methods 2.4, Outcome measures and covariates; Methods 2.5, Measurements and quality control. Lumbar spine and total hip osteoporosis were defined as site-specific T-score &lt;= -2.5; sex/menopausal status categories are specified.</w:t>
            </w:r>
          </w:p>
        </w:tc>
      </w:tr>
      <w:tr w14:paraId="44B5374D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A8A51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Results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E8AD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16c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FE97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If relevant, consider translating estimates of relative risk into absolute risk for a meaningful time period.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D687D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Not applicable. The analysis was cross-sectional and reported prevalence ratios and continuous outcome differences rather than time-based relative risks.</w:t>
            </w:r>
          </w:p>
        </w:tc>
      </w:tr>
      <w:tr w14:paraId="3D1ED613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51C37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Results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F04BA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A737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Report other analyses done, such as subgroup analyses and sensitivity analyses.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B7DF3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Results 3.2, Descriptive distribution across the four exposure groups; Results 3.3, DXA outcomes; Results 3.4, Bone turnover markers and physical performance; Additional file 1, Supplementary Tables S3-S4.</w:t>
            </w:r>
          </w:p>
        </w:tc>
      </w:tr>
      <w:tr w14:paraId="3CAE8886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8D48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82ACC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F7A0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Summarise key results with reference to study objectives.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6E5D58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Discussion 4.1, Principal findings.</w:t>
            </w:r>
          </w:p>
        </w:tc>
      </w:tr>
      <w:tr w14:paraId="4EABB4C6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BBCC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07DC7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60FBA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Discuss limitations of the study, taking into account sources of potential bias or imprecision; discuss both direction and magnitude of any potential bias.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0E4C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Discussion 4.5, Strengths and limitations.</w:t>
            </w:r>
          </w:p>
        </w:tc>
      </w:tr>
      <w:tr w14:paraId="773097A2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2DA7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87B33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604B9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Give a cautious overall interpretation of results considering objectives, limitations, multiplicity of analyses, results from similar studies, and other relevant evidence.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2B67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Discussion 4.1-4.6; Conclusion.</w:t>
            </w:r>
          </w:p>
        </w:tc>
      </w:tr>
      <w:tr w14:paraId="67B29C09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3F35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3BAD28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E90E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Discuss the generalisability, or external validity, of the study results.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1F19D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Discussion 4.5, Strengths and limitations.</w:t>
            </w:r>
          </w:p>
        </w:tc>
      </w:tr>
      <w:tr w14:paraId="6AA05562">
        <w:tblPrEx>
          <w:tblBorders>
            <w:top w:val="none" w:color="BFBFBF" w:sz="4" w:space="0"/>
            <w:left w:val="none" w:color="BFBFBF" w:sz="4" w:space="0"/>
            <w:bottom w:val="none" w:color="BFBFBF" w:sz="4" w:space="0"/>
            <w:right w:val="none" w:color="BFBFBF" w:sz="4" w:space="0"/>
            <w:insideH w:val="none" w:color="BFBFBF" w:sz="4" w:space="0"/>
            <w:insideV w:val="non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A2AE1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Other information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C309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97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EFA59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Give the source of funding and the role of the funders for the present study and, if applicable, for the original study on which the present article is based.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9D71A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color w:val="000000"/>
                <w:sz w:val="20"/>
                <w:szCs w:val="20"/>
              </w:rPr>
              <w:t>Declarations, Funding section. The funding sources and grant numbers are reported.</w:t>
            </w:r>
            <w:bookmarkStart w:id="0" w:name="_GoBack"/>
            <w:bookmarkEnd w:id="0"/>
          </w:p>
        </w:tc>
      </w:tr>
    </w:tbl>
    <w:p w14:paraId="62AD773E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57106"/>
    <w:rsid w:val="10010FA1"/>
    <w:rsid w:val="145261EE"/>
    <w:rsid w:val="4D66253D"/>
    <w:rsid w:val="79D0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1032</Words>
  <Characters>6402</Characters>
  <Lines>0</Lines>
  <Paragraphs>0</Paragraphs>
  <TotalTime>10</TotalTime>
  <ScaleCrop>false</ScaleCrop>
  <LinksUpToDate>false</LinksUpToDate>
  <CharactersWithSpaces>7301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2026-04-28T17:23:00Z</dcterms:created>
  <dc:creator>17703</dc:creator>
  <cp:lastModifiedBy>今天学习了</cp:lastModifiedBy>
  <dcterms:modified xsi:type="dcterms:W3CDTF">2026-05-07T09:33:58Z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eyJoZGlkIjoiYmVlMzFlM2Y5YjYzZDk3MzkxNDQxNGJiYmZiMjk3ZWEiLCJ1c2VySWQiOiIzMTE2NTg0MjIifQ==</vt:lpwstr>
  </property>
  <property fmtid="{D5CDD505-2E9C-101B-9397-08002B2CF9AE}" pid="4" name="ICV">
    <vt:lpwstr>C8896CB1A1A249ECB59E9F803B4958DC_12</vt:lpwstr>
  </property>
</Properties>
</file>