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90B71">
      <w:pPr>
        <w:keepNext w:val="0"/>
        <w:keepLines w:val="0"/>
        <w:pageBreakBefore w:val="0"/>
        <w:widowControl/>
        <w:kinsoku/>
        <w:wordWrap/>
        <w:overflowPunct/>
        <w:topLinePunct w:val="0"/>
        <w:autoSpaceDE/>
        <w:autoSpaceDN/>
        <w:bidi w:val="0"/>
        <w:adjustRightInd/>
        <w:snapToGrid/>
        <w:spacing w:after="0" w:line="480" w:lineRule="auto"/>
        <w:textAlignment w:val="auto"/>
        <w:rPr>
          <w:sz w:val="24"/>
          <w:szCs w:val="24"/>
        </w:rPr>
      </w:pPr>
      <w:r>
        <w:rPr>
          <w:rFonts w:ascii="Times New Roman" w:hAnsi="Times New Roman" w:eastAsia="宋体"/>
          <w:b/>
          <w:i w:val="0"/>
          <w:sz w:val="24"/>
          <w:szCs w:val="24"/>
        </w:rPr>
        <w:t>Table S1. Missingness audit.</w:t>
      </w:r>
    </w:p>
    <w:tbl>
      <w:tblPr>
        <w:tblStyle w:val="3"/>
        <w:tblW w:w="8519"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807"/>
        <w:gridCol w:w="2265"/>
        <w:gridCol w:w="2447"/>
      </w:tblGrid>
      <w:tr w14:paraId="651CD80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0" w:type="auto"/>
            <w:tcBorders>
              <w:top w:val="single" w:color="auto" w:sz="12" w:space="0"/>
              <w:left w:val="nil"/>
              <w:bottom w:val="nil"/>
              <w:right w:val="nil"/>
            </w:tcBorders>
            <w:noWrap w:val="0"/>
            <w:tcMar>
              <w:top w:w="-1" w:type="dxa"/>
              <w:left w:w="-1" w:type="dxa"/>
              <w:bottom w:w="-1" w:type="dxa"/>
              <w:right w:w="-1" w:type="dxa"/>
            </w:tcMar>
            <w:vAlign w:val="center"/>
          </w:tcPr>
          <w:p w14:paraId="74DE526B">
            <w:pPr>
              <w:widowControl w:val="0"/>
              <w:snapToGrid w:val="0"/>
              <w:spacing w:line="240" w:lineRule="auto"/>
              <w:ind w:left="0" w:leftChars="0" w:right="0" w:rightChars="0" w:firstLine="0" w:firstLineChars="0"/>
              <w:jc w:val="center"/>
              <w:rPr>
                <w:rFonts w:ascii="Times New Roman" w:eastAsia="宋体"/>
                <w:b/>
                <w:sz w:val="20"/>
                <w:szCs w:val="20"/>
                <w:vertAlign w:val="baseline"/>
              </w:rPr>
            </w:pPr>
            <w:r>
              <w:rPr>
                <w:rFonts w:ascii="Times New Roman" w:hAnsi="Times New Roman" w:eastAsia="宋体"/>
                <w:b/>
                <w:sz w:val="20"/>
                <w:szCs w:val="20"/>
              </w:rPr>
              <w:t>Variable</w:t>
            </w:r>
          </w:p>
        </w:tc>
        <w:tc>
          <w:tcPr>
            <w:tcW w:w="0" w:type="auto"/>
            <w:tcBorders>
              <w:top w:val="single" w:color="auto" w:sz="12" w:space="0"/>
              <w:left w:val="nil"/>
              <w:bottom w:val="nil"/>
              <w:right w:val="nil"/>
            </w:tcBorders>
            <w:noWrap w:val="0"/>
            <w:tcMar>
              <w:top w:w="-1" w:type="dxa"/>
              <w:left w:w="-1" w:type="dxa"/>
              <w:bottom w:w="-1" w:type="dxa"/>
              <w:right w:w="-1" w:type="dxa"/>
            </w:tcMar>
            <w:vAlign w:val="center"/>
          </w:tcPr>
          <w:p w14:paraId="5D87B66E">
            <w:pPr>
              <w:widowControl w:val="0"/>
              <w:snapToGrid w:val="0"/>
              <w:spacing w:line="240" w:lineRule="auto"/>
              <w:ind w:left="0" w:leftChars="0" w:right="0" w:rightChars="0" w:firstLine="0" w:firstLineChars="0"/>
              <w:jc w:val="center"/>
              <w:rPr>
                <w:rFonts w:ascii="Times New Roman" w:eastAsia="宋体"/>
                <w:b/>
                <w:sz w:val="20"/>
                <w:szCs w:val="20"/>
                <w:vertAlign w:val="baseline"/>
              </w:rPr>
            </w:pPr>
            <w:r>
              <w:rPr>
                <w:rFonts w:ascii="Times New Roman" w:hAnsi="Times New Roman" w:eastAsia="宋体"/>
                <w:b/>
                <w:sz w:val="20"/>
                <w:szCs w:val="20"/>
              </w:rPr>
              <w:t>Missing n</w:t>
            </w:r>
          </w:p>
        </w:tc>
        <w:tc>
          <w:tcPr>
            <w:tcW w:w="2447" w:type="dxa"/>
            <w:tcBorders>
              <w:top w:val="single" w:color="auto" w:sz="12" w:space="0"/>
              <w:left w:val="nil"/>
              <w:bottom w:val="nil"/>
              <w:right w:val="nil"/>
            </w:tcBorders>
            <w:noWrap w:val="0"/>
            <w:tcMar>
              <w:top w:w="-1" w:type="dxa"/>
              <w:left w:w="-1" w:type="dxa"/>
              <w:bottom w:w="-1" w:type="dxa"/>
              <w:right w:w="-1" w:type="dxa"/>
            </w:tcMar>
            <w:vAlign w:val="center"/>
          </w:tcPr>
          <w:p w14:paraId="11927020">
            <w:pPr>
              <w:widowControl w:val="0"/>
              <w:snapToGrid w:val="0"/>
              <w:spacing w:line="240" w:lineRule="auto"/>
              <w:ind w:left="0" w:leftChars="0" w:right="0" w:rightChars="0" w:firstLine="0" w:firstLineChars="0"/>
              <w:jc w:val="center"/>
              <w:rPr>
                <w:rFonts w:ascii="Times New Roman" w:eastAsia="宋体"/>
                <w:b/>
                <w:sz w:val="20"/>
                <w:szCs w:val="20"/>
                <w:vertAlign w:val="baseline"/>
              </w:rPr>
            </w:pPr>
            <w:r>
              <w:rPr>
                <w:rFonts w:ascii="Times New Roman" w:hAnsi="Times New Roman" w:eastAsia="宋体"/>
                <w:b/>
                <w:sz w:val="20"/>
                <w:szCs w:val="20"/>
              </w:rPr>
              <w:t>Missing %</w:t>
            </w:r>
          </w:p>
        </w:tc>
      </w:tr>
      <w:tr w14:paraId="0922B02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single" w:color="auto" w:sz="4" w:space="0"/>
              <w:left w:val="nil"/>
              <w:bottom w:val="nil"/>
              <w:right w:val="nil"/>
            </w:tcBorders>
            <w:noWrap w:val="0"/>
            <w:tcMar>
              <w:top w:w="-1" w:type="dxa"/>
              <w:left w:w="-1" w:type="dxa"/>
              <w:bottom w:w="-1" w:type="dxa"/>
              <w:right w:w="-1" w:type="dxa"/>
            </w:tcMar>
            <w:vAlign w:val="center"/>
          </w:tcPr>
          <w:p w14:paraId="4311C79A">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ra</w:t>
            </w:r>
          </w:p>
        </w:tc>
        <w:tc>
          <w:tcPr>
            <w:tcW w:w="0" w:type="auto"/>
            <w:tcBorders>
              <w:top w:val="single" w:color="auto" w:sz="4" w:space="0"/>
              <w:left w:val="nil"/>
              <w:bottom w:val="nil"/>
              <w:right w:val="nil"/>
            </w:tcBorders>
            <w:noWrap w:val="0"/>
            <w:tcMar>
              <w:top w:w="-1" w:type="dxa"/>
              <w:left w:w="-1" w:type="dxa"/>
              <w:bottom w:w="-1" w:type="dxa"/>
              <w:right w:w="-1" w:type="dxa"/>
            </w:tcMar>
            <w:vAlign w:val="center"/>
          </w:tcPr>
          <w:p w14:paraId="06ECB0D6">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w:t>
            </w:r>
          </w:p>
        </w:tc>
        <w:tc>
          <w:tcPr>
            <w:tcW w:w="2447" w:type="dxa"/>
            <w:tcBorders>
              <w:top w:val="single" w:color="auto" w:sz="4" w:space="0"/>
              <w:left w:val="nil"/>
              <w:bottom w:val="nil"/>
              <w:right w:val="nil"/>
            </w:tcBorders>
            <w:noWrap w:val="0"/>
            <w:tcMar>
              <w:top w:w="-1" w:type="dxa"/>
              <w:left w:w="-1" w:type="dxa"/>
              <w:bottom w:w="-1" w:type="dxa"/>
              <w:right w:w="-1" w:type="dxa"/>
            </w:tcMar>
            <w:vAlign w:val="center"/>
          </w:tcPr>
          <w:p w14:paraId="72729B92">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0.00</w:t>
            </w:r>
          </w:p>
        </w:tc>
      </w:tr>
      <w:tr w14:paraId="2DF99B1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1C51F6D7">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gc</w:t>
            </w:r>
          </w:p>
        </w:tc>
        <w:tc>
          <w:tcPr>
            <w:tcW w:w="0" w:type="auto"/>
            <w:tcBorders>
              <w:top w:val="nil"/>
              <w:left w:val="nil"/>
              <w:bottom w:val="nil"/>
              <w:right w:val="nil"/>
            </w:tcBorders>
            <w:noWrap w:val="0"/>
            <w:tcMar>
              <w:top w:w="-1" w:type="dxa"/>
              <w:left w:w="-1" w:type="dxa"/>
              <w:bottom w:w="-1" w:type="dxa"/>
              <w:right w:w="-1" w:type="dxa"/>
            </w:tcMar>
            <w:vAlign w:val="center"/>
          </w:tcPr>
          <w:p w14:paraId="1994ECAC">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w:t>
            </w:r>
          </w:p>
        </w:tc>
        <w:tc>
          <w:tcPr>
            <w:tcW w:w="2447" w:type="dxa"/>
            <w:tcBorders>
              <w:top w:val="nil"/>
              <w:left w:val="nil"/>
              <w:bottom w:val="nil"/>
              <w:right w:val="nil"/>
            </w:tcBorders>
            <w:noWrap w:val="0"/>
            <w:tcMar>
              <w:top w:w="-1" w:type="dxa"/>
              <w:left w:w="-1" w:type="dxa"/>
              <w:bottom w:w="-1" w:type="dxa"/>
              <w:right w:w="-1" w:type="dxa"/>
            </w:tcMar>
            <w:vAlign w:val="center"/>
          </w:tcPr>
          <w:p w14:paraId="3FD01E55">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0.00</w:t>
            </w:r>
          </w:p>
        </w:tc>
      </w:tr>
      <w:tr w14:paraId="6071DF7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69824F6C">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Age</w:t>
            </w:r>
          </w:p>
        </w:tc>
        <w:tc>
          <w:tcPr>
            <w:tcW w:w="0" w:type="auto"/>
            <w:tcBorders>
              <w:top w:val="nil"/>
              <w:left w:val="nil"/>
              <w:bottom w:val="nil"/>
              <w:right w:val="nil"/>
            </w:tcBorders>
            <w:noWrap w:val="0"/>
            <w:tcMar>
              <w:top w:w="-1" w:type="dxa"/>
              <w:left w:w="-1" w:type="dxa"/>
              <w:bottom w:w="-1" w:type="dxa"/>
              <w:right w:w="-1" w:type="dxa"/>
            </w:tcMar>
            <w:vAlign w:val="center"/>
          </w:tcPr>
          <w:p w14:paraId="45F438DD">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3</w:t>
            </w:r>
          </w:p>
        </w:tc>
        <w:tc>
          <w:tcPr>
            <w:tcW w:w="2447" w:type="dxa"/>
            <w:tcBorders>
              <w:top w:val="nil"/>
              <w:left w:val="nil"/>
              <w:bottom w:val="nil"/>
              <w:right w:val="nil"/>
            </w:tcBorders>
            <w:noWrap w:val="0"/>
            <w:tcMar>
              <w:top w:w="-1" w:type="dxa"/>
              <w:left w:w="-1" w:type="dxa"/>
              <w:bottom w:w="-1" w:type="dxa"/>
              <w:right w:w="-1" w:type="dxa"/>
            </w:tcMar>
            <w:vAlign w:val="center"/>
          </w:tcPr>
          <w:p w14:paraId="792CB467">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0.17</w:t>
            </w:r>
          </w:p>
        </w:tc>
      </w:tr>
      <w:tr w14:paraId="7C26431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15BD6CB3">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BMI</w:t>
            </w:r>
          </w:p>
        </w:tc>
        <w:tc>
          <w:tcPr>
            <w:tcW w:w="0" w:type="auto"/>
            <w:tcBorders>
              <w:top w:val="nil"/>
              <w:left w:val="nil"/>
              <w:bottom w:val="nil"/>
              <w:right w:val="nil"/>
            </w:tcBorders>
            <w:noWrap w:val="0"/>
            <w:tcMar>
              <w:top w:w="-1" w:type="dxa"/>
              <w:left w:w="-1" w:type="dxa"/>
              <w:bottom w:w="-1" w:type="dxa"/>
              <w:right w:w="-1" w:type="dxa"/>
            </w:tcMar>
            <w:vAlign w:val="center"/>
          </w:tcPr>
          <w:p w14:paraId="204999E1">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10</w:t>
            </w:r>
          </w:p>
        </w:tc>
        <w:tc>
          <w:tcPr>
            <w:tcW w:w="2447" w:type="dxa"/>
            <w:tcBorders>
              <w:top w:val="nil"/>
              <w:left w:val="nil"/>
              <w:bottom w:val="nil"/>
              <w:right w:val="nil"/>
            </w:tcBorders>
            <w:noWrap w:val="0"/>
            <w:tcMar>
              <w:top w:w="-1" w:type="dxa"/>
              <w:left w:w="-1" w:type="dxa"/>
              <w:bottom w:w="-1" w:type="dxa"/>
              <w:right w:w="-1" w:type="dxa"/>
            </w:tcMar>
            <w:vAlign w:val="center"/>
          </w:tcPr>
          <w:p w14:paraId="56FB9837">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0.56</w:t>
            </w:r>
          </w:p>
        </w:tc>
      </w:tr>
      <w:tr w14:paraId="50A96A4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06CA8630">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sex_meno_code</w:t>
            </w:r>
          </w:p>
        </w:tc>
        <w:tc>
          <w:tcPr>
            <w:tcW w:w="0" w:type="auto"/>
            <w:tcBorders>
              <w:top w:val="nil"/>
              <w:left w:val="nil"/>
              <w:bottom w:val="nil"/>
              <w:right w:val="nil"/>
            </w:tcBorders>
            <w:noWrap w:val="0"/>
            <w:tcMar>
              <w:top w:w="-1" w:type="dxa"/>
              <w:left w:w="-1" w:type="dxa"/>
              <w:bottom w:w="-1" w:type="dxa"/>
              <w:right w:w="-1" w:type="dxa"/>
            </w:tcMar>
            <w:vAlign w:val="center"/>
          </w:tcPr>
          <w:p w14:paraId="5166CBE7">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11</w:t>
            </w:r>
          </w:p>
        </w:tc>
        <w:tc>
          <w:tcPr>
            <w:tcW w:w="2447" w:type="dxa"/>
            <w:tcBorders>
              <w:top w:val="nil"/>
              <w:left w:val="nil"/>
              <w:bottom w:val="nil"/>
              <w:right w:val="nil"/>
            </w:tcBorders>
            <w:noWrap w:val="0"/>
            <w:tcMar>
              <w:top w:w="-1" w:type="dxa"/>
              <w:left w:w="-1" w:type="dxa"/>
              <w:bottom w:w="-1" w:type="dxa"/>
              <w:right w:w="-1" w:type="dxa"/>
            </w:tcMar>
            <w:vAlign w:val="center"/>
          </w:tcPr>
          <w:p w14:paraId="05497F2F">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0.62</w:t>
            </w:r>
          </w:p>
        </w:tc>
      </w:tr>
      <w:tr w14:paraId="16F2963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40C77B4D">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edu</w:t>
            </w:r>
          </w:p>
        </w:tc>
        <w:tc>
          <w:tcPr>
            <w:tcW w:w="0" w:type="auto"/>
            <w:tcBorders>
              <w:top w:val="nil"/>
              <w:left w:val="nil"/>
              <w:bottom w:val="nil"/>
              <w:right w:val="nil"/>
            </w:tcBorders>
            <w:noWrap w:val="0"/>
            <w:tcMar>
              <w:top w:w="-1" w:type="dxa"/>
              <w:left w:w="-1" w:type="dxa"/>
              <w:bottom w:w="-1" w:type="dxa"/>
              <w:right w:w="-1" w:type="dxa"/>
            </w:tcMar>
            <w:vAlign w:val="center"/>
          </w:tcPr>
          <w:p w14:paraId="0FA80155">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4</w:t>
            </w:r>
          </w:p>
        </w:tc>
        <w:tc>
          <w:tcPr>
            <w:tcW w:w="2447" w:type="dxa"/>
            <w:tcBorders>
              <w:top w:val="nil"/>
              <w:left w:val="nil"/>
              <w:bottom w:val="nil"/>
              <w:right w:val="nil"/>
            </w:tcBorders>
            <w:noWrap w:val="0"/>
            <w:tcMar>
              <w:top w:w="-1" w:type="dxa"/>
              <w:left w:w="-1" w:type="dxa"/>
              <w:bottom w:w="-1" w:type="dxa"/>
              <w:right w:w="-1" w:type="dxa"/>
            </w:tcMar>
            <w:vAlign w:val="center"/>
          </w:tcPr>
          <w:p w14:paraId="66848AAF">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0.22</w:t>
            </w:r>
          </w:p>
        </w:tc>
      </w:tr>
      <w:tr w14:paraId="7E0A81D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240808DB">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smoke_ever</w:t>
            </w:r>
          </w:p>
        </w:tc>
        <w:tc>
          <w:tcPr>
            <w:tcW w:w="0" w:type="auto"/>
            <w:tcBorders>
              <w:top w:val="nil"/>
              <w:left w:val="nil"/>
              <w:bottom w:val="nil"/>
              <w:right w:val="nil"/>
            </w:tcBorders>
            <w:noWrap w:val="0"/>
            <w:tcMar>
              <w:top w:w="-1" w:type="dxa"/>
              <w:left w:w="-1" w:type="dxa"/>
              <w:bottom w:w="-1" w:type="dxa"/>
              <w:right w:w="-1" w:type="dxa"/>
            </w:tcMar>
            <w:vAlign w:val="center"/>
          </w:tcPr>
          <w:p w14:paraId="06A8B209">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w:t>
            </w:r>
          </w:p>
        </w:tc>
        <w:tc>
          <w:tcPr>
            <w:tcW w:w="2447" w:type="dxa"/>
            <w:tcBorders>
              <w:top w:val="nil"/>
              <w:left w:val="nil"/>
              <w:bottom w:val="nil"/>
              <w:right w:val="nil"/>
            </w:tcBorders>
            <w:noWrap w:val="0"/>
            <w:tcMar>
              <w:top w:w="-1" w:type="dxa"/>
              <w:left w:w="-1" w:type="dxa"/>
              <w:bottom w:w="-1" w:type="dxa"/>
              <w:right w:w="-1" w:type="dxa"/>
            </w:tcMar>
            <w:vAlign w:val="center"/>
          </w:tcPr>
          <w:p w14:paraId="63BBE074">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0.00</w:t>
            </w:r>
          </w:p>
        </w:tc>
      </w:tr>
      <w:tr w14:paraId="6C60216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7D7912BE">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alcohol_ever</w:t>
            </w:r>
          </w:p>
        </w:tc>
        <w:tc>
          <w:tcPr>
            <w:tcW w:w="0" w:type="auto"/>
            <w:tcBorders>
              <w:top w:val="nil"/>
              <w:left w:val="nil"/>
              <w:bottom w:val="nil"/>
              <w:right w:val="nil"/>
            </w:tcBorders>
            <w:noWrap w:val="0"/>
            <w:tcMar>
              <w:top w:w="-1" w:type="dxa"/>
              <w:left w:w="-1" w:type="dxa"/>
              <w:bottom w:w="-1" w:type="dxa"/>
              <w:right w:w="-1" w:type="dxa"/>
            </w:tcMar>
            <w:vAlign w:val="center"/>
          </w:tcPr>
          <w:p w14:paraId="2D06901A">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1</w:t>
            </w:r>
          </w:p>
        </w:tc>
        <w:tc>
          <w:tcPr>
            <w:tcW w:w="2447" w:type="dxa"/>
            <w:tcBorders>
              <w:top w:val="nil"/>
              <w:left w:val="nil"/>
              <w:bottom w:val="nil"/>
              <w:right w:val="nil"/>
            </w:tcBorders>
            <w:noWrap w:val="0"/>
            <w:tcMar>
              <w:top w:w="-1" w:type="dxa"/>
              <w:left w:w="-1" w:type="dxa"/>
              <w:bottom w:w="-1" w:type="dxa"/>
              <w:right w:w="-1" w:type="dxa"/>
            </w:tcMar>
            <w:vAlign w:val="center"/>
          </w:tcPr>
          <w:p w14:paraId="63CB65FD">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0.06</w:t>
            </w:r>
          </w:p>
        </w:tc>
      </w:tr>
      <w:tr w14:paraId="0F4BD83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089A5833">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diet</w:t>
            </w:r>
          </w:p>
        </w:tc>
        <w:tc>
          <w:tcPr>
            <w:tcW w:w="0" w:type="auto"/>
            <w:tcBorders>
              <w:top w:val="nil"/>
              <w:left w:val="nil"/>
              <w:bottom w:val="nil"/>
              <w:right w:val="nil"/>
            </w:tcBorders>
            <w:noWrap w:val="0"/>
            <w:tcMar>
              <w:top w:w="-1" w:type="dxa"/>
              <w:left w:w="-1" w:type="dxa"/>
              <w:bottom w:w="-1" w:type="dxa"/>
              <w:right w:w="-1" w:type="dxa"/>
            </w:tcMar>
            <w:vAlign w:val="center"/>
          </w:tcPr>
          <w:p w14:paraId="311783F8">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19</w:t>
            </w:r>
          </w:p>
        </w:tc>
        <w:tc>
          <w:tcPr>
            <w:tcW w:w="2447" w:type="dxa"/>
            <w:tcBorders>
              <w:top w:val="nil"/>
              <w:left w:val="nil"/>
              <w:bottom w:val="nil"/>
              <w:right w:val="nil"/>
            </w:tcBorders>
            <w:noWrap w:val="0"/>
            <w:tcMar>
              <w:top w:w="-1" w:type="dxa"/>
              <w:left w:w="-1" w:type="dxa"/>
              <w:bottom w:w="-1" w:type="dxa"/>
              <w:right w:w="-1" w:type="dxa"/>
            </w:tcMar>
            <w:vAlign w:val="center"/>
          </w:tcPr>
          <w:p w14:paraId="3B852FA1">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1.06</w:t>
            </w:r>
          </w:p>
        </w:tc>
      </w:tr>
      <w:tr w14:paraId="1E45C79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5817547D">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Lumbar_T</w:t>
            </w:r>
          </w:p>
        </w:tc>
        <w:tc>
          <w:tcPr>
            <w:tcW w:w="0" w:type="auto"/>
            <w:tcBorders>
              <w:top w:val="nil"/>
              <w:left w:val="nil"/>
              <w:bottom w:val="nil"/>
              <w:right w:val="nil"/>
            </w:tcBorders>
            <w:noWrap w:val="0"/>
            <w:tcMar>
              <w:top w:w="-1" w:type="dxa"/>
              <w:left w:w="-1" w:type="dxa"/>
              <w:bottom w:w="-1" w:type="dxa"/>
              <w:right w:w="-1" w:type="dxa"/>
            </w:tcMar>
            <w:vAlign w:val="center"/>
          </w:tcPr>
          <w:p w14:paraId="460C5C83">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1</w:t>
            </w:r>
          </w:p>
        </w:tc>
        <w:tc>
          <w:tcPr>
            <w:tcW w:w="2447" w:type="dxa"/>
            <w:tcBorders>
              <w:top w:val="nil"/>
              <w:left w:val="nil"/>
              <w:bottom w:val="nil"/>
              <w:right w:val="nil"/>
            </w:tcBorders>
            <w:noWrap w:val="0"/>
            <w:tcMar>
              <w:top w:w="-1" w:type="dxa"/>
              <w:left w:w="-1" w:type="dxa"/>
              <w:bottom w:w="-1" w:type="dxa"/>
              <w:right w:w="-1" w:type="dxa"/>
            </w:tcMar>
            <w:vAlign w:val="center"/>
          </w:tcPr>
          <w:p w14:paraId="70CA42AB">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0.06</w:t>
            </w:r>
          </w:p>
        </w:tc>
      </w:tr>
      <w:tr w14:paraId="5D38A47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14CBAC4A">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Hip_T</w:t>
            </w:r>
          </w:p>
        </w:tc>
        <w:tc>
          <w:tcPr>
            <w:tcW w:w="0" w:type="auto"/>
            <w:tcBorders>
              <w:top w:val="nil"/>
              <w:left w:val="nil"/>
              <w:bottom w:val="nil"/>
              <w:right w:val="nil"/>
            </w:tcBorders>
            <w:noWrap w:val="0"/>
            <w:tcMar>
              <w:top w:w="-1" w:type="dxa"/>
              <w:left w:w="-1" w:type="dxa"/>
              <w:bottom w:w="-1" w:type="dxa"/>
              <w:right w:w="-1" w:type="dxa"/>
            </w:tcMar>
            <w:vAlign w:val="center"/>
          </w:tcPr>
          <w:p w14:paraId="62F7F60E">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2</w:t>
            </w:r>
          </w:p>
        </w:tc>
        <w:tc>
          <w:tcPr>
            <w:tcW w:w="2447" w:type="dxa"/>
            <w:tcBorders>
              <w:top w:val="nil"/>
              <w:left w:val="nil"/>
              <w:bottom w:val="nil"/>
              <w:right w:val="nil"/>
            </w:tcBorders>
            <w:noWrap w:val="0"/>
            <w:tcMar>
              <w:top w:w="-1" w:type="dxa"/>
              <w:left w:w="-1" w:type="dxa"/>
              <w:bottom w:w="-1" w:type="dxa"/>
              <w:right w:w="-1" w:type="dxa"/>
            </w:tcMar>
            <w:vAlign w:val="center"/>
          </w:tcPr>
          <w:p w14:paraId="74A38937">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0.11</w:t>
            </w:r>
          </w:p>
        </w:tc>
      </w:tr>
      <w:tr w14:paraId="6DF3E09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3CB0BC68">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Lumbar_osteo_calc</w:t>
            </w:r>
          </w:p>
        </w:tc>
        <w:tc>
          <w:tcPr>
            <w:tcW w:w="0" w:type="auto"/>
            <w:tcBorders>
              <w:top w:val="nil"/>
              <w:left w:val="nil"/>
              <w:bottom w:val="nil"/>
              <w:right w:val="nil"/>
            </w:tcBorders>
            <w:noWrap w:val="0"/>
            <w:tcMar>
              <w:top w:w="-1" w:type="dxa"/>
              <w:left w:w="-1" w:type="dxa"/>
              <w:bottom w:w="-1" w:type="dxa"/>
              <w:right w:w="-1" w:type="dxa"/>
            </w:tcMar>
            <w:vAlign w:val="center"/>
          </w:tcPr>
          <w:p w14:paraId="18C7043C">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1</w:t>
            </w:r>
          </w:p>
        </w:tc>
        <w:tc>
          <w:tcPr>
            <w:tcW w:w="2447" w:type="dxa"/>
            <w:tcBorders>
              <w:top w:val="nil"/>
              <w:left w:val="nil"/>
              <w:bottom w:val="nil"/>
              <w:right w:val="nil"/>
            </w:tcBorders>
            <w:noWrap w:val="0"/>
            <w:tcMar>
              <w:top w:w="-1" w:type="dxa"/>
              <w:left w:w="-1" w:type="dxa"/>
              <w:bottom w:w="-1" w:type="dxa"/>
              <w:right w:w="-1" w:type="dxa"/>
            </w:tcMar>
            <w:vAlign w:val="center"/>
          </w:tcPr>
          <w:p w14:paraId="3CDA37F4">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0.06</w:t>
            </w:r>
          </w:p>
        </w:tc>
      </w:tr>
      <w:tr w14:paraId="048144A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6ED4DDC3">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Hip_osteo_calc</w:t>
            </w:r>
          </w:p>
        </w:tc>
        <w:tc>
          <w:tcPr>
            <w:tcW w:w="0" w:type="auto"/>
            <w:tcBorders>
              <w:top w:val="nil"/>
              <w:left w:val="nil"/>
              <w:bottom w:val="nil"/>
              <w:right w:val="nil"/>
            </w:tcBorders>
            <w:noWrap w:val="0"/>
            <w:tcMar>
              <w:top w:w="-1" w:type="dxa"/>
              <w:left w:w="-1" w:type="dxa"/>
              <w:bottom w:w="-1" w:type="dxa"/>
              <w:right w:w="-1" w:type="dxa"/>
            </w:tcMar>
            <w:vAlign w:val="center"/>
          </w:tcPr>
          <w:p w14:paraId="50DF95EE">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2</w:t>
            </w:r>
          </w:p>
        </w:tc>
        <w:tc>
          <w:tcPr>
            <w:tcW w:w="2447" w:type="dxa"/>
            <w:tcBorders>
              <w:top w:val="nil"/>
              <w:left w:val="nil"/>
              <w:bottom w:val="nil"/>
              <w:right w:val="nil"/>
            </w:tcBorders>
            <w:noWrap w:val="0"/>
            <w:tcMar>
              <w:top w:w="-1" w:type="dxa"/>
              <w:left w:w="-1" w:type="dxa"/>
              <w:bottom w:w="-1" w:type="dxa"/>
              <w:right w:w="-1" w:type="dxa"/>
            </w:tcMar>
            <w:vAlign w:val="center"/>
          </w:tcPr>
          <w:p w14:paraId="43F5DFF4">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0.11</w:t>
            </w:r>
          </w:p>
        </w:tc>
      </w:tr>
      <w:tr w14:paraId="503D89C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0A6ADFDA">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PINP</w:t>
            </w:r>
          </w:p>
        </w:tc>
        <w:tc>
          <w:tcPr>
            <w:tcW w:w="0" w:type="auto"/>
            <w:tcBorders>
              <w:top w:val="nil"/>
              <w:left w:val="nil"/>
              <w:bottom w:val="nil"/>
              <w:right w:val="nil"/>
            </w:tcBorders>
            <w:noWrap w:val="0"/>
            <w:tcMar>
              <w:top w:w="-1" w:type="dxa"/>
              <w:left w:w="-1" w:type="dxa"/>
              <w:bottom w:w="-1" w:type="dxa"/>
              <w:right w:w="-1" w:type="dxa"/>
            </w:tcMar>
            <w:vAlign w:val="center"/>
          </w:tcPr>
          <w:p w14:paraId="4E5F3651">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w:t>
            </w:r>
          </w:p>
        </w:tc>
        <w:tc>
          <w:tcPr>
            <w:tcW w:w="2447" w:type="dxa"/>
            <w:tcBorders>
              <w:top w:val="nil"/>
              <w:left w:val="nil"/>
              <w:bottom w:val="nil"/>
              <w:right w:val="nil"/>
            </w:tcBorders>
            <w:noWrap w:val="0"/>
            <w:tcMar>
              <w:top w:w="-1" w:type="dxa"/>
              <w:left w:w="-1" w:type="dxa"/>
              <w:bottom w:w="-1" w:type="dxa"/>
              <w:right w:w="-1" w:type="dxa"/>
            </w:tcMar>
            <w:vAlign w:val="center"/>
          </w:tcPr>
          <w:p w14:paraId="361D03E0">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0.00</w:t>
            </w:r>
          </w:p>
        </w:tc>
      </w:tr>
      <w:tr w14:paraId="2B9EB7B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76902AFC">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OST</w:t>
            </w:r>
          </w:p>
        </w:tc>
        <w:tc>
          <w:tcPr>
            <w:tcW w:w="0" w:type="auto"/>
            <w:tcBorders>
              <w:top w:val="nil"/>
              <w:left w:val="nil"/>
              <w:bottom w:val="nil"/>
              <w:right w:val="nil"/>
            </w:tcBorders>
            <w:noWrap w:val="0"/>
            <w:tcMar>
              <w:top w:w="-1" w:type="dxa"/>
              <w:left w:w="-1" w:type="dxa"/>
              <w:bottom w:w="-1" w:type="dxa"/>
              <w:right w:w="-1" w:type="dxa"/>
            </w:tcMar>
            <w:vAlign w:val="center"/>
          </w:tcPr>
          <w:p w14:paraId="20856F3A">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w:t>
            </w:r>
          </w:p>
        </w:tc>
        <w:tc>
          <w:tcPr>
            <w:tcW w:w="2447" w:type="dxa"/>
            <w:tcBorders>
              <w:top w:val="nil"/>
              <w:left w:val="nil"/>
              <w:bottom w:val="nil"/>
              <w:right w:val="nil"/>
            </w:tcBorders>
            <w:noWrap w:val="0"/>
            <w:tcMar>
              <w:top w:w="-1" w:type="dxa"/>
              <w:left w:w="-1" w:type="dxa"/>
              <w:bottom w:w="-1" w:type="dxa"/>
              <w:right w:w="-1" w:type="dxa"/>
            </w:tcMar>
            <w:vAlign w:val="center"/>
          </w:tcPr>
          <w:p w14:paraId="35831BC2">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0.00</w:t>
            </w:r>
          </w:p>
        </w:tc>
      </w:tr>
      <w:tr w14:paraId="515DD42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77C692DF">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β-CTX</w:t>
            </w:r>
          </w:p>
        </w:tc>
        <w:tc>
          <w:tcPr>
            <w:tcW w:w="0" w:type="auto"/>
            <w:tcBorders>
              <w:top w:val="nil"/>
              <w:left w:val="nil"/>
              <w:bottom w:val="nil"/>
              <w:right w:val="nil"/>
            </w:tcBorders>
            <w:noWrap w:val="0"/>
            <w:tcMar>
              <w:top w:w="-1" w:type="dxa"/>
              <w:left w:w="-1" w:type="dxa"/>
              <w:bottom w:w="-1" w:type="dxa"/>
              <w:right w:w="-1" w:type="dxa"/>
            </w:tcMar>
            <w:vAlign w:val="center"/>
          </w:tcPr>
          <w:p w14:paraId="271BC4C8">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w:t>
            </w:r>
          </w:p>
        </w:tc>
        <w:tc>
          <w:tcPr>
            <w:tcW w:w="2447" w:type="dxa"/>
            <w:tcBorders>
              <w:top w:val="nil"/>
              <w:left w:val="nil"/>
              <w:bottom w:val="nil"/>
              <w:right w:val="nil"/>
            </w:tcBorders>
            <w:noWrap w:val="0"/>
            <w:tcMar>
              <w:top w:w="-1" w:type="dxa"/>
              <w:left w:w="-1" w:type="dxa"/>
              <w:bottom w:w="-1" w:type="dxa"/>
              <w:right w:w="-1" w:type="dxa"/>
            </w:tcMar>
            <w:vAlign w:val="center"/>
          </w:tcPr>
          <w:p w14:paraId="2309D0A7">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0.00</w:t>
            </w:r>
          </w:p>
        </w:tc>
      </w:tr>
      <w:tr w14:paraId="7AE280D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37297D80">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Grip_mean</w:t>
            </w:r>
          </w:p>
        </w:tc>
        <w:tc>
          <w:tcPr>
            <w:tcW w:w="0" w:type="auto"/>
            <w:tcBorders>
              <w:top w:val="nil"/>
              <w:left w:val="nil"/>
              <w:bottom w:val="nil"/>
              <w:right w:val="nil"/>
            </w:tcBorders>
            <w:noWrap w:val="0"/>
            <w:tcMar>
              <w:top w:w="-1" w:type="dxa"/>
              <w:left w:w="-1" w:type="dxa"/>
              <w:bottom w:w="-1" w:type="dxa"/>
              <w:right w:w="-1" w:type="dxa"/>
            </w:tcMar>
            <w:vAlign w:val="center"/>
          </w:tcPr>
          <w:p w14:paraId="52F89B24">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17</w:t>
            </w:r>
          </w:p>
        </w:tc>
        <w:tc>
          <w:tcPr>
            <w:tcW w:w="2447" w:type="dxa"/>
            <w:tcBorders>
              <w:top w:val="nil"/>
              <w:left w:val="nil"/>
              <w:bottom w:val="nil"/>
              <w:right w:val="nil"/>
            </w:tcBorders>
            <w:noWrap w:val="0"/>
            <w:tcMar>
              <w:top w:w="-1" w:type="dxa"/>
              <w:left w:w="-1" w:type="dxa"/>
              <w:bottom w:w="-1" w:type="dxa"/>
              <w:right w:w="-1" w:type="dxa"/>
            </w:tcMar>
            <w:vAlign w:val="center"/>
          </w:tcPr>
          <w:p w14:paraId="024BA154">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0.95</w:t>
            </w:r>
          </w:p>
        </w:tc>
      </w:tr>
      <w:tr w14:paraId="046B433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3807" w:type="dxa"/>
            <w:tcBorders>
              <w:top w:val="nil"/>
              <w:left w:val="nil"/>
              <w:bottom w:val="single" w:color="auto" w:sz="12" w:space="0"/>
              <w:right w:val="nil"/>
            </w:tcBorders>
            <w:noWrap w:val="0"/>
            <w:tcMar>
              <w:top w:w="-1" w:type="dxa"/>
              <w:left w:w="-1" w:type="dxa"/>
              <w:bottom w:w="-1" w:type="dxa"/>
              <w:right w:w="-1" w:type="dxa"/>
            </w:tcMar>
            <w:vAlign w:val="center"/>
          </w:tcPr>
          <w:p w14:paraId="547CE5DC">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sts_time</w:t>
            </w:r>
          </w:p>
        </w:tc>
        <w:tc>
          <w:tcPr>
            <w:tcW w:w="2265" w:type="dxa"/>
            <w:tcBorders>
              <w:top w:val="nil"/>
              <w:left w:val="nil"/>
              <w:bottom w:val="single" w:color="auto" w:sz="12" w:space="0"/>
              <w:right w:val="nil"/>
            </w:tcBorders>
            <w:noWrap w:val="0"/>
            <w:tcMar>
              <w:top w:w="-1" w:type="dxa"/>
              <w:left w:w="-1" w:type="dxa"/>
              <w:bottom w:w="-1" w:type="dxa"/>
              <w:right w:w="-1" w:type="dxa"/>
            </w:tcMar>
            <w:vAlign w:val="center"/>
          </w:tcPr>
          <w:p w14:paraId="2DE2584A">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20</w:t>
            </w:r>
          </w:p>
        </w:tc>
        <w:tc>
          <w:tcPr>
            <w:tcW w:w="2447" w:type="dxa"/>
            <w:tcBorders>
              <w:top w:val="nil"/>
              <w:left w:val="nil"/>
              <w:bottom w:val="single" w:color="auto" w:sz="12" w:space="0"/>
              <w:right w:val="nil"/>
            </w:tcBorders>
            <w:noWrap w:val="0"/>
            <w:tcMar>
              <w:top w:w="-1" w:type="dxa"/>
              <w:left w:w="-1" w:type="dxa"/>
              <w:bottom w:w="-1" w:type="dxa"/>
              <w:right w:w="-1" w:type="dxa"/>
            </w:tcMar>
            <w:vAlign w:val="center"/>
          </w:tcPr>
          <w:p w14:paraId="7052C5BE">
            <w:pPr>
              <w:widowControl w:val="0"/>
              <w:snapToGrid w:val="0"/>
              <w:spacing w:line="240" w:lineRule="auto"/>
              <w:ind w:left="0" w:leftChars="0" w:right="0" w:rightChars="0" w:firstLine="0" w:firstLineChars="0"/>
              <w:jc w:val="center"/>
              <w:rPr>
                <w:rFonts w:ascii="Times New Roman" w:eastAsia="宋体"/>
                <w:sz w:val="20"/>
                <w:szCs w:val="20"/>
                <w:vertAlign w:val="baseline"/>
              </w:rPr>
            </w:pPr>
            <w:r>
              <w:rPr>
                <w:rFonts w:ascii="Times New Roman" w:hAnsi="Times New Roman" w:eastAsia="宋体"/>
                <w:b w:val="0"/>
                <w:sz w:val="20"/>
                <w:szCs w:val="20"/>
              </w:rPr>
              <w:t>1.12</w:t>
            </w:r>
          </w:p>
        </w:tc>
      </w:tr>
    </w:tbl>
    <w:p w14:paraId="13255DAA">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b w:val="0"/>
          <w:i w:val="0"/>
          <w:sz w:val="20"/>
          <w:szCs w:val="20"/>
        </w:rPr>
      </w:pPr>
      <w:r>
        <w:rPr>
          <w:rFonts w:hint="default" w:ascii="Times New Roman" w:hAnsi="Times New Roman" w:eastAsia="宋体" w:cs="Times New Roman"/>
          <w:b/>
          <w:bCs/>
          <w:i w:val="0"/>
          <w:sz w:val="20"/>
          <w:szCs w:val="20"/>
        </w:rPr>
        <w:t>Note</w:t>
      </w:r>
      <w:r>
        <w:rPr>
          <w:rFonts w:hint="eastAsia" w:cs="Times New Roman"/>
          <w:b/>
          <w:bCs/>
          <w:i w:val="0"/>
          <w:sz w:val="20"/>
          <w:szCs w:val="20"/>
          <w:lang w:val="en-US" w:eastAsia="zh-CN"/>
        </w:rPr>
        <w:t>:</w:t>
      </w:r>
      <w:r>
        <w:rPr>
          <w:rFonts w:hint="default" w:ascii="Times New Roman" w:hAnsi="Times New Roman" w:eastAsia="宋体" w:cs="Times New Roman"/>
          <w:b w:val="0"/>
          <w:i w:val="0"/>
          <w:sz w:val="20"/>
          <w:szCs w:val="20"/>
        </w:rPr>
        <w:t xml:space="preserve"> Missingness was assessed in the locked analytic sample before multiple imputation. The denominator for percentages was 1,786 unless otherwise specified by the variable definition.</w:t>
      </w:r>
      <w:r>
        <w:rPr>
          <w:rFonts w:hint="default" w:ascii="Times New Roman" w:hAnsi="Times New Roman" w:eastAsia="宋体" w:cs="Times New Roman"/>
          <w:b w:val="0"/>
          <w:i w:val="0"/>
          <w:sz w:val="20"/>
          <w:szCs w:val="20"/>
        </w:rPr>
        <w:br w:type="textWrapping"/>
      </w:r>
      <w:r>
        <w:rPr>
          <w:rFonts w:hint="default" w:ascii="Times New Roman" w:hAnsi="Times New Roman" w:eastAsia="宋体" w:cs="Times New Roman"/>
          <w:b/>
          <w:bCs/>
          <w:i w:val="0"/>
          <w:sz w:val="20"/>
          <w:szCs w:val="20"/>
        </w:rPr>
        <w:t>Abbreviations:</w:t>
      </w:r>
      <w:r>
        <w:rPr>
          <w:rFonts w:hint="default" w:ascii="Times New Roman" w:hAnsi="Times New Roman" w:eastAsia="宋体" w:cs="Times New Roman"/>
          <w:b w:val="0"/>
          <w:i w:val="0"/>
          <w:sz w:val="20"/>
          <w:szCs w:val="20"/>
        </w:rPr>
        <w:t xml:space="preserve"> BMI, body mass index; GC, glucocorticoid; PINP, procollagen type I N-terminal propeptide; RA, rheumatoid arthritis; β-CTX, β-isomerized C-terminal telopeptide of type I collagen.</w:t>
      </w:r>
    </w:p>
    <w:p w14:paraId="2780ACC2">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b w:val="0"/>
          <w:i w:val="0"/>
          <w:sz w:val="20"/>
          <w:szCs w:val="20"/>
        </w:rPr>
      </w:pPr>
    </w:p>
    <w:p w14:paraId="2EEC4911">
      <w:pPr>
        <w:keepNext w:val="0"/>
        <w:keepLines w:val="0"/>
        <w:pageBreakBefore w:val="0"/>
        <w:widowControl/>
        <w:kinsoku/>
        <w:wordWrap/>
        <w:overflowPunct/>
        <w:topLinePunct w:val="0"/>
        <w:autoSpaceDE/>
        <w:autoSpaceDN/>
        <w:bidi w:val="0"/>
        <w:adjustRightInd/>
        <w:snapToGrid/>
        <w:spacing w:after="0" w:line="480" w:lineRule="auto"/>
        <w:textAlignment w:val="auto"/>
        <w:rPr>
          <w:rFonts w:ascii="Times New Roman" w:hAnsi="Times New Roman" w:eastAsia="宋体"/>
          <w:b/>
          <w:i w:val="0"/>
          <w:sz w:val="24"/>
          <w:szCs w:val="24"/>
        </w:rPr>
      </w:pPr>
      <w:r>
        <w:rPr>
          <w:rFonts w:ascii="Times New Roman" w:hAnsi="Times New Roman" w:eastAsia="宋体"/>
          <w:b/>
          <w:i w:val="0"/>
          <w:sz w:val="24"/>
          <w:szCs w:val="24"/>
        </w:rPr>
        <w:t>Table S2. WHO-field endpoint audit.</w:t>
      </w:r>
    </w:p>
    <w:tbl>
      <w:tblPr>
        <w:tblStyle w:val="3"/>
        <w:tblW w:w="8522"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2143"/>
        <w:gridCol w:w="2000"/>
        <w:gridCol w:w="2234"/>
        <w:gridCol w:w="2145"/>
      </w:tblGrid>
      <w:tr w14:paraId="04034E2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2143" w:type="dxa"/>
            <w:tcBorders>
              <w:top w:val="single" w:color="auto" w:sz="12" w:space="0"/>
              <w:left w:val="nil"/>
              <w:bottom w:val="nil"/>
              <w:right w:val="nil"/>
            </w:tcBorders>
            <w:noWrap w:val="0"/>
            <w:tcMar>
              <w:top w:w="-1" w:type="dxa"/>
              <w:left w:w="-1" w:type="dxa"/>
              <w:bottom w:w="-1" w:type="dxa"/>
              <w:right w:w="-1" w:type="dxa"/>
            </w:tcMar>
            <w:vAlign w:val="center"/>
          </w:tcPr>
          <w:p w14:paraId="42AD864A">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Site</w:t>
            </w:r>
          </w:p>
        </w:tc>
        <w:tc>
          <w:tcPr>
            <w:tcW w:w="2000" w:type="dxa"/>
            <w:tcBorders>
              <w:top w:val="single" w:color="auto" w:sz="12" w:space="0"/>
              <w:left w:val="nil"/>
              <w:bottom w:val="nil"/>
              <w:right w:val="nil"/>
            </w:tcBorders>
            <w:noWrap w:val="0"/>
            <w:tcMar>
              <w:top w:w="-1" w:type="dxa"/>
              <w:left w:w="-1" w:type="dxa"/>
              <w:bottom w:w="-1" w:type="dxa"/>
              <w:right w:w="-1" w:type="dxa"/>
            </w:tcMar>
            <w:vAlign w:val="center"/>
          </w:tcPr>
          <w:p w14:paraId="3920557F">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Mismatch n</w:t>
            </w:r>
          </w:p>
        </w:tc>
        <w:tc>
          <w:tcPr>
            <w:tcW w:w="2234" w:type="dxa"/>
            <w:tcBorders>
              <w:top w:val="single" w:color="auto" w:sz="12" w:space="0"/>
              <w:left w:val="nil"/>
              <w:bottom w:val="nil"/>
              <w:right w:val="nil"/>
            </w:tcBorders>
            <w:noWrap w:val="0"/>
            <w:tcMar>
              <w:top w:w="-1" w:type="dxa"/>
              <w:left w:w="-1" w:type="dxa"/>
              <w:bottom w:w="-1" w:type="dxa"/>
              <w:right w:w="-1" w:type="dxa"/>
            </w:tcMar>
            <w:vAlign w:val="center"/>
          </w:tcPr>
          <w:p w14:paraId="53DA80DE">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Nonmissing n</w:t>
            </w:r>
          </w:p>
        </w:tc>
        <w:tc>
          <w:tcPr>
            <w:tcW w:w="2144" w:type="dxa"/>
            <w:tcBorders>
              <w:top w:val="single" w:color="auto" w:sz="12" w:space="0"/>
              <w:left w:val="nil"/>
              <w:bottom w:val="nil"/>
              <w:right w:val="nil"/>
            </w:tcBorders>
            <w:noWrap w:val="0"/>
            <w:tcMar>
              <w:top w:w="-1" w:type="dxa"/>
              <w:left w:w="-1" w:type="dxa"/>
              <w:bottom w:w="-1" w:type="dxa"/>
              <w:right w:w="-1" w:type="dxa"/>
            </w:tcMar>
            <w:vAlign w:val="center"/>
          </w:tcPr>
          <w:p w14:paraId="09A35733">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Mismatch %</w:t>
            </w:r>
          </w:p>
        </w:tc>
      </w:tr>
      <w:tr w14:paraId="511C888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2143" w:type="dxa"/>
            <w:tcBorders>
              <w:top w:val="single" w:color="auto" w:sz="4" w:space="0"/>
              <w:left w:val="nil"/>
              <w:bottom w:val="nil"/>
              <w:right w:val="nil"/>
            </w:tcBorders>
            <w:noWrap w:val="0"/>
            <w:tcMar>
              <w:top w:w="-1" w:type="dxa"/>
              <w:left w:w="-1" w:type="dxa"/>
              <w:bottom w:w="-1" w:type="dxa"/>
              <w:right w:w="-1" w:type="dxa"/>
            </w:tcMar>
            <w:vAlign w:val="center"/>
          </w:tcPr>
          <w:p w14:paraId="68CA3849">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Lumbar spine</w:t>
            </w:r>
          </w:p>
        </w:tc>
        <w:tc>
          <w:tcPr>
            <w:tcW w:w="2000" w:type="dxa"/>
            <w:tcBorders>
              <w:top w:val="single" w:color="auto" w:sz="4" w:space="0"/>
              <w:left w:val="nil"/>
              <w:bottom w:val="nil"/>
              <w:right w:val="nil"/>
            </w:tcBorders>
            <w:noWrap w:val="0"/>
            <w:tcMar>
              <w:top w:w="-1" w:type="dxa"/>
              <w:left w:w="-1" w:type="dxa"/>
              <w:bottom w:w="-1" w:type="dxa"/>
              <w:right w:w="-1" w:type="dxa"/>
            </w:tcMar>
            <w:vAlign w:val="center"/>
          </w:tcPr>
          <w:p w14:paraId="520718B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12</w:t>
            </w:r>
          </w:p>
        </w:tc>
        <w:tc>
          <w:tcPr>
            <w:tcW w:w="2234" w:type="dxa"/>
            <w:tcBorders>
              <w:top w:val="single" w:color="auto" w:sz="4" w:space="0"/>
              <w:left w:val="nil"/>
              <w:bottom w:val="nil"/>
              <w:right w:val="nil"/>
            </w:tcBorders>
            <w:noWrap w:val="0"/>
            <w:tcMar>
              <w:top w:w="-1" w:type="dxa"/>
              <w:left w:w="-1" w:type="dxa"/>
              <w:bottom w:w="-1" w:type="dxa"/>
              <w:right w:w="-1" w:type="dxa"/>
            </w:tcMar>
            <w:vAlign w:val="center"/>
          </w:tcPr>
          <w:p w14:paraId="0237C085">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1785</w:t>
            </w:r>
          </w:p>
        </w:tc>
        <w:tc>
          <w:tcPr>
            <w:tcW w:w="2144" w:type="dxa"/>
            <w:tcBorders>
              <w:top w:val="single" w:color="auto" w:sz="4" w:space="0"/>
              <w:left w:val="nil"/>
              <w:bottom w:val="nil"/>
              <w:right w:val="nil"/>
            </w:tcBorders>
            <w:noWrap w:val="0"/>
            <w:tcMar>
              <w:top w:w="-1" w:type="dxa"/>
              <w:left w:w="-1" w:type="dxa"/>
              <w:bottom w:w="-1" w:type="dxa"/>
              <w:right w:w="-1" w:type="dxa"/>
            </w:tcMar>
            <w:vAlign w:val="center"/>
          </w:tcPr>
          <w:p w14:paraId="3D35AB5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0.67</w:t>
            </w:r>
          </w:p>
        </w:tc>
      </w:tr>
      <w:tr w14:paraId="30ADDB6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2143" w:type="dxa"/>
            <w:tcBorders>
              <w:top w:val="nil"/>
              <w:left w:val="nil"/>
              <w:bottom w:val="single" w:color="auto" w:sz="12" w:space="0"/>
              <w:right w:val="nil"/>
            </w:tcBorders>
            <w:noWrap w:val="0"/>
            <w:tcMar>
              <w:top w:w="-1" w:type="dxa"/>
              <w:left w:w="-1" w:type="dxa"/>
              <w:bottom w:w="-1" w:type="dxa"/>
              <w:right w:w="-1" w:type="dxa"/>
            </w:tcMar>
            <w:vAlign w:val="center"/>
          </w:tcPr>
          <w:p w14:paraId="45FAB31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Total hip</w:t>
            </w:r>
          </w:p>
        </w:tc>
        <w:tc>
          <w:tcPr>
            <w:tcW w:w="2000" w:type="dxa"/>
            <w:tcBorders>
              <w:top w:val="nil"/>
              <w:left w:val="nil"/>
              <w:bottom w:val="single" w:color="auto" w:sz="12" w:space="0"/>
              <w:right w:val="nil"/>
            </w:tcBorders>
            <w:noWrap w:val="0"/>
            <w:tcMar>
              <w:top w:w="-1" w:type="dxa"/>
              <w:left w:w="-1" w:type="dxa"/>
              <w:bottom w:w="-1" w:type="dxa"/>
              <w:right w:w="-1" w:type="dxa"/>
            </w:tcMar>
            <w:vAlign w:val="center"/>
          </w:tcPr>
          <w:p w14:paraId="765C5C7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540</w:t>
            </w:r>
          </w:p>
        </w:tc>
        <w:tc>
          <w:tcPr>
            <w:tcW w:w="2234" w:type="dxa"/>
            <w:tcBorders>
              <w:top w:val="nil"/>
              <w:left w:val="nil"/>
              <w:bottom w:val="single" w:color="auto" w:sz="12" w:space="0"/>
              <w:right w:val="nil"/>
            </w:tcBorders>
            <w:noWrap w:val="0"/>
            <w:tcMar>
              <w:top w:w="-1" w:type="dxa"/>
              <w:left w:w="-1" w:type="dxa"/>
              <w:bottom w:w="-1" w:type="dxa"/>
              <w:right w:w="-1" w:type="dxa"/>
            </w:tcMar>
            <w:vAlign w:val="center"/>
          </w:tcPr>
          <w:p w14:paraId="2B51D4AE">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1784</w:t>
            </w:r>
          </w:p>
        </w:tc>
        <w:tc>
          <w:tcPr>
            <w:tcW w:w="2144" w:type="dxa"/>
            <w:tcBorders>
              <w:top w:val="nil"/>
              <w:left w:val="nil"/>
              <w:bottom w:val="single" w:color="auto" w:sz="12" w:space="0"/>
              <w:right w:val="nil"/>
            </w:tcBorders>
            <w:noWrap w:val="0"/>
            <w:tcMar>
              <w:top w:w="-1" w:type="dxa"/>
              <w:left w:w="-1" w:type="dxa"/>
              <w:bottom w:w="-1" w:type="dxa"/>
              <w:right w:w="-1" w:type="dxa"/>
            </w:tcMar>
            <w:vAlign w:val="center"/>
          </w:tcPr>
          <w:p w14:paraId="4A4A4646">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30.27</w:t>
            </w:r>
          </w:p>
        </w:tc>
      </w:tr>
    </w:tbl>
    <w:p w14:paraId="6D73150F">
      <w:pPr>
        <w:keepNext w:val="0"/>
        <w:keepLines w:val="0"/>
        <w:pageBreakBefore w:val="0"/>
        <w:widowControl/>
        <w:kinsoku/>
        <w:wordWrap/>
        <w:overflowPunct/>
        <w:topLinePunct w:val="0"/>
        <w:autoSpaceDE/>
        <w:autoSpaceDN/>
        <w:bidi w:val="0"/>
        <w:adjustRightInd/>
        <w:snapToGrid/>
        <w:spacing w:after="0" w:line="480" w:lineRule="auto"/>
        <w:jc w:val="both"/>
        <w:textAlignment w:val="auto"/>
        <w:rPr>
          <w:sz w:val="20"/>
          <w:szCs w:val="20"/>
        </w:rPr>
      </w:pPr>
      <w:r>
        <w:rPr>
          <w:rFonts w:ascii="Times New Roman" w:hAnsi="Times New Roman" w:eastAsia="宋体"/>
          <w:b/>
          <w:bCs/>
          <w:i w:val="0"/>
          <w:sz w:val="20"/>
          <w:szCs w:val="20"/>
        </w:rPr>
        <w:t>Note</w:t>
      </w:r>
      <w:r>
        <w:rPr>
          <w:rFonts w:hint="eastAsia"/>
          <w:b/>
          <w:bCs/>
          <w:i w:val="0"/>
          <w:sz w:val="20"/>
          <w:szCs w:val="20"/>
          <w:lang w:val="en-US" w:eastAsia="zh-CN"/>
        </w:rPr>
        <w:t>:</w:t>
      </w:r>
      <w:r>
        <w:rPr>
          <w:rFonts w:ascii="Times New Roman" w:hAnsi="Times New Roman" w:eastAsia="宋体"/>
          <w:b w:val="0"/>
          <w:i w:val="0"/>
          <w:sz w:val="20"/>
          <w:szCs w:val="20"/>
        </w:rPr>
        <w:t xml:space="preserve"> Device-derived WHO classification fields were retained only for data-quality auditing and were not used as final analytic endpoints. Final lumbar spine and total hip osteoporosis outcomes were recalculated directly from the corresponding site-specific T-scores, using a threshold of T-score ≤ −2.5. Mismatch indicates discordance between the device-derived WHO classification field and the T-score–derived osteoporosis classification among participants with non-missing paired information. The higher mismatch rate for the total hip supported the decision to define all site-specific osteoporosis endpoints directly from T-scores.</w:t>
      </w:r>
      <w:r>
        <w:rPr>
          <w:rFonts w:ascii="Times New Roman" w:hAnsi="Times New Roman" w:eastAsia="宋体"/>
          <w:b w:val="0"/>
          <w:i w:val="0"/>
          <w:sz w:val="20"/>
          <w:szCs w:val="20"/>
        </w:rPr>
        <w:br w:type="textWrapping"/>
      </w:r>
      <w:r>
        <w:rPr>
          <w:rFonts w:ascii="Times New Roman" w:hAnsi="Times New Roman" w:eastAsia="宋体"/>
          <w:b/>
          <w:bCs/>
          <w:i w:val="0"/>
          <w:sz w:val="20"/>
          <w:szCs w:val="20"/>
        </w:rPr>
        <w:t>Abbreviations:</w:t>
      </w:r>
      <w:r>
        <w:rPr>
          <w:rFonts w:ascii="Times New Roman" w:hAnsi="Times New Roman" w:eastAsia="宋体"/>
          <w:b w:val="0"/>
          <w:i w:val="0"/>
          <w:sz w:val="20"/>
          <w:szCs w:val="20"/>
        </w:rPr>
        <w:t xml:space="preserve"> DXA, dual-energy X-ray absorptiometry; WHO, World Health Organization.</w:t>
      </w:r>
    </w:p>
    <w:p w14:paraId="50A4F1DA">
      <w:pPr>
        <w:keepNext w:val="0"/>
        <w:keepLines w:val="0"/>
        <w:pageBreakBefore w:val="0"/>
        <w:widowControl/>
        <w:kinsoku/>
        <w:wordWrap/>
        <w:overflowPunct/>
        <w:topLinePunct w:val="0"/>
        <w:autoSpaceDE/>
        <w:autoSpaceDN/>
        <w:bidi w:val="0"/>
        <w:adjustRightInd/>
        <w:snapToGrid/>
        <w:spacing w:after="0" w:line="480" w:lineRule="auto"/>
        <w:textAlignment w:val="auto"/>
        <w:rPr>
          <w:rFonts w:hint="default" w:ascii="Times New Roman" w:hAnsi="Times New Roman" w:cs="Times New Roman"/>
        </w:rPr>
      </w:pPr>
    </w:p>
    <w:p w14:paraId="3A31CEFC">
      <w:pPr>
        <w:keepNext w:val="0"/>
        <w:keepLines w:val="0"/>
        <w:pageBreakBefore w:val="0"/>
        <w:widowControl/>
        <w:kinsoku/>
        <w:wordWrap/>
        <w:overflowPunct/>
        <w:topLinePunct w:val="0"/>
        <w:autoSpaceDE/>
        <w:autoSpaceDN/>
        <w:bidi w:val="0"/>
        <w:adjustRightInd/>
        <w:snapToGrid/>
        <w:spacing w:after="0" w:line="480" w:lineRule="auto"/>
        <w:textAlignment w:val="auto"/>
        <w:rPr>
          <w:sz w:val="24"/>
          <w:szCs w:val="24"/>
        </w:rPr>
      </w:pPr>
      <w:r>
        <w:rPr>
          <w:rFonts w:ascii="Times New Roman" w:hAnsi="Times New Roman" w:eastAsia="宋体"/>
          <w:b/>
          <w:i w:val="0"/>
          <w:sz w:val="24"/>
          <w:szCs w:val="24"/>
        </w:rPr>
        <w:t>Table S3. Full pooled MI results.</w:t>
      </w:r>
    </w:p>
    <w:tbl>
      <w:tblPr>
        <w:tblStyle w:val="3"/>
        <w:tblW w:w="8683"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238"/>
        <w:gridCol w:w="1573"/>
        <w:gridCol w:w="1718"/>
        <w:gridCol w:w="727"/>
        <w:gridCol w:w="1571"/>
        <w:gridCol w:w="765"/>
        <w:gridCol w:w="616"/>
        <w:gridCol w:w="475"/>
      </w:tblGrid>
      <w:tr w14:paraId="039A456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0" w:type="auto"/>
            <w:tcBorders>
              <w:top w:val="single" w:color="auto" w:sz="12" w:space="0"/>
              <w:left w:val="nil"/>
              <w:bottom w:val="nil"/>
              <w:right w:val="nil"/>
            </w:tcBorders>
            <w:noWrap w:val="0"/>
            <w:tcMar>
              <w:top w:w="-1" w:type="dxa"/>
              <w:left w:w="-1" w:type="dxa"/>
              <w:bottom w:w="-1" w:type="dxa"/>
              <w:right w:w="-1" w:type="dxa"/>
            </w:tcMar>
            <w:vAlign w:val="center"/>
          </w:tcPr>
          <w:p w14:paraId="34EE5914">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Domain</w:t>
            </w:r>
          </w:p>
        </w:tc>
        <w:tc>
          <w:tcPr>
            <w:tcW w:w="1580" w:type="dxa"/>
            <w:tcBorders>
              <w:top w:val="single" w:color="auto" w:sz="12" w:space="0"/>
              <w:left w:val="nil"/>
              <w:bottom w:val="nil"/>
              <w:right w:val="nil"/>
            </w:tcBorders>
            <w:noWrap w:val="0"/>
            <w:tcMar>
              <w:top w:w="-1" w:type="dxa"/>
              <w:left w:w="-1" w:type="dxa"/>
              <w:bottom w:w="-1" w:type="dxa"/>
              <w:right w:w="-1" w:type="dxa"/>
            </w:tcMar>
            <w:vAlign w:val="center"/>
          </w:tcPr>
          <w:p w14:paraId="4052EE8F">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Outcome</w:t>
            </w:r>
          </w:p>
        </w:tc>
        <w:tc>
          <w:tcPr>
            <w:tcW w:w="1727" w:type="dxa"/>
            <w:tcBorders>
              <w:top w:val="single" w:color="auto" w:sz="12" w:space="0"/>
              <w:left w:val="nil"/>
              <w:bottom w:val="nil"/>
              <w:right w:val="nil"/>
            </w:tcBorders>
            <w:noWrap w:val="0"/>
            <w:tcMar>
              <w:top w:w="-1" w:type="dxa"/>
              <w:left w:w="-1" w:type="dxa"/>
              <w:bottom w:w="-1" w:type="dxa"/>
              <w:right w:w="-1" w:type="dxa"/>
            </w:tcMar>
            <w:vAlign w:val="center"/>
          </w:tcPr>
          <w:p w14:paraId="6C49114E">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Exposure</w:t>
            </w:r>
          </w:p>
        </w:tc>
        <w:tc>
          <w:tcPr>
            <w:tcW w:w="693" w:type="dxa"/>
            <w:tcBorders>
              <w:top w:val="single" w:color="auto" w:sz="12" w:space="0"/>
              <w:left w:val="nil"/>
              <w:bottom w:val="nil"/>
              <w:right w:val="nil"/>
            </w:tcBorders>
            <w:noWrap w:val="0"/>
            <w:tcMar>
              <w:top w:w="-1" w:type="dxa"/>
              <w:left w:w="-1" w:type="dxa"/>
              <w:bottom w:w="-1" w:type="dxa"/>
              <w:right w:w="-1" w:type="dxa"/>
            </w:tcMar>
            <w:vAlign w:val="center"/>
          </w:tcPr>
          <w:p w14:paraId="42F96884">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Effect</w:t>
            </w:r>
          </w:p>
        </w:tc>
        <w:tc>
          <w:tcPr>
            <w:tcW w:w="0" w:type="auto"/>
            <w:tcBorders>
              <w:top w:val="single" w:color="auto" w:sz="12" w:space="0"/>
              <w:left w:val="nil"/>
              <w:bottom w:val="nil"/>
              <w:right w:val="nil"/>
            </w:tcBorders>
            <w:noWrap w:val="0"/>
            <w:tcMar>
              <w:top w:w="-1" w:type="dxa"/>
              <w:left w:w="-1" w:type="dxa"/>
              <w:bottom w:w="-1" w:type="dxa"/>
              <w:right w:w="-1" w:type="dxa"/>
            </w:tcMar>
            <w:vAlign w:val="center"/>
          </w:tcPr>
          <w:p w14:paraId="55126A5B">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Estimate (95% CI)</w:t>
            </w:r>
          </w:p>
        </w:tc>
        <w:tc>
          <w:tcPr>
            <w:tcW w:w="767" w:type="dxa"/>
            <w:tcBorders>
              <w:top w:val="single" w:color="auto" w:sz="12" w:space="0"/>
              <w:left w:val="nil"/>
              <w:bottom w:val="nil"/>
              <w:right w:val="nil"/>
            </w:tcBorders>
            <w:noWrap w:val="0"/>
            <w:tcMar>
              <w:top w:w="-1" w:type="dxa"/>
              <w:left w:w="-1" w:type="dxa"/>
              <w:bottom w:w="-1" w:type="dxa"/>
              <w:right w:w="-1" w:type="dxa"/>
            </w:tcMar>
            <w:vAlign w:val="center"/>
          </w:tcPr>
          <w:p w14:paraId="76A7A841">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p value</w:t>
            </w:r>
          </w:p>
        </w:tc>
        <w:tc>
          <w:tcPr>
            <w:tcW w:w="616" w:type="dxa"/>
            <w:tcBorders>
              <w:top w:val="single" w:color="auto" w:sz="12" w:space="0"/>
              <w:left w:val="nil"/>
              <w:bottom w:val="nil"/>
              <w:right w:val="nil"/>
            </w:tcBorders>
            <w:noWrap w:val="0"/>
            <w:tcMar>
              <w:top w:w="-1" w:type="dxa"/>
              <w:left w:w="-1" w:type="dxa"/>
              <w:bottom w:w="-1" w:type="dxa"/>
              <w:right w:w="-1" w:type="dxa"/>
            </w:tcMar>
            <w:vAlign w:val="center"/>
          </w:tcPr>
          <w:p w14:paraId="5BB48FB6">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N</w:t>
            </w:r>
          </w:p>
        </w:tc>
        <w:tc>
          <w:tcPr>
            <w:tcW w:w="476" w:type="dxa"/>
            <w:tcBorders>
              <w:top w:val="single" w:color="auto" w:sz="12" w:space="0"/>
              <w:left w:val="nil"/>
              <w:bottom w:val="nil"/>
              <w:right w:val="nil"/>
            </w:tcBorders>
            <w:noWrap w:val="0"/>
            <w:tcMar>
              <w:top w:w="-1" w:type="dxa"/>
              <w:left w:w="-1" w:type="dxa"/>
              <w:bottom w:w="-1" w:type="dxa"/>
              <w:right w:w="-1" w:type="dxa"/>
            </w:tcMar>
            <w:vAlign w:val="center"/>
          </w:tcPr>
          <w:p w14:paraId="56EB8C0D">
            <w:pPr>
              <w:widowControl w:val="0"/>
              <w:snapToGrid w:val="0"/>
              <w:spacing w:line="240" w:lineRule="auto"/>
              <w:ind w:left="0" w:leftChars="0" w:right="0" w:rightChars="0" w:firstLine="0" w:firstLineChars="0"/>
              <w:jc w:val="center"/>
              <w:rPr>
                <w:rFonts w:hint="default" w:ascii="Times New Roman" w:hAnsi="Times New Roman" w:eastAsia="宋体" w:cs="Times New Roman"/>
                <w:b/>
                <w:sz w:val="20"/>
                <w:szCs w:val="20"/>
                <w:vertAlign w:val="baseline"/>
              </w:rPr>
            </w:pPr>
            <w:r>
              <w:rPr>
                <w:rFonts w:ascii="Times New Roman" w:hAnsi="Times New Roman" w:eastAsia="宋体"/>
                <w:b/>
                <w:sz w:val="20"/>
                <w:szCs w:val="20"/>
              </w:rPr>
              <w:t>M</w:t>
            </w:r>
          </w:p>
        </w:tc>
      </w:tr>
      <w:tr w14:paraId="34203CB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single" w:color="auto" w:sz="4" w:space="0"/>
              <w:left w:val="nil"/>
              <w:bottom w:val="nil"/>
              <w:right w:val="nil"/>
            </w:tcBorders>
            <w:noWrap w:val="0"/>
            <w:tcMar>
              <w:top w:w="-1" w:type="dxa"/>
              <w:left w:w="-1" w:type="dxa"/>
              <w:bottom w:w="-1" w:type="dxa"/>
              <w:right w:w="-1" w:type="dxa"/>
            </w:tcMar>
            <w:vAlign w:val="center"/>
          </w:tcPr>
          <w:p w14:paraId="4A0AB38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DXA binary</w:t>
            </w:r>
          </w:p>
        </w:tc>
        <w:tc>
          <w:tcPr>
            <w:tcW w:w="1580" w:type="dxa"/>
            <w:tcBorders>
              <w:top w:val="single" w:color="auto" w:sz="4" w:space="0"/>
              <w:left w:val="nil"/>
              <w:bottom w:val="nil"/>
              <w:right w:val="nil"/>
            </w:tcBorders>
            <w:noWrap w:val="0"/>
            <w:tcMar>
              <w:top w:w="-1" w:type="dxa"/>
              <w:left w:w="-1" w:type="dxa"/>
              <w:bottom w:w="-1" w:type="dxa"/>
              <w:right w:w="-1" w:type="dxa"/>
            </w:tcMar>
            <w:vAlign w:val="center"/>
          </w:tcPr>
          <w:p w14:paraId="6B181166">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Lumbar spine osteoporosis</w:t>
            </w:r>
          </w:p>
        </w:tc>
        <w:tc>
          <w:tcPr>
            <w:tcW w:w="1727" w:type="dxa"/>
            <w:tcBorders>
              <w:top w:val="single" w:color="auto" w:sz="4" w:space="0"/>
              <w:left w:val="nil"/>
              <w:bottom w:val="nil"/>
              <w:right w:val="nil"/>
            </w:tcBorders>
            <w:noWrap w:val="0"/>
            <w:tcMar>
              <w:top w:w="-1" w:type="dxa"/>
              <w:left w:w="-1" w:type="dxa"/>
              <w:bottom w:w="-1" w:type="dxa"/>
              <w:right w:w="-1" w:type="dxa"/>
            </w:tcMar>
            <w:vAlign w:val="center"/>
          </w:tcPr>
          <w:p w14:paraId="2291C5AC">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Self-reported RA history</w:t>
            </w:r>
          </w:p>
        </w:tc>
        <w:tc>
          <w:tcPr>
            <w:tcW w:w="693" w:type="dxa"/>
            <w:tcBorders>
              <w:top w:val="single" w:color="auto" w:sz="4" w:space="0"/>
              <w:left w:val="nil"/>
              <w:bottom w:val="nil"/>
              <w:right w:val="nil"/>
            </w:tcBorders>
            <w:noWrap w:val="0"/>
            <w:tcMar>
              <w:top w:w="-1" w:type="dxa"/>
              <w:left w:w="-1" w:type="dxa"/>
              <w:bottom w:w="-1" w:type="dxa"/>
              <w:right w:w="-1" w:type="dxa"/>
            </w:tcMar>
            <w:vAlign w:val="center"/>
          </w:tcPr>
          <w:p w14:paraId="37BB510A">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aPR</w:t>
            </w:r>
          </w:p>
        </w:tc>
        <w:tc>
          <w:tcPr>
            <w:tcW w:w="0" w:type="auto"/>
            <w:tcBorders>
              <w:top w:val="single" w:color="auto" w:sz="4" w:space="0"/>
              <w:left w:val="nil"/>
              <w:bottom w:val="nil"/>
              <w:right w:val="nil"/>
            </w:tcBorders>
            <w:noWrap w:val="0"/>
            <w:tcMar>
              <w:top w:w="-1" w:type="dxa"/>
              <w:left w:w="-1" w:type="dxa"/>
              <w:bottom w:w="-1" w:type="dxa"/>
              <w:right w:w="-1" w:type="dxa"/>
            </w:tcMar>
            <w:vAlign w:val="center"/>
          </w:tcPr>
          <w:p w14:paraId="3312809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1.04 (0.82 to 1.32)</w:t>
            </w:r>
          </w:p>
        </w:tc>
        <w:tc>
          <w:tcPr>
            <w:tcW w:w="767" w:type="dxa"/>
            <w:tcBorders>
              <w:top w:val="single" w:color="auto" w:sz="4" w:space="0"/>
              <w:left w:val="nil"/>
              <w:bottom w:val="nil"/>
              <w:right w:val="nil"/>
            </w:tcBorders>
            <w:noWrap w:val="0"/>
            <w:tcMar>
              <w:top w:w="-1" w:type="dxa"/>
              <w:left w:w="-1" w:type="dxa"/>
              <w:bottom w:w="-1" w:type="dxa"/>
              <w:right w:w="-1" w:type="dxa"/>
            </w:tcMar>
            <w:vAlign w:val="center"/>
          </w:tcPr>
          <w:p w14:paraId="0645A0B3">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0.736</w:t>
            </w:r>
          </w:p>
        </w:tc>
        <w:tc>
          <w:tcPr>
            <w:tcW w:w="616" w:type="dxa"/>
            <w:tcBorders>
              <w:top w:val="single" w:color="auto" w:sz="4" w:space="0"/>
              <w:left w:val="nil"/>
              <w:bottom w:val="nil"/>
              <w:right w:val="nil"/>
            </w:tcBorders>
            <w:noWrap w:val="0"/>
            <w:tcMar>
              <w:top w:w="-1" w:type="dxa"/>
              <w:left w:w="-1" w:type="dxa"/>
              <w:bottom w:w="-1" w:type="dxa"/>
              <w:right w:w="-1" w:type="dxa"/>
            </w:tcMar>
            <w:vAlign w:val="center"/>
          </w:tcPr>
          <w:p w14:paraId="1C39BC8D">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single" w:color="auto" w:sz="4" w:space="0"/>
              <w:left w:val="nil"/>
              <w:bottom w:val="nil"/>
              <w:right w:val="nil"/>
            </w:tcBorders>
            <w:noWrap w:val="0"/>
            <w:tcMar>
              <w:top w:w="-1" w:type="dxa"/>
              <w:left w:w="-1" w:type="dxa"/>
              <w:bottom w:w="-1" w:type="dxa"/>
              <w:right w:w="-1" w:type="dxa"/>
            </w:tcMar>
            <w:vAlign w:val="center"/>
          </w:tcPr>
          <w:p w14:paraId="41A43A2F">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72B67DF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70B04A5F">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DXA binary</w:t>
            </w:r>
          </w:p>
        </w:tc>
        <w:tc>
          <w:tcPr>
            <w:tcW w:w="1580" w:type="dxa"/>
            <w:tcBorders>
              <w:top w:val="nil"/>
              <w:left w:val="nil"/>
              <w:bottom w:val="nil"/>
              <w:right w:val="nil"/>
            </w:tcBorders>
            <w:noWrap w:val="0"/>
            <w:tcMar>
              <w:top w:w="-1" w:type="dxa"/>
              <w:left w:w="-1" w:type="dxa"/>
              <w:bottom w:w="-1" w:type="dxa"/>
              <w:right w:w="-1" w:type="dxa"/>
            </w:tcMar>
            <w:vAlign w:val="center"/>
          </w:tcPr>
          <w:p w14:paraId="4979620C">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Lumbar spine osteoporosis</w:t>
            </w:r>
          </w:p>
        </w:tc>
        <w:tc>
          <w:tcPr>
            <w:tcW w:w="1727" w:type="dxa"/>
            <w:tcBorders>
              <w:top w:val="nil"/>
              <w:left w:val="nil"/>
              <w:bottom w:val="nil"/>
              <w:right w:val="nil"/>
            </w:tcBorders>
            <w:noWrap w:val="0"/>
            <w:tcMar>
              <w:top w:w="-1" w:type="dxa"/>
              <w:left w:w="-1" w:type="dxa"/>
              <w:bottom w:w="-1" w:type="dxa"/>
              <w:right w:w="-1" w:type="dxa"/>
            </w:tcMar>
            <w:vAlign w:val="center"/>
          </w:tcPr>
          <w:p w14:paraId="0428971B">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Long-term systemic GC exposure</w:t>
            </w:r>
          </w:p>
        </w:tc>
        <w:tc>
          <w:tcPr>
            <w:tcW w:w="693" w:type="dxa"/>
            <w:tcBorders>
              <w:top w:val="nil"/>
              <w:left w:val="nil"/>
              <w:bottom w:val="nil"/>
              <w:right w:val="nil"/>
            </w:tcBorders>
            <w:noWrap w:val="0"/>
            <w:tcMar>
              <w:top w:w="-1" w:type="dxa"/>
              <w:left w:w="-1" w:type="dxa"/>
              <w:bottom w:w="-1" w:type="dxa"/>
              <w:right w:w="-1" w:type="dxa"/>
            </w:tcMar>
            <w:vAlign w:val="center"/>
          </w:tcPr>
          <w:p w14:paraId="0B5ACF78">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aPR</w:t>
            </w:r>
          </w:p>
        </w:tc>
        <w:tc>
          <w:tcPr>
            <w:tcW w:w="0" w:type="auto"/>
            <w:tcBorders>
              <w:top w:val="nil"/>
              <w:left w:val="nil"/>
              <w:bottom w:val="nil"/>
              <w:right w:val="nil"/>
            </w:tcBorders>
            <w:noWrap w:val="0"/>
            <w:tcMar>
              <w:top w:w="-1" w:type="dxa"/>
              <w:left w:w="-1" w:type="dxa"/>
              <w:bottom w:w="-1" w:type="dxa"/>
              <w:right w:w="-1" w:type="dxa"/>
            </w:tcMar>
            <w:vAlign w:val="center"/>
          </w:tcPr>
          <w:p w14:paraId="7DFBB2CF">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1.23 (0.82 to 1.86)</w:t>
            </w:r>
          </w:p>
        </w:tc>
        <w:tc>
          <w:tcPr>
            <w:tcW w:w="767" w:type="dxa"/>
            <w:tcBorders>
              <w:top w:val="nil"/>
              <w:left w:val="nil"/>
              <w:bottom w:val="nil"/>
              <w:right w:val="nil"/>
            </w:tcBorders>
            <w:noWrap w:val="0"/>
            <w:tcMar>
              <w:top w:w="-1" w:type="dxa"/>
              <w:left w:w="-1" w:type="dxa"/>
              <w:bottom w:w="-1" w:type="dxa"/>
              <w:right w:w="-1" w:type="dxa"/>
            </w:tcMar>
            <w:vAlign w:val="center"/>
          </w:tcPr>
          <w:p w14:paraId="424A82EA">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0.314</w:t>
            </w:r>
          </w:p>
        </w:tc>
        <w:tc>
          <w:tcPr>
            <w:tcW w:w="616" w:type="dxa"/>
            <w:tcBorders>
              <w:top w:val="nil"/>
              <w:left w:val="nil"/>
              <w:bottom w:val="nil"/>
              <w:right w:val="nil"/>
            </w:tcBorders>
            <w:noWrap w:val="0"/>
            <w:tcMar>
              <w:top w:w="-1" w:type="dxa"/>
              <w:left w:w="-1" w:type="dxa"/>
              <w:bottom w:w="-1" w:type="dxa"/>
              <w:right w:w="-1" w:type="dxa"/>
            </w:tcMar>
            <w:vAlign w:val="center"/>
          </w:tcPr>
          <w:p w14:paraId="6FD8BFC1">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7D09FB0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370555B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5826FC8E">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DXA binary</w:t>
            </w:r>
          </w:p>
        </w:tc>
        <w:tc>
          <w:tcPr>
            <w:tcW w:w="1580" w:type="dxa"/>
            <w:tcBorders>
              <w:top w:val="nil"/>
              <w:left w:val="nil"/>
              <w:bottom w:val="nil"/>
              <w:right w:val="nil"/>
            </w:tcBorders>
            <w:noWrap w:val="0"/>
            <w:tcMar>
              <w:top w:w="-1" w:type="dxa"/>
              <w:left w:w="-1" w:type="dxa"/>
              <w:bottom w:w="-1" w:type="dxa"/>
              <w:right w:w="-1" w:type="dxa"/>
            </w:tcMar>
            <w:vAlign w:val="center"/>
          </w:tcPr>
          <w:p w14:paraId="443B116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Total hip osteoporosis</w:t>
            </w:r>
          </w:p>
        </w:tc>
        <w:tc>
          <w:tcPr>
            <w:tcW w:w="1727" w:type="dxa"/>
            <w:tcBorders>
              <w:top w:val="nil"/>
              <w:left w:val="nil"/>
              <w:bottom w:val="nil"/>
              <w:right w:val="nil"/>
            </w:tcBorders>
            <w:noWrap w:val="0"/>
            <w:tcMar>
              <w:top w:w="-1" w:type="dxa"/>
              <w:left w:w="-1" w:type="dxa"/>
              <w:bottom w:w="-1" w:type="dxa"/>
              <w:right w:w="-1" w:type="dxa"/>
            </w:tcMar>
            <w:vAlign w:val="center"/>
          </w:tcPr>
          <w:p w14:paraId="19724EE1">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Self-reported RA history</w:t>
            </w:r>
          </w:p>
        </w:tc>
        <w:tc>
          <w:tcPr>
            <w:tcW w:w="693" w:type="dxa"/>
            <w:tcBorders>
              <w:top w:val="nil"/>
              <w:left w:val="nil"/>
              <w:bottom w:val="nil"/>
              <w:right w:val="nil"/>
            </w:tcBorders>
            <w:noWrap w:val="0"/>
            <w:tcMar>
              <w:top w:w="-1" w:type="dxa"/>
              <w:left w:w="-1" w:type="dxa"/>
              <w:bottom w:w="-1" w:type="dxa"/>
              <w:right w:w="-1" w:type="dxa"/>
            </w:tcMar>
            <w:vAlign w:val="center"/>
          </w:tcPr>
          <w:p w14:paraId="65531C5B">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aPR</w:t>
            </w:r>
          </w:p>
        </w:tc>
        <w:tc>
          <w:tcPr>
            <w:tcW w:w="0" w:type="auto"/>
            <w:tcBorders>
              <w:top w:val="nil"/>
              <w:left w:val="nil"/>
              <w:bottom w:val="nil"/>
              <w:right w:val="nil"/>
            </w:tcBorders>
            <w:noWrap w:val="0"/>
            <w:tcMar>
              <w:top w:w="-1" w:type="dxa"/>
              <w:left w:w="-1" w:type="dxa"/>
              <w:bottom w:w="-1" w:type="dxa"/>
              <w:right w:w="-1" w:type="dxa"/>
            </w:tcMar>
            <w:vAlign w:val="center"/>
          </w:tcPr>
          <w:p w14:paraId="780E3EEF">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0.72 (0.50 to 1.03)</w:t>
            </w:r>
          </w:p>
        </w:tc>
        <w:tc>
          <w:tcPr>
            <w:tcW w:w="767" w:type="dxa"/>
            <w:tcBorders>
              <w:top w:val="nil"/>
              <w:left w:val="nil"/>
              <w:bottom w:val="nil"/>
              <w:right w:val="nil"/>
            </w:tcBorders>
            <w:noWrap w:val="0"/>
            <w:tcMar>
              <w:top w:w="-1" w:type="dxa"/>
              <w:left w:w="-1" w:type="dxa"/>
              <w:bottom w:w="-1" w:type="dxa"/>
              <w:right w:w="-1" w:type="dxa"/>
            </w:tcMar>
            <w:vAlign w:val="center"/>
          </w:tcPr>
          <w:p w14:paraId="66A4DCE6">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0.076</w:t>
            </w:r>
          </w:p>
        </w:tc>
        <w:tc>
          <w:tcPr>
            <w:tcW w:w="616" w:type="dxa"/>
            <w:tcBorders>
              <w:top w:val="nil"/>
              <w:left w:val="nil"/>
              <w:bottom w:val="nil"/>
              <w:right w:val="nil"/>
            </w:tcBorders>
            <w:noWrap w:val="0"/>
            <w:tcMar>
              <w:top w:w="-1" w:type="dxa"/>
              <w:left w:w="-1" w:type="dxa"/>
              <w:bottom w:w="-1" w:type="dxa"/>
              <w:right w:w="-1" w:type="dxa"/>
            </w:tcMar>
            <w:vAlign w:val="center"/>
          </w:tcPr>
          <w:p w14:paraId="409E4997">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2E79351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6120388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226B8286">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DXA binary</w:t>
            </w:r>
          </w:p>
        </w:tc>
        <w:tc>
          <w:tcPr>
            <w:tcW w:w="1580" w:type="dxa"/>
            <w:tcBorders>
              <w:top w:val="nil"/>
              <w:left w:val="nil"/>
              <w:bottom w:val="nil"/>
              <w:right w:val="nil"/>
            </w:tcBorders>
            <w:noWrap w:val="0"/>
            <w:tcMar>
              <w:top w:w="-1" w:type="dxa"/>
              <w:left w:w="-1" w:type="dxa"/>
              <w:bottom w:w="-1" w:type="dxa"/>
              <w:right w:w="-1" w:type="dxa"/>
            </w:tcMar>
            <w:vAlign w:val="center"/>
          </w:tcPr>
          <w:p w14:paraId="7031404C">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Total hip osteoporosis</w:t>
            </w:r>
          </w:p>
        </w:tc>
        <w:tc>
          <w:tcPr>
            <w:tcW w:w="1727" w:type="dxa"/>
            <w:tcBorders>
              <w:top w:val="nil"/>
              <w:left w:val="nil"/>
              <w:bottom w:val="nil"/>
              <w:right w:val="nil"/>
            </w:tcBorders>
            <w:noWrap w:val="0"/>
            <w:tcMar>
              <w:top w:w="-1" w:type="dxa"/>
              <w:left w:w="-1" w:type="dxa"/>
              <w:bottom w:w="-1" w:type="dxa"/>
              <w:right w:w="-1" w:type="dxa"/>
            </w:tcMar>
            <w:vAlign w:val="center"/>
          </w:tcPr>
          <w:p w14:paraId="766D567B">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Long-term systemic GC exposure</w:t>
            </w:r>
          </w:p>
        </w:tc>
        <w:tc>
          <w:tcPr>
            <w:tcW w:w="693" w:type="dxa"/>
            <w:tcBorders>
              <w:top w:val="nil"/>
              <w:left w:val="nil"/>
              <w:bottom w:val="nil"/>
              <w:right w:val="nil"/>
            </w:tcBorders>
            <w:noWrap w:val="0"/>
            <w:tcMar>
              <w:top w:w="-1" w:type="dxa"/>
              <w:left w:w="-1" w:type="dxa"/>
              <w:bottom w:w="-1" w:type="dxa"/>
              <w:right w:w="-1" w:type="dxa"/>
            </w:tcMar>
            <w:vAlign w:val="center"/>
          </w:tcPr>
          <w:p w14:paraId="5A2D7138">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aPR</w:t>
            </w:r>
          </w:p>
        </w:tc>
        <w:tc>
          <w:tcPr>
            <w:tcW w:w="0" w:type="auto"/>
            <w:tcBorders>
              <w:top w:val="nil"/>
              <w:left w:val="nil"/>
              <w:bottom w:val="nil"/>
              <w:right w:val="nil"/>
            </w:tcBorders>
            <w:noWrap w:val="0"/>
            <w:tcMar>
              <w:top w:w="-1" w:type="dxa"/>
              <w:left w:w="-1" w:type="dxa"/>
              <w:bottom w:w="-1" w:type="dxa"/>
              <w:right w:w="-1" w:type="dxa"/>
            </w:tcMar>
            <w:vAlign w:val="center"/>
          </w:tcPr>
          <w:p w14:paraId="6D4AF5DC">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1.10 (0.59 to 2.06)</w:t>
            </w:r>
          </w:p>
        </w:tc>
        <w:tc>
          <w:tcPr>
            <w:tcW w:w="767" w:type="dxa"/>
            <w:tcBorders>
              <w:top w:val="nil"/>
              <w:left w:val="nil"/>
              <w:bottom w:val="nil"/>
              <w:right w:val="nil"/>
            </w:tcBorders>
            <w:noWrap w:val="0"/>
            <w:tcMar>
              <w:top w:w="-1" w:type="dxa"/>
              <w:left w:w="-1" w:type="dxa"/>
              <w:bottom w:w="-1" w:type="dxa"/>
              <w:right w:w="-1" w:type="dxa"/>
            </w:tcMar>
            <w:vAlign w:val="center"/>
          </w:tcPr>
          <w:p w14:paraId="137C039E">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0.764</w:t>
            </w:r>
          </w:p>
        </w:tc>
        <w:tc>
          <w:tcPr>
            <w:tcW w:w="616" w:type="dxa"/>
            <w:tcBorders>
              <w:top w:val="nil"/>
              <w:left w:val="nil"/>
              <w:bottom w:val="nil"/>
              <w:right w:val="nil"/>
            </w:tcBorders>
            <w:noWrap w:val="0"/>
            <w:tcMar>
              <w:top w:w="-1" w:type="dxa"/>
              <w:left w:w="-1" w:type="dxa"/>
              <w:bottom w:w="-1" w:type="dxa"/>
              <w:right w:w="-1" w:type="dxa"/>
            </w:tcMar>
            <w:vAlign w:val="center"/>
          </w:tcPr>
          <w:p w14:paraId="3B52A5E8">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00B060CB">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16F63B9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086D9CC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DXA continuous</w:t>
            </w:r>
          </w:p>
        </w:tc>
        <w:tc>
          <w:tcPr>
            <w:tcW w:w="1580" w:type="dxa"/>
            <w:tcBorders>
              <w:top w:val="nil"/>
              <w:left w:val="nil"/>
              <w:bottom w:val="nil"/>
              <w:right w:val="nil"/>
            </w:tcBorders>
            <w:noWrap w:val="0"/>
            <w:tcMar>
              <w:top w:w="-1" w:type="dxa"/>
              <w:left w:w="-1" w:type="dxa"/>
              <w:bottom w:w="-1" w:type="dxa"/>
              <w:right w:w="-1" w:type="dxa"/>
            </w:tcMar>
            <w:vAlign w:val="center"/>
          </w:tcPr>
          <w:p w14:paraId="1C53F15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Lumbar spine T-score</w:t>
            </w:r>
          </w:p>
        </w:tc>
        <w:tc>
          <w:tcPr>
            <w:tcW w:w="1727" w:type="dxa"/>
            <w:tcBorders>
              <w:top w:val="nil"/>
              <w:left w:val="nil"/>
              <w:bottom w:val="nil"/>
              <w:right w:val="nil"/>
            </w:tcBorders>
            <w:noWrap w:val="0"/>
            <w:tcMar>
              <w:top w:w="-1" w:type="dxa"/>
              <w:left w:w="-1" w:type="dxa"/>
              <w:bottom w:w="-1" w:type="dxa"/>
              <w:right w:w="-1" w:type="dxa"/>
            </w:tcMar>
            <w:vAlign w:val="center"/>
          </w:tcPr>
          <w:p w14:paraId="3B4AB2F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Self-reported RA history</w:t>
            </w:r>
          </w:p>
        </w:tc>
        <w:tc>
          <w:tcPr>
            <w:tcW w:w="693" w:type="dxa"/>
            <w:tcBorders>
              <w:top w:val="nil"/>
              <w:left w:val="nil"/>
              <w:bottom w:val="nil"/>
              <w:right w:val="nil"/>
            </w:tcBorders>
            <w:noWrap w:val="0"/>
            <w:tcMar>
              <w:top w:w="-1" w:type="dxa"/>
              <w:left w:w="-1" w:type="dxa"/>
              <w:bottom w:w="-1" w:type="dxa"/>
              <w:right w:w="-1" w:type="dxa"/>
            </w:tcMar>
            <w:vAlign w:val="center"/>
          </w:tcPr>
          <w:p w14:paraId="50D11355">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β</w:t>
            </w:r>
          </w:p>
        </w:tc>
        <w:tc>
          <w:tcPr>
            <w:tcW w:w="0" w:type="auto"/>
            <w:tcBorders>
              <w:top w:val="nil"/>
              <w:left w:val="nil"/>
              <w:bottom w:val="nil"/>
              <w:right w:val="nil"/>
            </w:tcBorders>
            <w:noWrap w:val="0"/>
            <w:tcMar>
              <w:top w:w="-1" w:type="dxa"/>
              <w:left w:w="-1" w:type="dxa"/>
              <w:bottom w:w="-1" w:type="dxa"/>
              <w:right w:w="-1" w:type="dxa"/>
            </w:tcMar>
            <w:vAlign w:val="center"/>
          </w:tcPr>
          <w:p w14:paraId="6E85DD55">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0.02 (−0.18 to 0.22)</w:t>
            </w:r>
          </w:p>
        </w:tc>
        <w:tc>
          <w:tcPr>
            <w:tcW w:w="767" w:type="dxa"/>
            <w:tcBorders>
              <w:top w:val="nil"/>
              <w:left w:val="nil"/>
              <w:bottom w:val="nil"/>
              <w:right w:val="nil"/>
            </w:tcBorders>
            <w:noWrap w:val="0"/>
            <w:tcMar>
              <w:top w:w="-1" w:type="dxa"/>
              <w:left w:w="-1" w:type="dxa"/>
              <w:bottom w:w="-1" w:type="dxa"/>
              <w:right w:w="-1" w:type="dxa"/>
            </w:tcMar>
            <w:vAlign w:val="center"/>
          </w:tcPr>
          <w:p w14:paraId="253EE441">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0.840</w:t>
            </w:r>
          </w:p>
        </w:tc>
        <w:tc>
          <w:tcPr>
            <w:tcW w:w="616" w:type="dxa"/>
            <w:tcBorders>
              <w:top w:val="nil"/>
              <w:left w:val="nil"/>
              <w:bottom w:val="nil"/>
              <w:right w:val="nil"/>
            </w:tcBorders>
            <w:noWrap w:val="0"/>
            <w:tcMar>
              <w:top w:w="-1" w:type="dxa"/>
              <w:left w:w="-1" w:type="dxa"/>
              <w:bottom w:w="-1" w:type="dxa"/>
              <w:right w:w="-1" w:type="dxa"/>
            </w:tcMar>
            <w:vAlign w:val="center"/>
          </w:tcPr>
          <w:p w14:paraId="37270B46">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1C6ECC6D">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3149212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44531C5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DXA continuous</w:t>
            </w:r>
          </w:p>
        </w:tc>
        <w:tc>
          <w:tcPr>
            <w:tcW w:w="1580" w:type="dxa"/>
            <w:tcBorders>
              <w:top w:val="nil"/>
              <w:left w:val="nil"/>
              <w:bottom w:val="nil"/>
              <w:right w:val="nil"/>
            </w:tcBorders>
            <w:noWrap w:val="0"/>
            <w:tcMar>
              <w:top w:w="-1" w:type="dxa"/>
              <w:left w:w="-1" w:type="dxa"/>
              <w:bottom w:w="-1" w:type="dxa"/>
              <w:right w:w="-1" w:type="dxa"/>
            </w:tcMar>
            <w:vAlign w:val="center"/>
          </w:tcPr>
          <w:p w14:paraId="3686FA0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Lumbar spine T-score</w:t>
            </w:r>
          </w:p>
        </w:tc>
        <w:tc>
          <w:tcPr>
            <w:tcW w:w="1727" w:type="dxa"/>
            <w:tcBorders>
              <w:top w:val="nil"/>
              <w:left w:val="nil"/>
              <w:bottom w:val="nil"/>
              <w:right w:val="nil"/>
            </w:tcBorders>
            <w:noWrap w:val="0"/>
            <w:tcMar>
              <w:top w:w="-1" w:type="dxa"/>
              <w:left w:w="-1" w:type="dxa"/>
              <w:bottom w:w="-1" w:type="dxa"/>
              <w:right w:w="-1" w:type="dxa"/>
            </w:tcMar>
            <w:vAlign w:val="center"/>
          </w:tcPr>
          <w:p w14:paraId="74585D66">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Long-term systemic GC exposure</w:t>
            </w:r>
          </w:p>
        </w:tc>
        <w:tc>
          <w:tcPr>
            <w:tcW w:w="693" w:type="dxa"/>
            <w:tcBorders>
              <w:top w:val="nil"/>
              <w:left w:val="nil"/>
              <w:bottom w:val="nil"/>
              <w:right w:val="nil"/>
            </w:tcBorders>
            <w:noWrap w:val="0"/>
            <w:tcMar>
              <w:top w:w="-1" w:type="dxa"/>
              <w:left w:w="-1" w:type="dxa"/>
              <w:bottom w:w="-1" w:type="dxa"/>
              <w:right w:w="-1" w:type="dxa"/>
            </w:tcMar>
            <w:vAlign w:val="center"/>
          </w:tcPr>
          <w:p w14:paraId="2F6ED351">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β</w:t>
            </w:r>
          </w:p>
        </w:tc>
        <w:tc>
          <w:tcPr>
            <w:tcW w:w="0" w:type="auto"/>
            <w:tcBorders>
              <w:top w:val="nil"/>
              <w:left w:val="nil"/>
              <w:bottom w:val="nil"/>
              <w:right w:val="nil"/>
            </w:tcBorders>
            <w:noWrap w:val="0"/>
            <w:tcMar>
              <w:top w:w="-1" w:type="dxa"/>
              <w:left w:w="-1" w:type="dxa"/>
              <w:bottom w:w="-1" w:type="dxa"/>
              <w:right w:w="-1" w:type="dxa"/>
            </w:tcMar>
            <w:vAlign w:val="center"/>
          </w:tcPr>
          <w:p w14:paraId="14EACB2A">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−0.15 (−0.64 to 0.33)</w:t>
            </w:r>
          </w:p>
        </w:tc>
        <w:tc>
          <w:tcPr>
            <w:tcW w:w="767" w:type="dxa"/>
            <w:tcBorders>
              <w:top w:val="nil"/>
              <w:left w:val="nil"/>
              <w:bottom w:val="nil"/>
              <w:right w:val="nil"/>
            </w:tcBorders>
            <w:noWrap w:val="0"/>
            <w:tcMar>
              <w:top w:w="-1" w:type="dxa"/>
              <w:left w:w="-1" w:type="dxa"/>
              <w:bottom w:w="-1" w:type="dxa"/>
              <w:right w:w="-1" w:type="dxa"/>
            </w:tcMar>
            <w:vAlign w:val="center"/>
          </w:tcPr>
          <w:p w14:paraId="28C52D9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0.539</w:t>
            </w:r>
          </w:p>
        </w:tc>
        <w:tc>
          <w:tcPr>
            <w:tcW w:w="616" w:type="dxa"/>
            <w:tcBorders>
              <w:top w:val="nil"/>
              <w:left w:val="nil"/>
              <w:bottom w:val="nil"/>
              <w:right w:val="nil"/>
            </w:tcBorders>
            <w:noWrap w:val="0"/>
            <w:tcMar>
              <w:top w:w="-1" w:type="dxa"/>
              <w:left w:w="-1" w:type="dxa"/>
              <w:bottom w:w="-1" w:type="dxa"/>
              <w:right w:w="-1" w:type="dxa"/>
            </w:tcMar>
            <w:vAlign w:val="center"/>
          </w:tcPr>
          <w:p w14:paraId="542F666A">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3CBBB95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2C80574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1198C43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DXA continuous</w:t>
            </w:r>
          </w:p>
        </w:tc>
        <w:tc>
          <w:tcPr>
            <w:tcW w:w="1580" w:type="dxa"/>
            <w:tcBorders>
              <w:top w:val="nil"/>
              <w:left w:val="nil"/>
              <w:bottom w:val="nil"/>
              <w:right w:val="nil"/>
            </w:tcBorders>
            <w:noWrap w:val="0"/>
            <w:tcMar>
              <w:top w:w="-1" w:type="dxa"/>
              <w:left w:w="-1" w:type="dxa"/>
              <w:bottom w:w="-1" w:type="dxa"/>
              <w:right w:w="-1" w:type="dxa"/>
            </w:tcMar>
            <w:vAlign w:val="center"/>
          </w:tcPr>
          <w:p w14:paraId="2BDCC187">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Total hip T-score</w:t>
            </w:r>
          </w:p>
        </w:tc>
        <w:tc>
          <w:tcPr>
            <w:tcW w:w="1727" w:type="dxa"/>
            <w:tcBorders>
              <w:top w:val="nil"/>
              <w:left w:val="nil"/>
              <w:bottom w:val="nil"/>
              <w:right w:val="nil"/>
            </w:tcBorders>
            <w:noWrap w:val="0"/>
            <w:tcMar>
              <w:top w:w="-1" w:type="dxa"/>
              <w:left w:w="-1" w:type="dxa"/>
              <w:bottom w:w="-1" w:type="dxa"/>
              <w:right w:w="-1" w:type="dxa"/>
            </w:tcMar>
            <w:vAlign w:val="center"/>
          </w:tcPr>
          <w:p w14:paraId="4871DB69">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Self-reported RA history</w:t>
            </w:r>
          </w:p>
        </w:tc>
        <w:tc>
          <w:tcPr>
            <w:tcW w:w="693" w:type="dxa"/>
            <w:tcBorders>
              <w:top w:val="nil"/>
              <w:left w:val="nil"/>
              <w:bottom w:val="nil"/>
              <w:right w:val="nil"/>
            </w:tcBorders>
            <w:noWrap w:val="0"/>
            <w:tcMar>
              <w:top w:w="-1" w:type="dxa"/>
              <w:left w:w="-1" w:type="dxa"/>
              <w:bottom w:w="-1" w:type="dxa"/>
              <w:right w:w="-1" w:type="dxa"/>
            </w:tcMar>
            <w:vAlign w:val="center"/>
          </w:tcPr>
          <w:p w14:paraId="0140DE21">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β</w:t>
            </w:r>
          </w:p>
        </w:tc>
        <w:tc>
          <w:tcPr>
            <w:tcW w:w="0" w:type="auto"/>
            <w:tcBorders>
              <w:top w:val="nil"/>
              <w:left w:val="nil"/>
              <w:bottom w:val="nil"/>
              <w:right w:val="nil"/>
            </w:tcBorders>
            <w:noWrap w:val="0"/>
            <w:tcMar>
              <w:top w:w="-1" w:type="dxa"/>
              <w:left w:w="-1" w:type="dxa"/>
              <w:bottom w:w="-1" w:type="dxa"/>
              <w:right w:w="-1" w:type="dxa"/>
            </w:tcMar>
            <w:vAlign w:val="center"/>
          </w:tcPr>
          <w:p w14:paraId="30CEC555">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0.15 (−0.01 to 0.31)</w:t>
            </w:r>
          </w:p>
        </w:tc>
        <w:tc>
          <w:tcPr>
            <w:tcW w:w="767" w:type="dxa"/>
            <w:tcBorders>
              <w:top w:val="nil"/>
              <w:left w:val="nil"/>
              <w:bottom w:val="nil"/>
              <w:right w:val="nil"/>
            </w:tcBorders>
            <w:noWrap w:val="0"/>
            <w:tcMar>
              <w:top w:w="-1" w:type="dxa"/>
              <w:left w:w="-1" w:type="dxa"/>
              <w:bottom w:w="-1" w:type="dxa"/>
              <w:right w:w="-1" w:type="dxa"/>
            </w:tcMar>
            <w:vAlign w:val="center"/>
          </w:tcPr>
          <w:p w14:paraId="47484B88">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0.070</w:t>
            </w:r>
          </w:p>
        </w:tc>
        <w:tc>
          <w:tcPr>
            <w:tcW w:w="616" w:type="dxa"/>
            <w:tcBorders>
              <w:top w:val="nil"/>
              <w:left w:val="nil"/>
              <w:bottom w:val="nil"/>
              <w:right w:val="nil"/>
            </w:tcBorders>
            <w:noWrap w:val="0"/>
            <w:tcMar>
              <w:top w:w="-1" w:type="dxa"/>
              <w:left w:w="-1" w:type="dxa"/>
              <w:bottom w:w="-1" w:type="dxa"/>
              <w:right w:w="-1" w:type="dxa"/>
            </w:tcMar>
            <w:vAlign w:val="center"/>
          </w:tcPr>
          <w:p w14:paraId="549EEB1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351CF77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16FC19D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4641136A">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DXA continuous</w:t>
            </w:r>
          </w:p>
        </w:tc>
        <w:tc>
          <w:tcPr>
            <w:tcW w:w="1580" w:type="dxa"/>
            <w:tcBorders>
              <w:top w:val="nil"/>
              <w:left w:val="nil"/>
              <w:bottom w:val="nil"/>
              <w:right w:val="nil"/>
            </w:tcBorders>
            <w:noWrap w:val="0"/>
            <w:tcMar>
              <w:top w:w="-1" w:type="dxa"/>
              <w:left w:w="-1" w:type="dxa"/>
              <w:bottom w:w="-1" w:type="dxa"/>
              <w:right w:w="-1" w:type="dxa"/>
            </w:tcMar>
            <w:vAlign w:val="center"/>
          </w:tcPr>
          <w:p w14:paraId="69C6F11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Total hip T-score</w:t>
            </w:r>
          </w:p>
        </w:tc>
        <w:tc>
          <w:tcPr>
            <w:tcW w:w="1727" w:type="dxa"/>
            <w:tcBorders>
              <w:top w:val="nil"/>
              <w:left w:val="nil"/>
              <w:bottom w:val="nil"/>
              <w:right w:val="nil"/>
            </w:tcBorders>
            <w:noWrap w:val="0"/>
            <w:tcMar>
              <w:top w:w="-1" w:type="dxa"/>
              <w:left w:w="-1" w:type="dxa"/>
              <w:bottom w:w="-1" w:type="dxa"/>
              <w:right w:w="-1" w:type="dxa"/>
            </w:tcMar>
            <w:vAlign w:val="center"/>
          </w:tcPr>
          <w:p w14:paraId="53A98E58">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Long-term systemic GC exposure</w:t>
            </w:r>
          </w:p>
        </w:tc>
        <w:tc>
          <w:tcPr>
            <w:tcW w:w="693" w:type="dxa"/>
            <w:tcBorders>
              <w:top w:val="nil"/>
              <w:left w:val="nil"/>
              <w:bottom w:val="nil"/>
              <w:right w:val="nil"/>
            </w:tcBorders>
            <w:noWrap w:val="0"/>
            <w:tcMar>
              <w:top w:w="-1" w:type="dxa"/>
              <w:left w:w="-1" w:type="dxa"/>
              <w:bottom w:w="-1" w:type="dxa"/>
              <w:right w:w="-1" w:type="dxa"/>
            </w:tcMar>
            <w:vAlign w:val="center"/>
          </w:tcPr>
          <w:p w14:paraId="6A59DD4D">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β</w:t>
            </w:r>
          </w:p>
        </w:tc>
        <w:tc>
          <w:tcPr>
            <w:tcW w:w="0" w:type="auto"/>
            <w:tcBorders>
              <w:top w:val="nil"/>
              <w:left w:val="nil"/>
              <w:bottom w:val="nil"/>
              <w:right w:val="nil"/>
            </w:tcBorders>
            <w:noWrap w:val="0"/>
            <w:tcMar>
              <w:top w:w="-1" w:type="dxa"/>
              <w:left w:w="-1" w:type="dxa"/>
              <w:bottom w:w="-1" w:type="dxa"/>
              <w:right w:w="-1" w:type="dxa"/>
            </w:tcMar>
            <w:vAlign w:val="center"/>
          </w:tcPr>
          <w:p w14:paraId="0ADB5F4A">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0.09 (−0.35 to 0.53)</w:t>
            </w:r>
          </w:p>
        </w:tc>
        <w:tc>
          <w:tcPr>
            <w:tcW w:w="767" w:type="dxa"/>
            <w:tcBorders>
              <w:top w:val="nil"/>
              <w:left w:val="nil"/>
              <w:bottom w:val="nil"/>
              <w:right w:val="nil"/>
            </w:tcBorders>
            <w:noWrap w:val="0"/>
            <w:tcMar>
              <w:top w:w="-1" w:type="dxa"/>
              <w:left w:w="-1" w:type="dxa"/>
              <w:bottom w:w="-1" w:type="dxa"/>
              <w:right w:w="-1" w:type="dxa"/>
            </w:tcMar>
            <w:vAlign w:val="center"/>
          </w:tcPr>
          <w:p w14:paraId="16A2BAE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0.689</w:t>
            </w:r>
          </w:p>
        </w:tc>
        <w:tc>
          <w:tcPr>
            <w:tcW w:w="616" w:type="dxa"/>
            <w:tcBorders>
              <w:top w:val="nil"/>
              <w:left w:val="nil"/>
              <w:bottom w:val="nil"/>
              <w:right w:val="nil"/>
            </w:tcBorders>
            <w:noWrap w:val="0"/>
            <w:tcMar>
              <w:top w:w="-1" w:type="dxa"/>
              <w:left w:w="-1" w:type="dxa"/>
              <w:bottom w:w="-1" w:type="dxa"/>
              <w:right w:w="-1" w:type="dxa"/>
            </w:tcMar>
            <w:vAlign w:val="center"/>
          </w:tcPr>
          <w:p w14:paraId="72211A9E">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4AEC1098">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2D03204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1BCC5427">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Biomarker</w:t>
            </w:r>
          </w:p>
        </w:tc>
        <w:tc>
          <w:tcPr>
            <w:tcW w:w="1580" w:type="dxa"/>
            <w:tcBorders>
              <w:top w:val="nil"/>
              <w:left w:val="nil"/>
              <w:bottom w:val="nil"/>
              <w:right w:val="nil"/>
            </w:tcBorders>
            <w:noWrap w:val="0"/>
            <w:tcMar>
              <w:top w:w="-1" w:type="dxa"/>
              <w:left w:w="-1" w:type="dxa"/>
              <w:bottom w:w="-1" w:type="dxa"/>
              <w:right w:w="-1" w:type="dxa"/>
            </w:tcMar>
            <w:vAlign w:val="center"/>
          </w:tcPr>
          <w:p w14:paraId="21C1B31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PINP</w:t>
            </w:r>
          </w:p>
        </w:tc>
        <w:tc>
          <w:tcPr>
            <w:tcW w:w="1727" w:type="dxa"/>
            <w:tcBorders>
              <w:top w:val="nil"/>
              <w:left w:val="nil"/>
              <w:bottom w:val="nil"/>
              <w:right w:val="nil"/>
            </w:tcBorders>
            <w:noWrap w:val="0"/>
            <w:tcMar>
              <w:top w:w="-1" w:type="dxa"/>
              <w:left w:w="-1" w:type="dxa"/>
              <w:bottom w:w="-1" w:type="dxa"/>
              <w:right w:w="-1" w:type="dxa"/>
            </w:tcMar>
            <w:vAlign w:val="center"/>
          </w:tcPr>
          <w:p w14:paraId="5E290C8D">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Self-reported RA history</w:t>
            </w:r>
          </w:p>
        </w:tc>
        <w:tc>
          <w:tcPr>
            <w:tcW w:w="693" w:type="dxa"/>
            <w:tcBorders>
              <w:top w:val="nil"/>
              <w:left w:val="nil"/>
              <w:bottom w:val="nil"/>
              <w:right w:val="nil"/>
            </w:tcBorders>
            <w:noWrap w:val="0"/>
            <w:tcMar>
              <w:top w:w="-1" w:type="dxa"/>
              <w:left w:w="-1" w:type="dxa"/>
              <w:bottom w:w="-1" w:type="dxa"/>
              <w:right w:w="-1" w:type="dxa"/>
            </w:tcMar>
            <w:vAlign w:val="center"/>
          </w:tcPr>
          <w:p w14:paraId="338591EE">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GMR</w:t>
            </w:r>
          </w:p>
        </w:tc>
        <w:tc>
          <w:tcPr>
            <w:tcW w:w="0" w:type="auto"/>
            <w:tcBorders>
              <w:top w:val="nil"/>
              <w:left w:val="nil"/>
              <w:bottom w:val="nil"/>
              <w:right w:val="nil"/>
            </w:tcBorders>
            <w:noWrap w:val="0"/>
            <w:tcMar>
              <w:top w:w="-1" w:type="dxa"/>
              <w:left w:w="-1" w:type="dxa"/>
              <w:bottom w:w="-1" w:type="dxa"/>
              <w:right w:w="-1" w:type="dxa"/>
            </w:tcMar>
            <w:vAlign w:val="center"/>
          </w:tcPr>
          <w:p w14:paraId="66DD76D3">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0.98 (0.93 to 1.03)</w:t>
            </w:r>
          </w:p>
        </w:tc>
        <w:tc>
          <w:tcPr>
            <w:tcW w:w="767" w:type="dxa"/>
            <w:tcBorders>
              <w:top w:val="nil"/>
              <w:left w:val="nil"/>
              <w:bottom w:val="nil"/>
              <w:right w:val="nil"/>
            </w:tcBorders>
            <w:noWrap w:val="0"/>
            <w:tcMar>
              <w:top w:w="-1" w:type="dxa"/>
              <w:left w:w="-1" w:type="dxa"/>
              <w:bottom w:w="-1" w:type="dxa"/>
              <w:right w:w="-1" w:type="dxa"/>
            </w:tcMar>
            <w:vAlign w:val="center"/>
          </w:tcPr>
          <w:p w14:paraId="7EC29AD7">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0.391</w:t>
            </w:r>
          </w:p>
        </w:tc>
        <w:tc>
          <w:tcPr>
            <w:tcW w:w="616" w:type="dxa"/>
            <w:tcBorders>
              <w:top w:val="nil"/>
              <w:left w:val="nil"/>
              <w:bottom w:val="nil"/>
              <w:right w:val="nil"/>
            </w:tcBorders>
            <w:noWrap w:val="0"/>
            <w:tcMar>
              <w:top w:w="-1" w:type="dxa"/>
              <w:left w:w="-1" w:type="dxa"/>
              <w:bottom w:w="-1" w:type="dxa"/>
              <w:right w:w="-1" w:type="dxa"/>
            </w:tcMar>
            <w:vAlign w:val="center"/>
          </w:tcPr>
          <w:p w14:paraId="5E33097B">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5804A9FE">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7504906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173EE27F">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Biomarker</w:t>
            </w:r>
          </w:p>
        </w:tc>
        <w:tc>
          <w:tcPr>
            <w:tcW w:w="1580" w:type="dxa"/>
            <w:tcBorders>
              <w:top w:val="nil"/>
              <w:left w:val="nil"/>
              <w:bottom w:val="nil"/>
              <w:right w:val="nil"/>
            </w:tcBorders>
            <w:noWrap w:val="0"/>
            <w:tcMar>
              <w:top w:w="-1" w:type="dxa"/>
              <w:left w:w="-1" w:type="dxa"/>
              <w:bottom w:w="-1" w:type="dxa"/>
              <w:right w:w="-1" w:type="dxa"/>
            </w:tcMar>
            <w:vAlign w:val="center"/>
          </w:tcPr>
          <w:p w14:paraId="04B972EC">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PINP</w:t>
            </w:r>
          </w:p>
        </w:tc>
        <w:tc>
          <w:tcPr>
            <w:tcW w:w="1727" w:type="dxa"/>
            <w:tcBorders>
              <w:top w:val="nil"/>
              <w:left w:val="nil"/>
              <w:bottom w:val="nil"/>
              <w:right w:val="nil"/>
            </w:tcBorders>
            <w:noWrap w:val="0"/>
            <w:tcMar>
              <w:top w:w="-1" w:type="dxa"/>
              <w:left w:w="-1" w:type="dxa"/>
              <w:bottom w:w="-1" w:type="dxa"/>
              <w:right w:w="-1" w:type="dxa"/>
            </w:tcMar>
            <w:vAlign w:val="center"/>
          </w:tcPr>
          <w:p w14:paraId="06BCF89A">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Long-term systemic GC exposure</w:t>
            </w:r>
          </w:p>
        </w:tc>
        <w:tc>
          <w:tcPr>
            <w:tcW w:w="693" w:type="dxa"/>
            <w:tcBorders>
              <w:top w:val="nil"/>
              <w:left w:val="nil"/>
              <w:bottom w:val="nil"/>
              <w:right w:val="nil"/>
            </w:tcBorders>
            <w:noWrap w:val="0"/>
            <w:tcMar>
              <w:top w:w="-1" w:type="dxa"/>
              <w:left w:w="-1" w:type="dxa"/>
              <w:bottom w:w="-1" w:type="dxa"/>
              <w:right w:w="-1" w:type="dxa"/>
            </w:tcMar>
            <w:vAlign w:val="center"/>
          </w:tcPr>
          <w:p w14:paraId="038FA1FF">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GMR</w:t>
            </w:r>
          </w:p>
        </w:tc>
        <w:tc>
          <w:tcPr>
            <w:tcW w:w="0" w:type="auto"/>
            <w:tcBorders>
              <w:top w:val="nil"/>
              <w:left w:val="nil"/>
              <w:bottom w:val="nil"/>
              <w:right w:val="nil"/>
            </w:tcBorders>
            <w:noWrap w:val="0"/>
            <w:tcMar>
              <w:top w:w="-1" w:type="dxa"/>
              <w:left w:w="-1" w:type="dxa"/>
              <w:bottom w:w="-1" w:type="dxa"/>
              <w:right w:w="-1" w:type="dxa"/>
            </w:tcMar>
            <w:vAlign w:val="center"/>
          </w:tcPr>
          <w:p w14:paraId="7548380E">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0.87 (0.73 to 1.03)</w:t>
            </w:r>
          </w:p>
        </w:tc>
        <w:tc>
          <w:tcPr>
            <w:tcW w:w="767" w:type="dxa"/>
            <w:tcBorders>
              <w:top w:val="nil"/>
              <w:left w:val="nil"/>
              <w:bottom w:val="nil"/>
              <w:right w:val="nil"/>
            </w:tcBorders>
            <w:noWrap w:val="0"/>
            <w:tcMar>
              <w:top w:w="-1" w:type="dxa"/>
              <w:left w:w="-1" w:type="dxa"/>
              <w:bottom w:w="-1" w:type="dxa"/>
              <w:right w:w="-1" w:type="dxa"/>
            </w:tcMar>
            <w:vAlign w:val="center"/>
          </w:tcPr>
          <w:p w14:paraId="5E19987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0.111</w:t>
            </w:r>
          </w:p>
        </w:tc>
        <w:tc>
          <w:tcPr>
            <w:tcW w:w="616" w:type="dxa"/>
            <w:tcBorders>
              <w:top w:val="nil"/>
              <w:left w:val="nil"/>
              <w:bottom w:val="nil"/>
              <w:right w:val="nil"/>
            </w:tcBorders>
            <w:noWrap w:val="0"/>
            <w:tcMar>
              <w:top w:w="-1" w:type="dxa"/>
              <w:left w:w="-1" w:type="dxa"/>
              <w:bottom w:w="-1" w:type="dxa"/>
              <w:right w:w="-1" w:type="dxa"/>
            </w:tcMar>
            <w:vAlign w:val="center"/>
          </w:tcPr>
          <w:p w14:paraId="63773FFE">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4794BF7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05F93796">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25CF83C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Biomarker</w:t>
            </w:r>
          </w:p>
        </w:tc>
        <w:tc>
          <w:tcPr>
            <w:tcW w:w="1580" w:type="dxa"/>
            <w:tcBorders>
              <w:top w:val="nil"/>
              <w:left w:val="nil"/>
              <w:bottom w:val="nil"/>
              <w:right w:val="nil"/>
            </w:tcBorders>
            <w:noWrap w:val="0"/>
            <w:tcMar>
              <w:top w:w="-1" w:type="dxa"/>
              <w:left w:w="-1" w:type="dxa"/>
              <w:bottom w:w="-1" w:type="dxa"/>
              <w:right w:w="-1" w:type="dxa"/>
            </w:tcMar>
            <w:vAlign w:val="center"/>
          </w:tcPr>
          <w:p w14:paraId="2D59359F">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Osteocalcin</w:t>
            </w:r>
          </w:p>
        </w:tc>
        <w:tc>
          <w:tcPr>
            <w:tcW w:w="1727" w:type="dxa"/>
            <w:tcBorders>
              <w:top w:val="nil"/>
              <w:left w:val="nil"/>
              <w:bottom w:val="nil"/>
              <w:right w:val="nil"/>
            </w:tcBorders>
            <w:noWrap w:val="0"/>
            <w:tcMar>
              <w:top w:w="-1" w:type="dxa"/>
              <w:left w:w="-1" w:type="dxa"/>
              <w:bottom w:w="-1" w:type="dxa"/>
              <w:right w:w="-1" w:type="dxa"/>
            </w:tcMar>
            <w:vAlign w:val="center"/>
          </w:tcPr>
          <w:p w14:paraId="63DFF3A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Self-reported RA history</w:t>
            </w:r>
          </w:p>
        </w:tc>
        <w:tc>
          <w:tcPr>
            <w:tcW w:w="693" w:type="dxa"/>
            <w:tcBorders>
              <w:top w:val="nil"/>
              <w:left w:val="nil"/>
              <w:bottom w:val="nil"/>
              <w:right w:val="nil"/>
            </w:tcBorders>
            <w:noWrap w:val="0"/>
            <w:tcMar>
              <w:top w:w="-1" w:type="dxa"/>
              <w:left w:w="-1" w:type="dxa"/>
              <w:bottom w:w="-1" w:type="dxa"/>
              <w:right w:w="-1" w:type="dxa"/>
            </w:tcMar>
            <w:vAlign w:val="center"/>
          </w:tcPr>
          <w:p w14:paraId="58ACBBEB">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GMR</w:t>
            </w:r>
          </w:p>
        </w:tc>
        <w:tc>
          <w:tcPr>
            <w:tcW w:w="0" w:type="auto"/>
            <w:tcBorders>
              <w:top w:val="nil"/>
              <w:left w:val="nil"/>
              <w:bottom w:val="nil"/>
              <w:right w:val="nil"/>
            </w:tcBorders>
            <w:noWrap w:val="0"/>
            <w:tcMar>
              <w:top w:w="-1" w:type="dxa"/>
              <w:left w:w="-1" w:type="dxa"/>
              <w:bottom w:w="-1" w:type="dxa"/>
              <w:right w:w="-1" w:type="dxa"/>
            </w:tcMar>
            <w:vAlign w:val="center"/>
          </w:tcPr>
          <w:p w14:paraId="6BDD5345">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1.04 (0.99 to 1.09)</w:t>
            </w:r>
          </w:p>
        </w:tc>
        <w:tc>
          <w:tcPr>
            <w:tcW w:w="767" w:type="dxa"/>
            <w:tcBorders>
              <w:top w:val="nil"/>
              <w:left w:val="nil"/>
              <w:bottom w:val="nil"/>
              <w:right w:val="nil"/>
            </w:tcBorders>
            <w:noWrap w:val="0"/>
            <w:tcMar>
              <w:top w:w="-1" w:type="dxa"/>
              <w:left w:w="-1" w:type="dxa"/>
              <w:bottom w:w="-1" w:type="dxa"/>
              <w:right w:w="-1" w:type="dxa"/>
            </w:tcMar>
            <w:vAlign w:val="center"/>
          </w:tcPr>
          <w:p w14:paraId="4234B941">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0.155</w:t>
            </w:r>
          </w:p>
        </w:tc>
        <w:tc>
          <w:tcPr>
            <w:tcW w:w="616" w:type="dxa"/>
            <w:tcBorders>
              <w:top w:val="nil"/>
              <w:left w:val="nil"/>
              <w:bottom w:val="nil"/>
              <w:right w:val="nil"/>
            </w:tcBorders>
            <w:noWrap w:val="0"/>
            <w:tcMar>
              <w:top w:w="-1" w:type="dxa"/>
              <w:left w:w="-1" w:type="dxa"/>
              <w:bottom w:w="-1" w:type="dxa"/>
              <w:right w:w="-1" w:type="dxa"/>
            </w:tcMar>
            <w:vAlign w:val="center"/>
          </w:tcPr>
          <w:p w14:paraId="18212B07">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7A37A12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7349B4E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51417C3D">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Biomarker</w:t>
            </w:r>
          </w:p>
        </w:tc>
        <w:tc>
          <w:tcPr>
            <w:tcW w:w="1580" w:type="dxa"/>
            <w:tcBorders>
              <w:top w:val="nil"/>
              <w:left w:val="nil"/>
              <w:bottom w:val="nil"/>
              <w:right w:val="nil"/>
            </w:tcBorders>
            <w:noWrap w:val="0"/>
            <w:tcMar>
              <w:top w:w="-1" w:type="dxa"/>
              <w:left w:w="-1" w:type="dxa"/>
              <w:bottom w:w="-1" w:type="dxa"/>
              <w:right w:w="-1" w:type="dxa"/>
            </w:tcMar>
            <w:vAlign w:val="center"/>
          </w:tcPr>
          <w:p w14:paraId="1796A316">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Osteocalcin</w:t>
            </w:r>
          </w:p>
        </w:tc>
        <w:tc>
          <w:tcPr>
            <w:tcW w:w="1727" w:type="dxa"/>
            <w:tcBorders>
              <w:top w:val="nil"/>
              <w:left w:val="nil"/>
              <w:bottom w:val="nil"/>
              <w:right w:val="nil"/>
            </w:tcBorders>
            <w:noWrap w:val="0"/>
            <w:tcMar>
              <w:top w:w="-1" w:type="dxa"/>
              <w:left w:w="-1" w:type="dxa"/>
              <w:bottom w:w="-1" w:type="dxa"/>
              <w:right w:w="-1" w:type="dxa"/>
            </w:tcMar>
            <w:vAlign w:val="center"/>
          </w:tcPr>
          <w:p w14:paraId="1801C20F">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Long-term systemic GC exposure</w:t>
            </w:r>
          </w:p>
        </w:tc>
        <w:tc>
          <w:tcPr>
            <w:tcW w:w="693" w:type="dxa"/>
            <w:tcBorders>
              <w:top w:val="nil"/>
              <w:left w:val="nil"/>
              <w:bottom w:val="nil"/>
              <w:right w:val="nil"/>
            </w:tcBorders>
            <w:noWrap w:val="0"/>
            <w:tcMar>
              <w:top w:w="-1" w:type="dxa"/>
              <w:left w:w="-1" w:type="dxa"/>
              <w:bottom w:w="-1" w:type="dxa"/>
              <w:right w:w="-1" w:type="dxa"/>
            </w:tcMar>
            <w:vAlign w:val="center"/>
          </w:tcPr>
          <w:p w14:paraId="3568117D">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GMR</w:t>
            </w:r>
          </w:p>
        </w:tc>
        <w:tc>
          <w:tcPr>
            <w:tcW w:w="0" w:type="auto"/>
            <w:tcBorders>
              <w:top w:val="nil"/>
              <w:left w:val="nil"/>
              <w:bottom w:val="nil"/>
              <w:right w:val="nil"/>
            </w:tcBorders>
            <w:noWrap w:val="0"/>
            <w:tcMar>
              <w:top w:w="-1" w:type="dxa"/>
              <w:left w:w="-1" w:type="dxa"/>
              <w:bottom w:w="-1" w:type="dxa"/>
              <w:right w:w="-1" w:type="dxa"/>
            </w:tcMar>
            <w:vAlign w:val="center"/>
          </w:tcPr>
          <w:p w14:paraId="5092C963">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0.83 (0.71 to 0.97)</w:t>
            </w:r>
          </w:p>
        </w:tc>
        <w:tc>
          <w:tcPr>
            <w:tcW w:w="767" w:type="dxa"/>
            <w:tcBorders>
              <w:top w:val="nil"/>
              <w:left w:val="nil"/>
              <w:bottom w:val="nil"/>
              <w:right w:val="nil"/>
            </w:tcBorders>
            <w:noWrap w:val="0"/>
            <w:tcMar>
              <w:top w:w="-1" w:type="dxa"/>
              <w:left w:w="-1" w:type="dxa"/>
              <w:bottom w:w="-1" w:type="dxa"/>
              <w:right w:w="-1" w:type="dxa"/>
            </w:tcMar>
            <w:vAlign w:val="center"/>
          </w:tcPr>
          <w:p w14:paraId="13E1529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0.016</w:t>
            </w:r>
          </w:p>
        </w:tc>
        <w:tc>
          <w:tcPr>
            <w:tcW w:w="616" w:type="dxa"/>
            <w:tcBorders>
              <w:top w:val="nil"/>
              <w:left w:val="nil"/>
              <w:bottom w:val="nil"/>
              <w:right w:val="nil"/>
            </w:tcBorders>
            <w:noWrap w:val="0"/>
            <w:tcMar>
              <w:top w:w="-1" w:type="dxa"/>
              <w:left w:w="-1" w:type="dxa"/>
              <w:bottom w:w="-1" w:type="dxa"/>
              <w:right w:w="-1" w:type="dxa"/>
            </w:tcMar>
            <w:vAlign w:val="center"/>
          </w:tcPr>
          <w:p w14:paraId="1D2876AE">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45EF8EF3">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30EAD76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1FC4D226">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Biomarker</w:t>
            </w:r>
          </w:p>
        </w:tc>
        <w:tc>
          <w:tcPr>
            <w:tcW w:w="1580" w:type="dxa"/>
            <w:tcBorders>
              <w:top w:val="nil"/>
              <w:left w:val="nil"/>
              <w:bottom w:val="nil"/>
              <w:right w:val="nil"/>
            </w:tcBorders>
            <w:noWrap w:val="0"/>
            <w:tcMar>
              <w:top w:w="-1" w:type="dxa"/>
              <w:left w:w="-1" w:type="dxa"/>
              <w:bottom w:w="-1" w:type="dxa"/>
              <w:right w:w="-1" w:type="dxa"/>
            </w:tcMar>
            <w:vAlign w:val="center"/>
          </w:tcPr>
          <w:p w14:paraId="0D7A6FD9">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β-CTX</w:t>
            </w:r>
          </w:p>
        </w:tc>
        <w:tc>
          <w:tcPr>
            <w:tcW w:w="1727" w:type="dxa"/>
            <w:tcBorders>
              <w:top w:val="nil"/>
              <w:left w:val="nil"/>
              <w:bottom w:val="nil"/>
              <w:right w:val="nil"/>
            </w:tcBorders>
            <w:noWrap w:val="0"/>
            <w:tcMar>
              <w:top w:w="-1" w:type="dxa"/>
              <w:left w:w="-1" w:type="dxa"/>
              <w:bottom w:w="-1" w:type="dxa"/>
              <w:right w:w="-1" w:type="dxa"/>
            </w:tcMar>
            <w:vAlign w:val="center"/>
          </w:tcPr>
          <w:p w14:paraId="5B3A15AA">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Self-reported RA history</w:t>
            </w:r>
          </w:p>
        </w:tc>
        <w:tc>
          <w:tcPr>
            <w:tcW w:w="693" w:type="dxa"/>
            <w:tcBorders>
              <w:top w:val="nil"/>
              <w:left w:val="nil"/>
              <w:bottom w:val="nil"/>
              <w:right w:val="nil"/>
            </w:tcBorders>
            <w:noWrap w:val="0"/>
            <w:tcMar>
              <w:top w:w="-1" w:type="dxa"/>
              <w:left w:w="-1" w:type="dxa"/>
              <w:bottom w:w="-1" w:type="dxa"/>
              <w:right w:w="-1" w:type="dxa"/>
            </w:tcMar>
            <w:vAlign w:val="center"/>
          </w:tcPr>
          <w:p w14:paraId="549D114B">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GMR</w:t>
            </w:r>
          </w:p>
        </w:tc>
        <w:tc>
          <w:tcPr>
            <w:tcW w:w="0" w:type="auto"/>
            <w:tcBorders>
              <w:top w:val="nil"/>
              <w:left w:val="nil"/>
              <w:bottom w:val="nil"/>
              <w:right w:val="nil"/>
            </w:tcBorders>
            <w:noWrap w:val="0"/>
            <w:tcMar>
              <w:top w:w="-1" w:type="dxa"/>
              <w:left w:w="-1" w:type="dxa"/>
              <w:bottom w:w="-1" w:type="dxa"/>
              <w:right w:w="-1" w:type="dxa"/>
            </w:tcMar>
            <w:vAlign w:val="center"/>
          </w:tcPr>
          <w:p w14:paraId="6FD5C875">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1.01 (0.94 to 1.08)</w:t>
            </w:r>
          </w:p>
        </w:tc>
        <w:tc>
          <w:tcPr>
            <w:tcW w:w="767" w:type="dxa"/>
            <w:tcBorders>
              <w:top w:val="nil"/>
              <w:left w:val="nil"/>
              <w:bottom w:val="nil"/>
              <w:right w:val="nil"/>
            </w:tcBorders>
            <w:noWrap w:val="0"/>
            <w:tcMar>
              <w:top w:w="-1" w:type="dxa"/>
              <w:left w:w="-1" w:type="dxa"/>
              <w:bottom w:w="-1" w:type="dxa"/>
              <w:right w:w="-1" w:type="dxa"/>
            </w:tcMar>
            <w:vAlign w:val="center"/>
          </w:tcPr>
          <w:p w14:paraId="42E0E741">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0.781</w:t>
            </w:r>
          </w:p>
        </w:tc>
        <w:tc>
          <w:tcPr>
            <w:tcW w:w="616" w:type="dxa"/>
            <w:tcBorders>
              <w:top w:val="nil"/>
              <w:left w:val="nil"/>
              <w:bottom w:val="nil"/>
              <w:right w:val="nil"/>
            </w:tcBorders>
            <w:noWrap w:val="0"/>
            <w:tcMar>
              <w:top w:w="-1" w:type="dxa"/>
              <w:left w:w="-1" w:type="dxa"/>
              <w:bottom w:w="-1" w:type="dxa"/>
              <w:right w:w="-1" w:type="dxa"/>
            </w:tcMar>
            <w:vAlign w:val="center"/>
          </w:tcPr>
          <w:p w14:paraId="3513E258">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3F2257C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3449728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6F430436">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Biomarker</w:t>
            </w:r>
          </w:p>
        </w:tc>
        <w:tc>
          <w:tcPr>
            <w:tcW w:w="1580" w:type="dxa"/>
            <w:tcBorders>
              <w:top w:val="nil"/>
              <w:left w:val="nil"/>
              <w:bottom w:val="nil"/>
              <w:right w:val="nil"/>
            </w:tcBorders>
            <w:noWrap w:val="0"/>
            <w:tcMar>
              <w:top w:w="-1" w:type="dxa"/>
              <w:left w:w="-1" w:type="dxa"/>
              <w:bottom w:w="-1" w:type="dxa"/>
              <w:right w:w="-1" w:type="dxa"/>
            </w:tcMar>
            <w:vAlign w:val="center"/>
          </w:tcPr>
          <w:p w14:paraId="0B0B8A37">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β-CTX</w:t>
            </w:r>
          </w:p>
        </w:tc>
        <w:tc>
          <w:tcPr>
            <w:tcW w:w="1727" w:type="dxa"/>
            <w:tcBorders>
              <w:top w:val="nil"/>
              <w:left w:val="nil"/>
              <w:bottom w:val="nil"/>
              <w:right w:val="nil"/>
            </w:tcBorders>
            <w:noWrap w:val="0"/>
            <w:tcMar>
              <w:top w:w="-1" w:type="dxa"/>
              <w:left w:w="-1" w:type="dxa"/>
              <w:bottom w:w="-1" w:type="dxa"/>
              <w:right w:w="-1" w:type="dxa"/>
            </w:tcMar>
            <w:vAlign w:val="center"/>
          </w:tcPr>
          <w:p w14:paraId="7520B781">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Long-term systemic GC exposure</w:t>
            </w:r>
          </w:p>
        </w:tc>
        <w:tc>
          <w:tcPr>
            <w:tcW w:w="693" w:type="dxa"/>
            <w:tcBorders>
              <w:top w:val="nil"/>
              <w:left w:val="nil"/>
              <w:bottom w:val="nil"/>
              <w:right w:val="nil"/>
            </w:tcBorders>
            <w:noWrap w:val="0"/>
            <w:tcMar>
              <w:top w:w="-1" w:type="dxa"/>
              <w:left w:w="-1" w:type="dxa"/>
              <w:bottom w:w="-1" w:type="dxa"/>
              <w:right w:w="-1" w:type="dxa"/>
            </w:tcMar>
            <w:vAlign w:val="center"/>
          </w:tcPr>
          <w:p w14:paraId="4E7DA3B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GMR</w:t>
            </w:r>
          </w:p>
        </w:tc>
        <w:tc>
          <w:tcPr>
            <w:tcW w:w="0" w:type="auto"/>
            <w:tcBorders>
              <w:top w:val="nil"/>
              <w:left w:val="nil"/>
              <w:bottom w:val="nil"/>
              <w:right w:val="nil"/>
            </w:tcBorders>
            <w:noWrap w:val="0"/>
            <w:tcMar>
              <w:top w:w="-1" w:type="dxa"/>
              <w:left w:w="-1" w:type="dxa"/>
              <w:bottom w:w="-1" w:type="dxa"/>
              <w:right w:w="-1" w:type="dxa"/>
            </w:tcMar>
            <w:vAlign w:val="center"/>
          </w:tcPr>
          <w:p w14:paraId="76530088">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0.90 (0.76 to 1.07)</w:t>
            </w:r>
          </w:p>
        </w:tc>
        <w:tc>
          <w:tcPr>
            <w:tcW w:w="767" w:type="dxa"/>
            <w:tcBorders>
              <w:top w:val="nil"/>
              <w:left w:val="nil"/>
              <w:bottom w:val="nil"/>
              <w:right w:val="nil"/>
            </w:tcBorders>
            <w:noWrap w:val="0"/>
            <w:tcMar>
              <w:top w:w="-1" w:type="dxa"/>
              <w:left w:w="-1" w:type="dxa"/>
              <w:bottom w:w="-1" w:type="dxa"/>
              <w:right w:w="-1" w:type="dxa"/>
            </w:tcMar>
            <w:vAlign w:val="center"/>
          </w:tcPr>
          <w:p w14:paraId="082CE429">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0.235</w:t>
            </w:r>
          </w:p>
        </w:tc>
        <w:tc>
          <w:tcPr>
            <w:tcW w:w="616" w:type="dxa"/>
            <w:tcBorders>
              <w:top w:val="nil"/>
              <w:left w:val="nil"/>
              <w:bottom w:val="nil"/>
              <w:right w:val="nil"/>
            </w:tcBorders>
            <w:noWrap w:val="0"/>
            <w:tcMar>
              <w:top w:w="-1" w:type="dxa"/>
              <w:left w:w="-1" w:type="dxa"/>
              <w:bottom w:w="-1" w:type="dxa"/>
              <w:right w:w="-1" w:type="dxa"/>
            </w:tcMar>
            <w:vAlign w:val="center"/>
          </w:tcPr>
          <w:p w14:paraId="02E1561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66B32F2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236A0DD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1B647729">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Objective function</w:t>
            </w:r>
          </w:p>
        </w:tc>
        <w:tc>
          <w:tcPr>
            <w:tcW w:w="1580" w:type="dxa"/>
            <w:tcBorders>
              <w:top w:val="nil"/>
              <w:left w:val="nil"/>
              <w:bottom w:val="nil"/>
              <w:right w:val="nil"/>
            </w:tcBorders>
            <w:noWrap w:val="0"/>
            <w:tcMar>
              <w:top w:w="-1" w:type="dxa"/>
              <w:left w:w="-1" w:type="dxa"/>
              <w:bottom w:w="-1" w:type="dxa"/>
              <w:right w:w="-1" w:type="dxa"/>
            </w:tcMar>
            <w:vAlign w:val="center"/>
          </w:tcPr>
          <w:p w14:paraId="7D31F20C">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Grip strength (kg)</w:t>
            </w:r>
          </w:p>
        </w:tc>
        <w:tc>
          <w:tcPr>
            <w:tcW w:w="1727" w:type="dxa"/>
            <w:tcBorders>
              <w:top w:val="nil"/>
              <w:left w:val="nil"/>
              <w:bottom w:val="nil"/>
              <w:right w:val="nil"/>
            </w:tcBorders>
            <w:noWrap w:val="0"/>
            <w:tcMar>
              <w:top w:w="-1" w:type="dxa"/>
              <w:left w:w="-1" w:type="dxa"/>
              <w:bottom w:w="-1" w:type="dxa"/>
              <w:right w:w="-1" w:type="dxa"/>
            </w:tcMar>
            <w:vAlign w:val="center"/>
          </w:tcPr>
          <w:p w14:paraId="0692755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Self-reported RA history</w:t>
            </w:r>
          </w:p>
        </w:tc>
        <w:tc>
          <w:tcPr>
            <w:tcW w:w="693" w:type="dxa"/>
            <w:tcBorders>
              <w:top w:val="nil"/>
              <w:left w:val="nil"/>
              <w:bottom w:val="nil"/>
              <w:right w:val="nil"/>
            </w:tcBorders>
            <w:noWrap w:val="0"/>
            <w:tcMar>
              <w:top w:w="-1" w:type="dxa"/>
              <w:left w:w="-1" w:type="dxa"/>
              <w:bottom w:w="-1" w:type="dxa"/>
              <w:right w:w="-1" w:type="dxa"/>
            </w:tcMar>
            <w:vAlign w:val="center"/>
          </w:tcPr>
          <w:p w14:paraId="423C1023">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β</w:t>
            </w:r>
          </w:p>
        </w:tc>
        <w:tc>
          <w:tcPr>
            <w:tcW w:w="0" w:type="auto"/>
            <w:tcBorders>
              <w:top w:val="nil"/>
              <w:left w:val="nil"/>
              <w:bottom w:val="nil"/>
              <w:right w:val="nil"/>
            </w:tcBorders>
            <w:noWrap w:val="0"/>
            <w:tcMar>
              <w:top w:w="-1" w:type="dxa"/>
              <w:left w:w="-1" w:type="dxa"/>
              <w:bottom w:w="-1" w:type="dxa"/>
              <w:right w:w="-1" w:type="dxa"/>
            </w:tcMar>
            <w:vAlign w:val="center"/>
          </w:tcPr>
          <w:p w14:paraId="01CCA8CD">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−0.37 (−1.30 to 0.57)</w:t>
            </w:r>
          </w:p>
        </w:tc>
        <w:tc>
          <w:tcPr>
            <w:tcW w:w="767" w:type="dxa"/>
            <w:tcBorders>
              <w:top w:val="nil"/>
              <w:left w:val="nil"/>
              <w:bottom w:val="nil"/>
              <w:right w:val="nil"/>
            </w:tcBorders>
            <w:noWrap w:val="0"/>
            <w:tcMar>
              <w:top w:w="-1" w:type="dxa"/>
              <w:left w:w="-1" w:type="dxa"/>
              <w:bottom w:w="-1" w:type="dxa"/>
              <w:right w:w="-1" w:type="dxa"/>
            </w:tcMar>
            <w:vAlign w:val="center"/>
          </w:tcPr>
          <w:p w14:paraId="5DB59558">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0.442</w:t>
            </w:r>
          </w:p>
        </w:tc>
        <w:tc>
          <w:tcPr>
            <w:tcW w:w="616" w:type="dxa"/>
            <w:tcBorders>
              <w:top w:val="nil"/>
              <w:left w:val="nil"/>
              <w:bottom w:val="nil"/>
              <w:right w:val="nil"/>
            </w:tcBorders>
            <w:noWrap w:val="0"/>
            <w:tcMar>
              <w:top w:w="-1" w:type="dxa"/>
              <w:left w:w="-1" w:type="dxa"/>
              <w:bottom w:w="-1" w:type="dxa"/>
              <w:right w:w="-1" w:type="dxa"/>
            </w:tcMar>
            <w:vAlign w:val="center"/>
          </w:tcPr>
          <w:p w14:paraId="3EB2E1E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7A2F2E0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4D1FAE9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67CA5C77">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Objective function</w:t>
            </w:r>
          </w:p>
        </w:tc>
        <w:tc>
          <w:tcPr>
            <w:tcW w:w="1580" w:type="dxa"/>
            <w:tcBorders>
              <w:top w:val="nil"/>
              <w:left w:val="nil"/>
              <w:bottom w:val="nil"/>
              <w:right w:val="nil"/>
            </w:tcBorders>
            <w:noWrap w:val="0"/>
            <w:tcMar>
              <w:top w:w="-1" w:type="dxa"/>
              <w:left w:w="-1" w:type="dxa"/>
              <w:bottom w:w="-1" w:type="dxa"/>
              <w:right w:w="-1" w:type="dxa"/>
            </w:tcMar>
            <w:vAlign w:val="center"/>
          </w:tcPr>
          <w:p w14:paraId="7CA5D9C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Grip strength (kg)</w:t>
            </w:r>
          </w:p>
        </w:tc>
        <w:tc>
          <w:tcPr>
            <w:tcW w:w="1727" w:type="dxa"/>
            <w:tcBorders>
              <w:top w:val="nil"/>
              <w:left w:val="nil"/>
              <w:bottom w:val="nil"/>
              <w:right w:val="nil"/>
            </w:tcBorders>
            <w:noWrap w:val="0"/>
            <w:tcMar>
              <w:top w:w="-1" w:type="dxa"/>
              <w:left w:w="-1" w:type="dxa"/>
              <w:bottom w:w="-1" w:type="dxa"/>
              <w:right w:w="-1" w:type="dxa"/>
            </w:tcMar>
            <w:vAlign w:val="center"/>
          </w:tcPr>
          <w:p w14:paraId="63C39D87">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Long-term systemic GC exposure</w:t>
            </w:r>
          </w:p>
        </w:tc>
        <w:tc>
          <w:tcPr>
            <w:tcW w:w="693" w:type="dxa"/>
            <w:tcBorders>
              <w:top w:val="nil"/>
              <w:left w:val="nil"/>
              <w:bottom w:val="nil"/>
              <w:right w:val="nil"/>
            </w:tcBorders>
            <w:noWrap w:val="0"/>
            <w:tcMar>
              <w:top w:w="-1" w:type="dxa"/>
              <w:left w:w="-1" w:type="dxa"/>
              <w:bottom w:w="-1" w:type="dxa"/>
              <w:right w:w="-1" w:type="dxa"/>
            </w:tcMar>
            <w:vAlign w:val="center"/>
          </w:tcPr>
          <w:p w14:paraId="2473495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β</w:t>
            </w:r>
          </w:p>
        </w:tc>
        <w:tc>
          <w:tcPr>
            <w:tcW w:w="0" w:type="auto"/>
            <w:tcBorders>
              <w:top w:val="nil"/>
              <w:left w:val="nil"/>
              <w:bottom w:val="nil"/>
              <w:right w:val="nil"/>
            </w:tcBorders>
            <w:noWrap w:val="0"/>
            <w:tcMar>
              <w:top w:w="-1" w:type="dxa"/>
              <w:left w:w="-1" w:type="dxa"/>
              <w:bottom w:w="-1" w:type="dxa"/>
              <w:right w:w="-1" w:type="dxa"/>
            </w:tcMar>
            <w:vAlign w:val="center"/>
          </w:tcPr>
          <w:p w14:paraId="4AF9A60B">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−3.76 (−6.31 to −1.21)</w:t>
            </w:r>
          </w:p>
        </w:tc>
        <w:tc>
          <w:tcPr>
            <w:tcW w:w="767" w:type="dxa"/>
            <w:tcBorders>
              <w:top w:val="nil"/>
              <w:left w:val="nil"/>
              <w:bottom w:val="nil"/>
              <w:right w:val="nil"/>
            </w:tcBorders>
            <w:noWrap w:val="0"/>
            <w:tcMar>
              <w:top w:w="-1" w:type="dxa"/>
              <w:left w:w="-1" w:type="dxa"/>
              <w:bottom w:w="-1" w:type="dxa"/>
              <w:right w:w="-1" w:type="dxa"/>
            </w:tcMar>
            <w:vAlign w:val="center"/>
          </w:tcPr>
          <w:p w14:paraId="095695E6">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0.004</w:t>
            </w:r>
          </w:p>
        </w:tc>
        <w:tc>
          <w:tcPr>
            <w:tcW w:w="616" w:type="dxa"/>
            <w:tcBorders>
              <w:top w:val="nil"/>
              <w:left w:val="nil"/>
              <w:bottom w:val="nil"/>
              <w:right w:val="nil"/>
            </w:tcBorders>
            <w:noWrap w:val="0"/>
            <w:tcMar>
              <w:top w:w="-1" w:type="dxa"/>
              <w:left w:w="-1" w:type="dxa"/>
              <w:bottom w:w="-1" w:type="dxa"/>
              <w:right w:w="-1" w:type="dxa"/>
            </w:tcMar>
            <w:vAlign w:val="center"/>
          </w:tcPr>
          <w:p w14:paraId="2B6D9CB6">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21D88898">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35D9A7B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0A73700F">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Objective function</w:t>
            </w:r>
          </w:p>
        </w:tc>
        <w:tc>
          <w:tcPr>
            <w:tcW w:w="1580" w:type="dxa"/>
            <w:tcBorders>
              <w:top w:val="nil"/>
              <w:left w:val="nil"/>
              <w:bottom w:val="nil"/>
              <w:right w:val="nil"/>
            </w:tcBorders>
            <w:noWrap w:val="0"/>
            <w:tcMar>
              <w:top w:w="-1" w:type="dxa"/>
              <w:left w:w="-1" w:type="dxa"/>
              <w:bottom w:w="-1" w:type="dxa"/>
              <w:right w:w="-1" w:type="dxa"/>
            </w:tcMar>
            <w:vAlign w:val="center"/>
          </w:tcPr>
          <w:p w14:paraId="2E1E699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Chair-stand time (s)</w:t>
            </w:r>
          </w:p>
        </w:tc>
        <w:tc>
          <w:tcPr>
            <w:tcW w:w="1727" w:type="dxa"/>
            <w:tcBorders>
              <w:top w:val="nil"/>
              <w:left w:val="nil"/>
              <w:bottom w:val="nil"/>
              <w:right w:val="nil"/>
            </w:tcBorders>
            <w:noWrap w:val="0"/>
            <w:tcMar>
              <w:top w:w="-1" w:type="dxa"/>
              <w:left w:w="-1" w:type="dxa"/>
              <w:bottom w:w="-1" w:type="dxa"/>
              <w:right w:w="-1" w:type="dxa"/>
            </w:tcMar>
            <w:vAlign w:val="center"/>
          </w:tcPr>
          <w:p w14:paraId="5AF0D9E3">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Self-reported RA history</w:t>
            </w:r>
          </w:p>
        </w:tc>
        <w:tc>
          <w:tcPr>
            <w:tcW w:w="693" w:type="dxa"/>
            <w:tcBorders>
              <w:top w:val="nil"/>
              <w:left w:val="nil"/>
              <w:bottom w:val="nil"/>
              <w:right w:val="nil"/>
            </w:tcBorders>
            <w:noWrap w:val="0"/>
            <w:tcMar>
              <w:top w:w="-1" w:type="dxa"/>
              <w:left w:w="-1" w:type="dxa"/>
              <w:bottom w:w="-1" w:type="dxa"/>
              <w:right w:w="-1" w:type="dxa"/>
            </w:tcMar>
            <w:vAlign w:val="center"/>
          </w:tcPr>
          <w:p w14:paraId="265497D1">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β</w:t>
            </w:r>
          </w:p>
        </w:tc>
        <w:tc>
          <w:tcPr>
            <w:tcW w:w="0" w:type="auto"/>
            <w:tcBorders>
              <w:top w:val="nil"/>
              <w:left w:val="nil"/>
              <w:bottom w:val="nil"/>
              <w:right w:val="nil"/>
            </w:tcBorders>
            <w:noWrap w:val="0"/>
            <w:tcMar>
              <w:top w:w="-1" w:type="dxa"/>
              <w:left w:w="-1" w:type="dxa"/>
              <w:bottom w:w="-1" w:type="dxa"/>
              <w:right w:w="-1" w:type="dxa"/>
            </w:tcMar>
            <w:vAlign w:val="center"/>
          </w:tcPr>
          <w:p w14:paraId="7E41ABCD">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0.35 (−0.40 to 1.09)</w:t>
            </w:r>
          </w:p>
        </w:tc>
        <w:tc>
          <w:tcPr>
            <w:tcW w:w="767" w:type="dxa"/>
            <w:tcBorders>
              <w:top w:val="nil"/>
              <w:left w:val="nil"/>
              <w:bottom w:val="nil"/>
              <w:right w:val="nil"/>
            </w:tcBorders>
            <w:noWrap w:val="0"/>
            <w:tcMar>
              <w:top w:w="-1" w:type="dxa"/>
              <w:left w:w="-1" w:type="dxa"/>
              <w:bottom w:w="-1" w:type="dxa"/>
              <w:right w:w="-1" w:type="dxa"/>
            </w:tcMar>
            <w:vAlign w:val="center"/>
          </w:tcPr>
          <w:p w14:paraId="725CD91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0.360</w:t>
            </w:r>
          </w:p>
        </w:tc>
        <w:tc>
          <w:tcPr>
            <w:tcW w:w="616" w:type="dxa"/>
            <w:tcBorders>
              <w:top w:val="nil"/>
              <w:left w:val="nil"/>
              <w:bottom w:val="nil"/>
              <w:right w:val="nil"/>
            </w:tcBorders>
            <w:noWrap w:val="0"/>
            <w:tcMar>
              <w:top w:w="-1" w:type="dxa"/>
              <w:left w:w="-1" w:type="dxa"/>
              <w:bottom w:w="-1" w:type="dxa"/>
              <w:right w:w="-1" w:type="dxa"/>
            </w:tcMar>
            <w:vAlign w:val="center"/>
          </w:tcPr>
          <w:p w14:paraId="75BB1504">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nil"/>
              <w:right w:val="nil"/>
            </w:tcBorders>
            <w:noWrap w:val="0"/>
            <w:tcMar>
              <w:top w:w="-1" w:type="dxa"/>
              <w:left w:w="-1" w:type="dxa"/>
              <w:bottom w:w="-1" w:type="dxa"/>
              <w:right w:w="-1" w:type="dxa"/>
            </w:tcMar>
            <w:vAlign w:val="center"/>
          </w:tcPr>
          <w:p w14:paraId="7E10F829">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r w14:paraId="1852A80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241" w:type="dxa"/>
            <w:tcBorders>
              <w:top w:val="nil"/>
              <w:left w:val="nil"/>
              <w:bottom w:val="single" w:color="auto" w:sz="12" w:space="0"/>
              <w:right w:val="nil"/>
            </w:tcBorders>
            <w:noWrap w:val="0"/>
            <w:tcMar>
              <w:top w:w="-1" w:type="dxa"/>
              <w:left w:w="-1" w:type="dxa"/>
              <w:bottom w:w="-1" w:type="dxa"/>
              <w:right w:w="-1" w:type="dxa"/>
            </w:tcMar>
            <w:vAlign w:val="center"/>
          </w:tcPr>
          <w:p w14:paraId="28AE0970">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Objective function</w:t>
            </w:r>
          </w:p>
        </w:tc>
        <w:tc>
          <w:tcPr>
            <w:tcW w:w="1580" w:type="dxa"/>
            <w:tcBorders>
              <w:top w:val="nil"/>
              <w:left w:val="nil"/>
              <w:bottom w:val="single" w:color="auto" w:sz="12" w:space="0"/>
              <w:right w:val="nil"/>
            </w:tcBorders>
            <w:noWrap w:val="0"/>
            <w:tcMar>
              <w:top w:w="-1" w:type="dxa"/>
              <w:left w:w="-1" w:type="dxa"/>
              <w:bottom w:w="-1" w:type="dxa"/>
              <w:right w:w="-1" w:type="dxa"/>
            </w:tcMar>
            <w:vAlign w:val="center"/>
          </w:tcPr>
          <w:p w14:paraId="5FFB27B1">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Chair-stand time (s)</w:t>
            </w:r>
          </w:p>
        </w:tc>
        <w:tc>
          <w:tcPr>
            <w:tcW w:w="1727" w:type="dxa"/>
            <w:tcBorders>
              <w:top w:val="nil"/>
              <w:left w:val="nil"/>
              <w:bottom w:val="single" w:color="auto" w:sz="12" w:space="0"/>
              <w:right w:val="nil"/>
            </w:tcBorders>
            <w:noWrap w:val="0"/>
            <w:tcMar>
              <w:top w:w="-1" w:type="dxa"/>
              <w:left w:w="-1" w:type="dxa"/>
              <w:bottom w:w="-1" w:type="dxa"/>
              <w:right w:w="-1" w:type="dxa"/>
            </w:tcMar>
            <w:vAlign w:val="center"/>
          </w:tcPr>
          <w:p w14:paraId="1947AA5C">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Long-term systemic GC exposure</w:t>
            </w:r>
          </w:p>
        </w:tc>
        <w:tc>
          <w:tcPr>
            <w:tcW w:w="693" w:type="dxa"/>
            <w:tcBorders>
              <w:top w:val="nil"/>
              <w:left w:val="nil"/>
              <w:bottom w:val="single" w:color="auto" w:sz="12" w:space="0"/>
              <w:right w:val="nil"/>
            </w:tcBorders>
            <w:noWrap w:val="0"/>
            <w:tcMar>
              <w:top w:w="-1" w:type="dxa"/>
              <w:left w:w="-1" w:type="dxa"/>
              <w:bottom w:w="-1" w:type="dxa"/>
              <w:right w:w="-1" w:type="dxa"/>
            </w:tcMar>
            <w:vAlign w:val="center"/>
          </w:tcPr>
          <w:p w14:paraId="574476FA">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β</w:t>
            </w:r>
          </w:p>
        </w:tc>
        <w:tc>
          <w:tcPr>
            <w:tcW w:w="1583" w:type="dxa"/>
            <w:tcBorders>
              <w:top w:val="nil"/>
              <w:left w:val="nil"/>
              <w:bottom w:val="single" w:color="auto" w:sz="12" w:space="0"/>
              <w:right w:val="nil"/>
            </w:tcBorders>
            <w:noWrap w:val="0"/>
            <w:tcMar>
              <w:top w:w="-1" w:type="dxa"/>
              <w:left w:w="-1" w:type="dxa"/>
              <w:bottom w:w="-1" w:type="dxa"/>
              <w:right w:w="-1" w:type="dxa"/>
            </w:tcMar>
            <w:vAlign w:val="center"/>
          </w:tcPr>
          <w:p w14:paraId="098C457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0.55 (−0.52 to 1.61)</w:t>
            </w:r>
          </w:p>
        </w:tc>
        <w:tc>
          <w:tcPr>
            <w:tcW w:w="767" w:type="dxa"/>
            <w:tcBorders>
              <w:top w:val="nil"/>
              <w:left w:val="nil"/>
              <w:bottom w:val="single" w:color="auto" w:sz="12" w:space="0"/>
              <w:right w:val="nil"/>
            </w:tcBorders>
            <w:noWrap w:val="0"/>
            <w:tcMar>
              <w:top w:w="-1" w:type="dxa"/>
              <w:left w:w="-1" w:type="dxa"/>
              <w:bottom w:w="-1" w:type="dxa"/>
              <w:right w:w="-1" w:type="dxa"/>
            </w:tcMar>
            <w:vAlign w:val="center"/>
          </w:tcPr>
          <w:p w14:paraId="0C20031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0.313</w:t>
            </w:r>
          </w:p>
        </w:tc>
        <w:tc>
          <w:tcPr>
            <w:tcW w:w="616" w:type="dxa"/>
            <w:tcBorders>
              <w:top w:val="nil"/>
              <w:left w:val="nil"/>
              <w:bottom w:val="single" w:color="auto" w:sz="12" w:space="0"/>
              <w:right w:val="nil"/>
            </w:tcBorders>
            <w:noWrap w:val="0"/>
            <w:tcMar>
              <w:top w:w="-1" w:type="dxa"/>
              <w:left w:w="-1" w:type="dxa"/>
              <w:bottom w:w="-1" w:type="dxa"/>
              <w:right w:w="-1" w:type="dxa"/>
            </w:tcMar>
            <w:vAlign w:val="center"/>
          </w:tcPr>
          <w:p w14:paraId="1206B712">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1786</w:t>
            </w:r>
          </w:p>
        </w:tc>
        <w:tc>
          <w:tcPr>
            <w:tcW w:w="476" w:type="dxa"/>
            <w:tcBorders>
              <w:top w:val="nil"/>
              <w:left w:val="nil"/>
              <w:bottom w:val="single" w:color="auto" w:sz="12" w:space="0"/>
              <w:right w:val="nil"/>
            </w:tcBorders>
            <w:noWrap w:val="0"/>
            <w:tcMar>
              <w:top w:w="-1" w:type="dxa"/>
              <w:left w:w="-1" w:type="dxa"/>
              <w:bottom w:w="-1" w:type="dxa"/>
              <w:right w:w="-1" w:type="dxa"/>
            </w:tcMar>
            <w:vAlign w:val="center"/>
          </w:tcPr>
          <w:p w14:paraId="6D699B58">
            <w:pPr>
              <w:widowControl w:val="0"/>
              <w:snapToGrid w:val="0"/>
              <w:spacing w:line="240" w:lineRule="auto"/>
              <w:ind w:left="0" w:leftChars="0" w:right="0" w:rightChars="0" w:firstLine="0" w:firstLineChars="0"/>
              <w:jc w:val="center"/>
              <w:rPr>
                <w:rFonts w:hint="default" w:ascii="Times New Roman" w:hAnsi="Times New Roman" w:eastAsia="宋体" w:cs="Times New Roman"/>
                <w:sz w:val="20"/>
                <w:szCs w:val="20"/>
                <w:vertAlign w:val="baseline"/>
              </w:rPr>
            </w:pPr>
            <w:r>
              <w:rPr>
                <w:rFonts w:ascii="Times New Roman" w:hAnsi="Times New Roman" w:eastAsia="宋体"/>
                <w:b w:val="0"/>
                <w:sz w:val="20"/>
                <w:szCs w:val="20"/>
              </w:rPr>
              <w:t>20</w:t>
            </w:r>
          </w:p>
        </w:tc>
      </w:tr>
    </w:tbl>
    <w:p w14:paraId="0E4B3CD4">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ascii="Times New Roman" w:hAnsi="Times New Roman" w:eastAsia="宋体"/>
          <w:b w:val="0"/>
          <w:i w:val="0"/>
          <w:sz w:val="20"/>
          <w:szCs w:val="20"/>
        </w:rPr>
      </w:pPr>
      <w:r>
        <w:rPr>
          <w:rFonts w:ascii="Times New Roman" w:hAnsi="Times New Roman" w:eastAsia="宋体"/>
          <w:b/>
          <w:bCs/>
          <w:i w:val="0"/>
          <w:sz w:val="20"/>
          <w:szCs w:val="20"/>
        </w:rPr>
        <w:t>Note</w:t>
      </w:r>
      <w:r>
        <w:rPr>
          <w:rFonts w:hint="eastAsia"/>
          <w:b/>
          <w:bCs/>
          <w:i w:val="0"/>
          <w:sz w:val="20"/>
          <w:szCs w:val="20"/>
          <w:lang w:val="en-US" w:eastAsia="zh-CN"/>
        </w:rPr>
        <w:t>:</w:t>
      </w:r>
      <w:r>
        <w:rPr>
          <w:rFonts w:ascii="Times New Roman" w:hAnsi="Times New Roman" w:eastAsia="宋体"/>
          <w:b w:val="0"/>
          <w:i w:val="0"/>
          <w:sz w:val="20"/>
          <w:szCs w:val="20"/>
        </w:rPr>
        <w:t xml:space="preserve"> Primary analyses used 20 multiply imputed datasets. Self-reported RA history and long-term systemic GC exposure were entered simultaneously into the same model and adjusted for one another. Binary osteoporosis outcomes were analysed using Poisson regression with robust variance and are reported as adjusted prevalence ratios. Continuous T-score and physical performance outcomes were analysed using linear regression with robust standard errors and are reported as adjusted β coefficients. Bone turnover markers were natural log-transformed before modelling; exponentiated coefficients are reported as geometric mean ratios. All models were adjusted for age, sex/menopausal status, BMI, educational level, smoking history, alcohol use, and dietary pattern.</w:t>
      </w:r>
      <w:r>
        <w:rPr>
          <w:rFonts w:ascii="Times New Roman" w:hAnsi="Times New Roman" w:eastAsia="宋体"/>
          <w:b w:val="0"/>
          <w:i w:val="0"/>
          <w:sz w:val="20"/>
          <w:szCs w:val="20"/>
        </w:rPr>
        <w:br w:type="textWrapping"/>
      </w:r>
      <w:r>
        <w:rPr>
          <w:rFonts w:ascii="Times New Roman" w:hAnsi="Times New Roman" w:eastAsia="宋体"/>
          <w:b/>
          <w:bCs/>
          <w:i w:val="0"/>
          <w:sz w:val="20"/>
          <w:szCs w:val="20"/>
        </w:rPr>
        <w:t>Abbreviations:</w:t>
      </w:r>
      <w:r>
        <w:rPr>
          <w:rFonts w:ascii="Times New Roman" w:hAnsi="Times New Roman" w:eastAsia="宋体"/>
          <w:b w:val="0"/>
          <w:i w:val="0"/>
          <w:sz w:val="20"/>
          <w:szCs w:val="20"/>
        </w:rPr>
        <w:t xml:space="preserve"> aPR, adjusted prevalence ratio; BMI, body mass index; CI, confidence interval; DXA, dual-energy X-ray absorptiometry; GC, glucocorticoid; GMR, geometric mean ratio; M, number of imputed datasets; MI, multiple imputation; PINP, procollagen type I N-terminal propeptide; RA, rheumatoid arthritis; β, regression coefficient; β-CTX, β-isomerized C-terminal telopeptide of type I collagen.</w:t>
      </w:r>
    </w:p>
    <w:p w14:paraId="21948EAF">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b w:val="0"/>
          <w:i w:val="0"/>
          <w:sz w:val="20"/>
          <w:szCs w:val="20"/>
        </w:rPr>
      </w:pPr>
    </w:p>
    <w:p w14:paraId="1E01F3A8">
      <w:pPr>
        <w:keepNext w:val="0"/>
        <w:keepLines w:val="0"/>
        <w:pageBreakBefore w:val="0"/>
        <w:widowControl/>
        <w:kinsoku/>
        <w:wordWrap/>
        <w:overflowPunct/>
        <w:topLinePunct w:val="0"/>
        <w:autoSpaceDE/>
        <w:autoSpaceDN/>
        <w:bidi w:val="0"/>
        <w:adjustRightInd/>
        <w:snapToGrid/>
        <w:spacing w:after="0" w:line="480" w:lineRule="auto"/>
        <w:textAlignment w:val="auto"/>
        <w:rPr>
          <w:sz w:val="24"/>
          <w:szCs w:val="24"/>
        </w:rPr>
      </w:pPr>
      <w:r>
        <w:rPr>
          <w:rFonts w:ascii="Times New Roman" w:hAnsi="Times New Roman" w:eastAsia="宋体"/>
          <w:b/>
          <w:i w:val="0"/>
          <w:sz w:val="24"/>
          <w:szCs w:val="24"/>
        </w:rPr>
        <w:t>Table S4. Complete-case sensitivity results.</w:t>
      </w:r>
    </w:p>
    <w:tbl>
      <w:tblPr>
        <w:tblStyle w:val="3"/>
        <w:tblW w:w="8522"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350"/>
        <w:gridCol w:w="1702"/>
        <w:gridCol w:w="1631"/>
        <w:gridCol w:w="853"/>
        <w:gridCol w:w="1273"/>
        <w:gridCol w:w="964"/>
        <w:gridCol w:w="749"/>
      </w:tblGrid>
      <w:tr w14:paraId="342B099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0" w:type="auto"/>
            <w:tcBorders>
              <w:top w:val="single" w:color="auto" w:sz="12" w:space="0"/>
              <w:left w:val="nil"/>
              <w:bottom w:val="nil"/>
              <w:right w:val="nil"/>
            </w:tcBorders>
            <w:noWrap w:val="0"/>
            <w:tcMar>
              <w:top w:w="-1" w:type="dxa"/>
              <w:left w:w="-1" w:type="dxa"/>
              <w:bottom w:w="-1" w:type="dxa"/>
              <w:right w:w="-1" w:type="dxa"/>
            </w:tcMar>
            <w:vAlign w:val="center"/>
          </w:tcPr>
          <w:p w14:paraId="05BB3AA0">
            <w:pPr>
              <w:widowControl w:val="0"/>
              <w:snapToGrid w:val="0"/>
              <w:spacing w:line="240" w:lineRule="auto"/>
              <w:ind w:left="0" w:leftChars="0" w:right="0" w:rightChars="0" w:firstLine="0" w:firstLineChars="0"/>
              <w:jc w:val="center"/>
              <w:rPr>
                <w:rFonts w:hint="default" w:ascii="Times New Roman" w:hAnsi="Times New Roman" w:cs="Times New Roman"/>
                <w:b/>
                <w:sz w:val="20"/>
                <w:szCs w:val="20"/>
                <w:vertAlign w:val="baseline"/>
              </w:rPr>
            </w:pPr>
            <w:r>
              <w:rPr>
                <w:rFonts w:ascii="Times New Roman" w:hAnsi="Times New Roman" w:eastAsia="宋体"/>
                <w:b/>
                <w:sz w:val="20"/>
                <w:szCs w:val="20"/>
              </w:rPr>
              <w:t>Domain</w:t>
            </w:r>
          </w:p>
        </w:tc>
        <w:tc>
          <w:tcPr>
            <w:tcW w:w="0" w:type="auto"/>
            <w:tcBorders>
              <w:top w:val="single" w:color="auto" w:sz="12" w:space="0"/>
              <w:left w:val="nil"/>
              <w:bottom w:val="nil"/>
              <w:right w:val="nil"/>
            </w:tcBorders>
            <w:noWrap w:val="0"/>
            <w:tcMar>
              <w:top w:w="-1" w:type="dxa"/>
              <w:left w:w="-1" w:type="dxa"/>
              <w:bottom w:w="-1" w:type="dxa"/>
              <w:right w:w="-1" w:type="dxa"/>
            </w:tcMar>
            <w:vAlign w:val="center"/>
          </w:tcPr>
          <w:p w14:paraId="14F1855B">
            <w:pPr>
              <w:widowControl w:val="0"/>
              <w:snapToGrid w:val="0"/>
              <w:spacing w:line="240" w:lineRule="auto"/>
              <w:ind w:left="0" w:leftChars="0" w:right="0" w:rightChars="0" w:firstLine="0" w:firstLineChars="0"/>
              <w:jc w:val="center"/>
              <w:rPr>
                <w:rFonts w:hint="default" w:ascii="Times New Roman" w:hAnsi="Times New Roman" w:cs="Times New Roman"/>
                <w:b/>
                <w:sz w:val="20"/>
                <w:szCs w:val="20"/>
                <w:vertAlign w:val="baseline"/>
              </w:rPr>
            </w:pPr>
            <w:r>
              <w:rPr>
                <w:rFonts w:ascii="Times New Roman" w:hAnsi="Times New Roman" w:eastAsia="宋体"/>
                <w:b/>
                <w:sz w:val="20"/>
                <w:szCs w:val="20"/>
              </w:rPr>
              <w:t>Outcome</w:t>
            </w:r>
          </w:p>
        </w:tc>
        <w:tc>
          <w:tcPr>
            <w:tcW w:w="1631" w:type="dxa"/>
            <w:tcBorders>
              <w:top w:val="single" w:color="auto" w:sz="12" w:space="0"/>
              <w:left w:val="nil"/>
              <w:bottom w:val="nil"/>
              <w:right w:val="nil"/>
            </w:tcBorders>
            <w:noWrap w:val="0"/>
            <w:tcMar>
              <w:top w:w="-1" w:type="dxa"/>
              <w:left w:w="-1" w:type="dxa"/>
              <w:bottom w:w="-1" w:type="dxa"/>
              <w:right w:w="-1" w:type="dxa"/>
            </w:tcMar>
            <w:vAlign w:val="center"/>
          </w:tcPr>
          <w:p w14:paraId="0DFD9ACC">
            <w:pPr>
              <w:widowControl w:val="0"/>
              <w:snapToGrid w:val="0"/>
              <w:spacing w:line="240" w:lineRule="auto"/>
              <w:ind w:left="0" w:leftChars="0" w:right="0" w:rightChars="0" w:firstLine="0" w:firstLineChars="0"/>
              <w:jc w:val="center"/>
              <w:rPr>
                <w:rFonts w:hint="default" w:ascii="Times New Roman" w:hAnsi="Times New Roman" w:cs="Times New Roman"/>
                <w:b/>
                <w:sz w:val="20"/>
                <w:szCs w:val="20"/>
                <w:vertAlign w:val="baseline"/>
              </w:rPr>
            </w:pPr>
            <w:r>
              <w:rPr>
                <w:rFonts w:ascii="Times New Roman" w:hAnsi="Times New Roman" w:eastAsia="宋体"/>
                <w:b/>
                <w:sz w:val="20"/>
                <w:szCs w:val="20"/>
              </w:rPr>
              <w:t>Exposure</w:t>
            </w:r>
          </w:p>
        </w:tc>
        <w:tc>
          <w:tcPr>
            <w:tcW w:w="853" w:type="dxa"/>
            <w:tcBorders>
              <w:top w:val="single" w:color="auto" w:sz="12" w:space="0"/>
              <w:left w:val="nil"/>
              <w:bottom w:val="nil"/>
              <w:right w:val="nil"/>
            </w:tcBorders>
            <w:noWrap w:val="0"/>
            <w:tcMar>
              <w:top w:w="-1" w:type="dxa"/>
              <w:left w:w="-1" w:type="dxa"/>
              <w:bottom w:w="-1" w:type="dxa"/>
              <w:right w:w="-1" w:type="dxa"/>
            </w:tcMar>
            <w:vAlign w:val="center"/>
          </w:tcPr>
          <w:p w14:paraId="3F77E8D3">
            <w:pPr>
              <w:widowControl w:val="0"/>
              <w:snapToGrid w:val="0"/>
              <w:spacing w:line="240" w:lineRule="auto"/>
              <w:ind w:left="0" w:leftChars="0" w:right="0" w:rightChars="0" w:firstLine="0" w:firstLineChars="0"/>
              <w:jc w:val="center"/>
              <w:rPr>
                <w:rFonts w:hint="default" w:ascii="Times New Roman" w:hAnsi="Times New Roman" w:cs="Times New Roman"/>
                <w:b/>
                <w:sz w:val="20"/>
                <w:szCs w:val="20"/>
                <w:vertAlign w:val="baseline"/>
              </w:rPr>
            </w:pPr>
            <w:r>
              <w:rPr>
                <w:rFonts w:ascii="Times New Roman" w:hAnsi="Times New Roman" w:eastAsia="宋体"/>
                <w:b/>
                <w:sz w:val="20"/>
                <w:szCs w:val="20"/>
              </w:rPr>
              <w:t>Effect</w:t>
            </w:r>
          </w:p>
        </w:tc>
        <w:tc>
          <w:tcPr>
            <w:tcW w:w="1273" w:type="dxa"/>
            <w:tcBorders>
              <w:top w:val="single" w:color="auto" w:sz="12" w:space="0"/>
              <w:left w:val="nil"/>
              <w:bottom w:val="nil"/>
              <w:right w:val="nil"/>
            </w:tcBorders>
            <w:noWrap w:val="0"/>
            <w:tcMar>
              <w:top w:w="-1" w:type="dxa"/>
              <w:left w:w="-1" w:type="dxa"/>
              <w:bottom w:w="-1" w:type="dxa"/>
              <w:right w:w="-1" w:type="dxa"/>
            </w:tcMar>
            <w:vAlign w:val="center"/>
          </w:tcPr>
          <w:p w14:paraId="3A0295F8">
            <w:pPr>
              <w:widowControl w:val="0"/>
              <w:snapToGrid w:val="0"/>
              <w:spacing w:line="240" w:lineRule="auto"/>
              <w:ind w:left="0" w:leftChars="0" w:right="0" w:rightChars="0" w:firstLine="0" w:firstLineChars="0"/>
              <w:jc w:val="center"/>
              <w:rPr>
                <w:rFonts w:ascii="Times New Roman" w:hAnsi="Times New Roman" w:eastAsia="宋体"/>
                <w:b/>
                <w:sz w:val="20"/>
                <w:szCs w:val="20"/>
              </w:rPr>
            </w:pPr>
            <w:r>
              <w:rPr>
                <w:rFonts w:ascii="Times New Roman" w:hAnsi="Times New Roman" w:eastAsia="宋体"/>
                <w:b/>
                <w:sz w:val="20"/>
                <w:szCs w:val="20"/>
              </w:rPr>
              <w:t>Estimate</w:t>
            </w:r>
          </w:p>
          <w:p w14:paraId="5AE6F583">
            <w:pPr>
              <w:widowControl w:val="0"/>
              <w:snapToGrid w:val="0"/>
              <w:spacing w:line="240" w:lineRule="auto"/>
              <w:ind w:left="0" w:leftChars="0" w:right="0" w:rightChars="0" w:firstLine="0" w:firstLineChars="0"/>
              <w:jc w:val="center"/>
              <w:rPr>
                <w:rFonts w:hint="default" w:ascii="Times New Roman" w:hAnsi="Times New Roman" w:cs="Times New Roman"/>
                <w:b/>
                <w:sz w:val="20"/>
                <w:szCs w:val="20"/>
                <w:vertAlign w:val="baseline"/>
              </w:rPr>
            </w:pPr>
            <w:r>
              <w:rPr>
                <w:rFonts w:ascii="Times New Roman" w:hAnsi="Times New Roman" w:eastAsia="宋体"/>
                <w:b/>
                <w:sz w:val="20"/>
                <w:szCs w:val="20"/>
              </w:rPr>
              <w:t>(95% CI)</w:t>
            </w:r>
          </w:p>
        </w:tc>
        <w:tc>
          <w:tcPr>
            <w:tcW w:w="964" w:type="dxa"/>
            <w:tcBorders>
              <w:top w:val="single" w:color="auto" w:sz="12" w:space="0"/>
              <w:left w:val="nil"/>
              <w:bottom w:val="nil"/>
              <w:right w:val="nil"/>
            </w:tcBorders>
            <w:noWrap w:val="0"/>
            <w:tcMar>
              <w:top w:w="-1" w:type="dxa"/>
              <w:left w:w="-1" w:type="dxa"/>
              <w:bottom w:w="-1" w:type="dxa"/>
              <w:right w:w="-1" w:type="dxa"/>
            </w:tcMar>
            <w:vAlign w:val="center"/>
          </w:tcPr>
          <w:p w14:paraId="58D2F582">
            <w:pPr>
              <w:widowControl w:val="0"/>
              <w:snapToGrid w:val="0"/>
              <w:spacing w:line="240" w:lineRule="auto"/>
              <w:ind w:left="0" w:leftChars="0" w:right="0" w:rightChars="0" w:firstLine="0" w:firstLineChars="0"/>
              <w:jc w:val="center"/>
              <w:rPr>
                <w:rFonts w:hint="default" w:ascii="Times New Roman" w:hAnsi="Times New Roman" w:cs="Times New Roman"/>
                <w:b/>
                <w:sz w:val="20"/>
                <w:szCs w:val="20"/>
                <w:vertAlign w:val="baseline"/>
              </w:rPr>
            </w:pPr>
            <w:r>
              <w:rPr>
                <w:rFonts w:ascii="Times New Roman" w:hAnsi="Times New Roman" w:eastAsia="宋体"/>
                <w:b/>
                <w:sz w:val="20"/>
                <w:szCs w:val="20"/>
              </w:rPr>
              <w:t>p value</w:t>
            </w:r>
          </w:p>
        </w:tc>
        <w:tc>
          <w:tcPr>
            <w:tcW w:w="748" w:type="dxa"/>
            <w:tcBorders>
              <w:top w:val="single" w:color="auto" w:sz="12" w:space="0"/>
              <w:left w:val="nil"/>
              <w:bottom w:val="nil"/>
              <w:right w:val="nil"/>
            </w:tcBorders>
            <w:noWrap w:val="0"/>
            <w:tcMar>
              <w:top w:w="-1" w:type="dxa"/>
              <w:left w:w="-1" w:type="dxa"/>
              <w:bottom w:w="-1" w:type="dxa"/>
              <w:right w:w="-1" w:type="dxa"/>
            </w:tcMar>
            <w:vAlign w:val="center"/>
          </w:tcPr>
          <w:p w14:paraId="1201940C">
            <w:pPr>
              <w:widowControl w:val="0"/>
              <w:snapToGrid w:val="0"/>
              <w:spacing w:line="240" w:lineRule="auto"/>
              <w:ind w:left="0" w:leftChars="0" w:right="0" w:rightChars="0" w:firstLine="0" w:firstLineChars="0"/>
              <w:jc w:val="center"/>
              <w:rPr>
                <w:rFonts w:hint="default" w:ascii="Times New Roman" w:hAnsi="Times New Roman" w:cs="Times New Roman"/>
                <w:b/>
                <w:sz w:val="20"/>
                <w:szCs w:val="20"/>
                <w:vertAlign w:val="baseline"/>
              </w:rPr>
            </w:pPr>
            <w:r>
              <w:rPr>
                <w:rFonts w:ascii="Times New Roman" w:hAnsi="Times New Roman" w:eastAsia="宋体"/>
                <w:b/>
                <w:sz w:val="20"/>
                <w:szCs w:val="20"/>
              </w:rPr>
              <w:t>N</w:t>
            </w:r>
          </w:p>
        </w:tc>
      </w:tr>
      <w:tr w14:paraId="49AF02B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single" w:color="auto" w:sz="4" w:space="0"/>
              <w:left w:val="nil"/>
              <w:bottom w:val="nil"/>
              <w:right w:val="nil"/>
            </w:tcBorders>
            <w:noWrap w:val="0"/>
            <w:tcMar>
              <w:top w:w="-1" w:type="dxa"/>
              <w:left w:w="-1" w:type="dxa"/>
              <w:bottom w:w="-1" w:type="dxa"/>
              <w:right w:w="-1" w:type="dxa"/>
            </w:tcMar>
            <w:vAlign w:val="center"/>
          </w:tcPr>
          <w:p w14:paraId="17249E7D">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DXA binary</w:t>
            </w:r>
          </w:p>
        </w:tc>
        <w:tc>
          <w:tcPr>
            <w:tcW w:w="0" w:type="auto"/>
            <w:tcBorders>
              <w:top w:val="single" w:color="auto" w:sz="4" w:space="0"/>
              <w:left w:val="nil"/>
              <w:bottom w:val="nil"/>
              <w:right w:val="nil"/>
            </w:tcBorders>
            <w:noWrap w:val="0"/>
            <w:tcMar>
              <w:top w:w="-1" w:type="dxa"/>
              <w:left w:w="-1" w:type="dxa"/>
              <w:bottom w:w="-1" w:type="dxa"/>
              <w:right w:w="-1" w:type="dxa"/>
            </w:tcMar>
            <w:vAlign w:val="center"/>
          </w:tcPr>
          <w:p w14:paraId="10E7804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Lumbar spine osteoporosis</w:t>
            </w:r>
          </w:p>
        </w:tc>
        <w:tc>
          <w:tcPr>
            <w:tcW w:w="1631" w:type="dxa"/>
            <w:tcBorders>
              <w:top w:val="single" w:color="auto" w:sz="4" w:space="0"/>
              <w:left w:val="nil"/>
              <w:bottom w:val="nil"/>
              <w:right w:val="nil"/>
            </w:tcBorders>
            <w:noWrap w:val="0"/>
            <w:tcMar>
              <w:top w:w="-1" w:type="dxa"/>
              <w:left w:w="-1" w:type="dxa"/>
              <w:bottom w:w="-1" w:type="dxa"/>
              <w:right w:w="-1" w:type="dxa"/>
            </w:tcMar>
            <w:vAlign w:val="center"/>
          </w:tcPr>
          <w:p w14:paraId="1B145F27">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Self-reported RA history</w:t>
            </w:r>
          </w:p>
        </w:tc>
        <w:tc>
          <w:tcPr>
            <w:tcW w:w="853" w:type="dxa"/>
            <w:tcBorders>
              <w:top w:val="single" w:color="auto" w:sz="4" w:space="0"/>
              <w:left w:val="nil"/>
              <w:bottom w:val="nil"/>
              <w:right w:val="nil"/>
            </w:tcBorders>
            <w:noWrap w:val="0"/>
            <w:tcMar>
              <w:top w:w="-1" w:type="dxa"/>
              <w:left w:w="-1" w:type="dxa"/>
              <w:bottom w:w="-1" w:type="dxa"/>
              <w:right w:w="-1" w:type="dxa"/>
            </w:tcMar>
            <w:vAlign w:val="center"/>
          </w:tcPr>
          <w:p w14:paraId="2F749644">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aPR</w:t>
            </w:r>
          </w:p>
        </w:tc>
        <w:tc>
          <w:tcPr>
            <w:tcW w:w="1273" w:type="dxa"/>
            <w:tcBorders>
              <w:top w:val="single" w:color="auto" w:sz="4" w:space="0"/>
              <w:left w:val="nil"/>
              <w:bottom w:val="nil"/>
              <w:right w:val="nil"/>
            </w:tcBorders>
            <w:noWrap w:val="0"/>
            <w:tcMar>
              <w:top w:w="-1" w:type="dxa"/>
              <w:left w:w="-1" w:type="dxa"/>
              <w:bottom w:w="-1" w:type="dxa"/>
              <w:right w:w="-1" w:type="dxa"/>
            </w:tcMar>
            <w:vAlign w:val="center"/>
          </w:tcPr>
          <w:p w14:paraId="0E97E96A">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1.03 (0.81 to 1.30)</w:t>
            </w:r>
          </w:p>
        </w:tc>
        <w:tc>
          <w:tcPr>
            <w:tcW w:w="964" w:type="dxa"/>
            <w:tcBorders>
              <w:top w:val="single" w:color="auto" w:sz="4" w:space="0"/>
              <w:left w:val="nil"/>
              <w:bottom w:val="nil"/>
              <w:right w:val="nil"/>
            </w:tcBorders>
            <w:noWrap w:val="0"/>
            <w:tcMar>
              <w:top w:w="-1" w:type="dxa"/>
              <w:left w:w="-1" w:type="dxa"/>
              <w:bottom w:w="-1" w:type="dxa"/>
              <w:right w:w="-1" w:type="dxa"/>
            </w:tcMar>
            <w:vAlign w:val="center"/>
          </w:tcPr>
          <w:p w14:paraId="2D2A2C6B">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0.836</w:t>
            </w:r>
          </w:p>
        </w:tc>
        <w:tc>
          <w:tcPr>
            <w:tcW w:w="748" w:type="dxa"/>
            <w:tcBorders>
              <w:top w:val="single" w:color="auto" w:sz="4" w:space="0"/>
              <w:left w:val="nil"/>
              <w:bottom w:val="nil"/>
              <w:right w:val="nil"/>
            </w:tcBorders>
            <w:noWrap w:val="0"/>
            <w:tcMar>
              <w:top w:w="-1" w:type="dxa"/>
              <w:left w:w="-1" w:type="dxa"/>
              <w:bottom w:w="-1" w:type="dxa"/>
              <w:right w:w="-1" w:type="dxa"/>
            </w:tcMar>
            <w:vAlign w:val="center"/>
          </w:tcPr>
          <w:p w14:paraId="302A24B4">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1738</w:t>
            </w:r>
          </w:p>
        </w:tc>
      </w:tr>
      <w:tr w14:paraId="6F961BA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4C600C2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DXA binary</w:t>
            </w:r>
          </w:p>
        </w:tc>
        <w:tc>
          <w:tcPr>
            <w:tcW w:w="0" w:type="auto"/>
            <w:tcBorders>
              <w:top w:val="nil"/>
              <w:left w:val="nil"/>
              <w:bottom w:val="nil"/>
              <w:right w:val="nil"/>
            </w:tcBorders>
            <w:noWrap w:val="0"/>
            <w:tcMar>
              <w:top w:w="-1" w:type="dxa"/>
              <w:left w:w="-1" w:type="dxa"/>
              <w:bottom w:w="-1" w:type="dxa"/>
              <w:right w:w="-1" w:type="dxa"/>
            </w:tcMar>
            <w:vAlign w:val="center"/>
          </w:tcPr>
          <w:p w14:paraId="2D7EF1D0">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Lumbar spine osteoporosis</w:t>
            </w:r>
          </w:p>
        </w:tc>
        <w:tc>
          <w:tcPr>
            <w:tcW w:w="1631" w:type="dxa"/>
            <w:tcBorders>
              <w:top w:val="nil"/>
              <w:left w:val="nil"/>
              <w:bottom w:val="nil"/>
              <w:right w:val="nil"/>
            </w:tcBorders>
            <w:noWrap w:val="0"/>
            <w:tcMar>
              <w:top w:w="-1" w:type="dxa"/>
              <w:left w:w="-1" w:type="dxa"/>
              <w:bottom w:w="-1" w:type="dxa"/>
              <w:right w:w="-1" w:type="dxa"/>
            </w:tcMar>
            <w:vAlign w:val="center"/>
          </w:tcPr>
          <w:p w14:paraId="7A05D662">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Long-term systemic GC exposure</w:t>
            </w:r>
          </w:p>
        </w:tc>
        <w:tc>
          <w:tcPr>
            <w:tcW w:w="853" w:type="dxa"/>
            <w:tcBorders>
              <w:top w:val="nil"/>
              <w:left w:val="nil"/>
              <w:bottom w:val="nil"/>
              <w:right w:val="nil"/>
            </w:tcBorders>
            <w:noWrap w:val="0"/>
            <w:tcMar>
              <w:top w:w="-1" w:type="dxa"/>
              <w:left w:w="-1" w:type="dxa"/>
              <w:bottom w:w="-1" w:type="dxa"/>
              <w:right w:w="-1" w:type="dxa"/>
            </w:tcMar>
            <w:vAlign w:val="center"/>
          </w:tcPr>
          <w:p w14:paraId="312F9D0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aPR</w:t>
            </w:r>
          </w:p>
        </w:tc>
        <w:tc>
          <w:tcPr>
            <w:tcW w:w="1273" w:type="dxa"/>
            <w:tcBorders>
              <w:top w:val="nil"/>
              <w:left w:val="nil"/>
              <w:bottom w:val="nil"/>
              <w:right w:val="nil"/>
            </w:tcBorders>
            <w:noWrap w:val="0"/>
            <w:tcMar>
              <w:top w:w="-1" w:type="dxa"/>
              <w:left w:w="-1" w:type="dxa"/>
              <w:bottom w:w="-1" w:type="dxa"/>
              <w:right w:w="-1" w:type="dxa"/>
            </w:tcMar>
            <w:vAlign w:val="center"/>
          </w:tcPr>
          <w:p w14:paraId="1A8E3C6F">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1.23 (0.82 to 1.86)</w:t>
            </w:r>
          </w:p>
        </w:tc>
        <w:tc>
          <w:tcPr>
            <w:tcW w:w="964" w:type="dxa"/>
            <w:tcBorders>
              <w:top w:val="nil"/>
              <w:left w:val="nil"/>
              <w:bottom w:val="nil"/>
              <w:right w:val="nil"/>
            </w:tcBorders>
            <w:noWrap w:val="0"/>
            <w:tcMar>
              <w:top w:w="-1" w:type="dxa"/>
              <w:left w:w="-1" w:type="dxa"/>
              <w:bottom w:w="-1" w:type="dxa"/>
              <w:right w:w="-1" w:type="dxa"/>
            </w:tcMar>
            <w:vAlign w:val="center"/>
          </w:tcPr>
          <w:p w14:paraId="312BD3DD">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0.314</w:t>
            </w:r>
          </w:p>
        </w:tc>
        <w:tc>
          <w:tcPr>
            <w:tcW w:w="748" w:type="dxa"/>
            <w:tcBorders>
              <w:top w:val="nil"/>
              <w:left w:val="nil"/>
              <w:bottom w:val="nil"/>
              <w:right w:val="nil"/>
            </w:tcBorders>
            <w:noWrap w:val="0"/>
            <w:tcMar>
              <w:top w:w="-1" w:type="dxa"/>
              <w:left w:w="-1" w:type="dxa"/>
              <w:bottom w:w="-1" w:type="dxa"/>
              <w:right w:w="-1" w:type="dxa"/>
            </w:tcMar>
            <w:vAlign w:val="center"/>
          </w:tcPr>
          <w:p w14:paraId="579E1437">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1738</w:t>
            </w:r>
          </w:p>
        </w:tc>
      </w:tr>
      <w:tr w14:paraId="076DE21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2C4FCCD5">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DXA binary</w:t>
            </w:r>
          </w:p>
        </w:tc>
        <w:tc>
          <w:tcPr>
            <w:tcW w:w="0" w:type="auto"/>
            <w:tcBorders>
              <w:top w:val="nil"/>
              <w:left w:val="nil"/>
              <w:bottom w:val="nil"/>
              <w:right w:val="nil"/>
            </w:tcBorders>
            <w:noWrap w:val="0"/>
            <w:tcMar>
              <w:top w:w="-1" w:type="dxa"/>
              <w:left w:w="-1" w:type="dxa"/>
              <w:bottom w:w="-1" w:type="dxa"/>
              <w:right w:w="-1" w:type="dxa"/>
            </w:tcMar>
            <w:vAlign w:val="center"/>
          </w:tcPr>
          <w:p w14:paraId="44FBE32B">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Total hip osteoporosis</w:t>
            </w:r>
          </w:p>
        </w:tc>
        <w:tc>
          <w:tcPr>
            <w:tcW w:w="1631" w:type="dxa"/>
            <w:tcBorders>
              <w:top w:val="nil"/>
              <w:left w:val="nil"/>
              <w:bottom w:val="nil"/>
              <w:right w:val="nil"/>
            </w:tcBorders>
            <w:noWrap w:val="0"/>
            <w:tcMar>
              <w:top w:w="-1" w:type="dxa"/>
              <w:left w:w="-1" w:type="dxa"/>
              <w:bottom w:w="-1" w:type="dxa"/>
              <w:right w:w="-1" w:type="dxa"/>
            </w:tcMar>
            <w:vAlign w:val="center"/>
          </w:tcPr>
          <w:p w14:paraId="587C841C">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Self-reported RA history</w:t>
            </w:r>
          </w:p>
        </w:tc>
        <w:tc>
          <w:tcPr>
            <w:tcW w:w="853" w:type="dxa"/>
            <w:tcBorders>
              <w:top w:val="nil"/>
              <w:left w:val="nil"/>
              <w:bottom w:val="nil"/>
              <w:right w:val="nil"/>
            </w:tcBorders>
            <w:noWrap w:val="0"/>
            <w:tcMar>
              <w:top w:w="-1" w:type="dxa"/>
              <w:left w:w="-1" w:type="dxa"/>
              <w:bottom w:w="-1" w:type="dxa"/>
              <w:right w:w="-1" w:type="dxa"/>
            </w:tcMar>
            <w:vAlign w:val="center"/>
          </w:tcPr>
          <w:p w14:paraId="01083E9D">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aPR</w:t>
            </w:r>
          </w:p>
        </w:tc>
        <w:tc>
          <w:tcPr>
            <w:tcW w:w="1273" w:type="dxa"/>
            <w:tcBorders>
              <w:top w:val="nil"/>
              <w:left w:val="nil"/>
              <w:bottom w:val="nil"/>
              <w:right w:val="nil"/>
            </w:tcBorders>
            <w:noWrap w:val="0"/>
            <w:tcMar>
              <w:top w:w="-1" w:type="dxa"/>
              <w:left w:w="-1" w:type="dxa"/>
              <w:bottom w:w="-1" w:type="dxa"/>
              <w:right w:w="-1" w:type="dxa"/>
            </w:tcMar>
            <w:vAlign w:val="center"/>
          </w:tcPr>
          <w:p w14:paraId="5919724E">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0.74 (0.52 to 1.07)</w:t>
            </w:r>
          </w:p>
        </w:tc>
        <w:tc>
          <w:tcPr>
            <w:tcW w:w="964" w:type="dxa"/>
            <w:tcBorders>
              <w:top w:val="nil"/>
              <w:left w:val="nil"/>
              <w:bottom w:val="nil"/>
              <w:right w:val="nil"/>
            </w:tcBorders>
            <w:noWrap w:val="0"/>
            <w:tcMar>
              <w:top w:w="-1" w:type="dxa"/>
              <w:left w:w="-1" w:type="dxa"/>
              <w:bottom w:w="-1" w:type="dxa"/>
              <w:right w:w="-1" w:type="dxa"/>
            </w:tcMar>
            <w:vAlign w:val="center"/>
          </w:tcPr>
          <w:p w14:paraId="5DDBBEAA">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0.111</w:t>
            </w:r>
          </w:p>
        </w:tc>
        <w:tc>
          <w:tcPr>
            <w:tcW w:w="748" w:type="dxa"/>
            <w:tcBorders>
              <w:top w:val="nil"/>
              <w:left w:val="nil"/>
              <w:bottom w:val="nil"/>
              <w:right w:val="nil"/>
            </w:tcBorders>
            <w:noWrap w:val="0"/>
            <w:tcMar>
              <w:top w:w="-1" w:type="dxa"/>
              <w:left w:w="-1" w:type="dxa"/>
              <w:bottom w:w="-1" w:type="dxa"/>
              <w:right w:w="-1" w:type="dxa"/>
            </w:tcMar>
            <w:vAlign w:val="center"/>
          </w:tcPr>
          <w:p w14:paraId="16992BF0">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1737</w:t>
            </w:r>
          </w:p>
        </w:tc>
      </w:tr>
      <w:tr w14:paraId="5C1AAC8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22E83BF1">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DXA binary</w:t>
            </w:r>
          </w:p>
        </w:tc>
        <w:tc>
          <w:tcPr>
            <w:tcW w:w="0" w:type="auto"/>
            <w:tcBorders>
              <w:top w:val="nil"/>
              <w:left w:val="nil"/>
              <w:bottom w:val="nil"/>
              <w:right w:val="nil"/>
            </w:tcBorders>
            <w:noWrap w:val="0"/>
            <w:tcMar>
              <w:top w:w="-1" w:type="dxa"/>
              <w:left w:w="-1" w:type="dxa"/>
              <w:bottom w:w="-1" w:type="dxa"/>
              <w:right w:w="-1" w:type="dxa"/>
            </w:tcMar>
            <w:vAlign w:val="center"/>
          </w:tcPr>
          <w:p w14:paraId="411F3E8A">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Total hip osteoporosis</w:t>
            </w:r>
          </w:p>
        </w:tc>
        <w:tc>
          <w:tcPr>
            <w:tcW w:w="1631" w:type="dxa"/>
            <w:tcBorders>
              <w:top w:val="nil"/>
              <w:left w:val="nil"/>
              <w:bottom w:val="nil"/>
              <w:right w:val="nil"/>
            </w:tcBorders>
            <w:noWrap w:val="0"/>
            <w:tcMar>
              <w:top w:w="-1" w:type="dxa"/>
              <w:left w:w="-1" w:type="dxa"/>
              <w:bottom w:w="-1" w:type="dxa"/>
              <w:right w:w="-1" w:type="dxa"/>
            </w:tcMar>
            <w:vAlign w:val="center"/>
          </w:tcPr>
          <w:p w14:paraId="13879A1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Long-term systemic GC exposure</w:t>
            </w:r>
          </w:p>
        </w:tc>
        <w:tc>
          <w:tcPr>
            <w:tcW w:w="853" w:type="dxa"/>
            <w:tcBorders>
              <w:top w:val="nil"/>
              <w:left w:val="nil"/>
              <w:bottom w:val="nil"/>
              <w:right w:val="nil"/>
            </w:tcBorders>
            <w:noWrap w:val="0"/>
            <w:tcMar>
              <w:top w:w="-1" w:type="dxa"/>
              <w:left w:w="-1" w:type="dxa"/>
              <w:bottom w:w="-1" w:type="dxa"/>
              <w:right w:w="-1" w:type="dxa"/>
            </w:tcMar>
            <w:vAlign w:val="center"/>
          </w:tcPr>
          <w:p w14:paraId="4007042C">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aPR</w:t>
            </w:r>
          </w:p>
        </w:tc>
        <w:tc>
          <w:tcPr>
            <w:tcW w:w="1273" w:type="dxa"/>
            <w:tcBorders>
              <w:top w:val="nil"/>
              <w:left w:val="nil"/>
              <w:bottom w:val="nil"/>
              <w:right w:val="nil"/>
            </w:tcBorders>
            <w:noWrap w:val="0"/>
            <w:tcMar>
              <w:top w:w="-1" w:type="dxa"/>
              <w:left w:w="-1" w:type="dxa"/>
              <w:bottom w:w="-1" w:type="dxa"/>
              <w:right w:w="-1" w:type="dxa"/>
            </w:tcMar>
            <w:vAlign w:val="center"/>
          </w:tcPr>
          <w:p w14:paraId="177BE6E9">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1.10 (0.58 to 2.06)</w:t>
            </w:r>
          </w:p>
        </w:tc>
        <w:tc>
          <w:tcPr>
            <w:tcW w:w="964" w:type="dxa"/>
            <w:tcBorders>
              <w:top w:val="nil"/>
              <w:left w:val="nil"/>
              <w:bottom w:val="nil"/>
              <w:right w:val="nil"/>
            </w:tcBorders>
            <w:noWrap w:val="0"/>
            <w:tcMar>
              <w:top w:w="-1" w:type="dxa"/>
              <w:left w:w="-1" w:type="dxa"/>
              <w:bottom w:w="-1" w:type="dxa"/>
              <w:right w:w="-1" w:type="dxa"/>
            </w:tcMar>
            <w:vAlign w:val="center"/>
          </w:tcPr>
          <w:p w14:paraId="5E538BC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0.771</w:t>
            </w:r>
          </w:p>
        </w:tc>
        <w:tc>
          <w:tcPr>
            <w:tcW w:w="748" w:type="dxa"/>
            <w:tcBorders>
              <w:top w:val="nil"/>
              <w:left w:val="nil"/>
              <w:bottom w:val="nil"/>
              <w:right w:val="nil"/>
            </w:tcBorders>
            <w:noWrap w:val="0"/>
            <w:tcMar>
              <w:top w:w="-1" w:type="dxa"/>
              <w:left w:w="-1" w:type="dxa"/>
              <w:bottom w:w="-1" w:type="dxa"/>
              <w:right w:w="-1" w:type="dxa"/>
            </w:tcMar>
            <w:vAlign w:val="center"/>
          </w:tcPr>
          <w:p w14:paraId="6681D9D3">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1737</w:t>
            </w:r>
          </w:p>
        </w:tc>
      </w:tr>
      <w:tr w14:paraId="24E855B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1F4B777D">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DXA continuous</w:t>
            </w:r>
          </w:p>
        </w:tc>
        <w:tc>
          <w:tcPr>
            <w:tcW w:w="0" w:type="auto"/>
            <w:tcBorders>
              <w:top w:val="nil"/>
              <w:left w:val="nil"/>
              <w:bottom w:val="nil"/>
              <w:right w:val="nil"/>
            </w:tcBorders>
            <w:noWrap w:val="0"/>
            <w:tcMar>
              <w:top w:w="-1" w:type="dxa"/>
              <w:left w:w="-1" w:type="dxa"/>
              <w:bottom w:w="-1" w:type="dxa"/>
              <w:right w:w="-1" w:type="dxa"/>
            </w:tcMar>
            <w:vAlign w:val="center"/>
          </w:tcPr>
          <w:p w14:paraId="1847535E">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Lumbar spine T-score</w:t>
            </w:r>
          </w:p>
        </w:tc>
        <w:tc>
          <w:tcPr>
            <w:tcW w:w="1631" w:type="dxa"/>
            <w:tcBorders>
              <w:top w:val="nil"/>
              <w:left w:val="nil"/>
              <w:bottom w:val="nil"/>
              <w:right w:val="nil"/>
            </w:tcBorders>
            <w:noWrap w:val="0"/>
            <w:tcMar>
              <w:top w:w="-1" w:type="dxa"/>
              <w:left w:w="-1" w:type="dxa"/>
              <w:bottom w:w="-1" w:type="dxa"/>
              <w:right w:w="-1" w:type="dxa"/>
            </w:tcMar>
            <w:vAlign w:val="center"/>
          </w:tcPr>
          <w:p w14:paraId="48BE73AC">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Self-reported RA history</w:t>
            </w:r>
          </w:p>
        </w:tc>
        <w:tc>
          <w:tcPr>
            <w:tcW w:w="853" w:type="dxa"/>
            <w:tcBorders>
              <w:top w:val="nil"/>
              <w:left w:val="nil"/>
              <w:bottom w:val="nil"/>
              <w:right w:val="nil"/>
            </w:tcBorders>
            <w:noWrap w:val="0"/>
            <w:tcMar>
              <w:top w:w="-1" w:type="dxa"/>
              <w:left w:w="-1" w:type="dxa"/>
              <w:bottom w:w="-1" w:type="dxa"/>
              <w:right w:w="-1" w:type="dxa"/>
            </w:tcMar>
            <w:vAlign w:val="center"/>
          </w:tcPr>
          <w:p w14:paraId="2AC369B2">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β</w:t>
            </w:r>
          </w:p>
        </w:tc>
        <w:tc>
          <w:tcPr>
            <w:tcW w:w="1273" w:type="dxa"/>
            <w:tcBorders>
              <w:top w:val="nil"/>
              <w:left w:val="nil"/>
              <w:bottom w:val="nil"/>
              <w:right w:val="nil"/>
            </w:tcBorders>
            <w:noWrap w:val="0"/>
            <w:tcMar>
              <w:top w:w="-1" w:type="dxa"/>
              <w:left w:w="-1" w:type="dxa"/>
              <w:bottom w:w="-1" w:type="dxa"/>
              <w:right w:w="-1" w:type="dxa"/>
            </w:tcMar>
            <w:vAlign w:val="center"/>
          </w:tcPr>
          <w:p w14:paraId="0FA60E44">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0.03 (−0.17 to 0.23)</w:t>
            </w:r>
          </w:p>
        </w:tc>
        <w:tc>
          <w:tcPr>
            <w:tcW w:w="964" w:type="dxa"/>
            <w:tcBorders>
              <w:top w:val="nil"/>
              <w:left w:val="nil"/>
              <w:bottom w:val="nil"/>
              <w:right w:val="nil"/>
            </w:tcBorders>
            <w:noWrap w:val="0"/>
            <w:tcMar>
              <w:top w:w="-1" w:type="dxa"/>
              <w:left w:w="-1" w:type="dxa"/>
              <w:bottom w:w="-1" w:type="dxa"/>
              <w:right w:w="-1" w:type="dxa"/>
            </w:tcMar>
            <w:vAlign w:val="center"/>
          </w:tcPr>
          <w:p w14:paraId="54015E8F">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0.758</w:t>
            </w:r>
          </w:p>
        </w:tc>
        <w:tc>
          <w:tcPr>
            <w:tcW w:w="748" w:type="dxa"/>
            <w:tcBorders>
              <w:top w:val="nil"/>
              <w:left w:val="nil"/>
              <w:bottom w:val="nil"/>
              <w:right w:val="nil"/>
            </w:tcBorders>
            <w:noWrap w:val="0"/>
            <w:tcMar>
              <w:top w:w="-1" w:type="dxa"/>
              <w:left w:w="-1" w:type="dxa"/>
              <w:bottom w:w="-1" w:type="dxa"/>
              <w:right w:w="-1" w:type="dxa"/>
            </w:tcMar>
            <w:vAlign w:val="center"/>
          </w:tcPr>
          <w:p w14:paraId="44C35872">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1738</w:t>
            </w:r>
          </w:p>
        </w:tc>
      </w:tr>
      <w:tr w14:paraId="75F8E03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50DC2E85">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DXA continuous</w:t>
            </w:r>
          </w:p>
        </w:tc>
        <w:tc>
          <w:tcPr>
            <w:tcW w:w="0" w:type="auto"/>
            <w:tcBorders>
              <w:top w:val="nil"/>
              <w:left w:val="nil"/>
              <w:bottom w:val="nil"/>
              <w:right w:val="nil"/>
            </w:tcBorders>
            <w:noWrap w:val="0"/>
            <w:tcMar>
              <w:top w:w="-1" w:type="dxa"/>
              <w:left w:w="-1" w:type="dxa"/>
              <w:bottom w:w="-1" w:type="dxa"/>
              <w:right w:w="-1" w:type="dxa"/>
            </w:tcMar>
            <w:vAlign w:val="center"/>
          </w:tcPr>
          <w:p w14:paraId="16FA9C57">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Lumbar spine T-score</w:t>
            </w:r>
          </w:p>
        </w:tc>
        <w:tc>
          <w:tcPr>
            <w:tcW w:w="1631" w:type="dxa"/>
            <w:tcBorders>
              <w:top w:val="nil"/>
              <w:left w:val="nil"/>
              <w:bottom w:val="nil"/>
              <w:right w:val="nil"/>
            </w:tcBorders>
            <w:noWrap w:val="0"/>
            <w:tcMar>
              <w:top w:w="-1" w:type="dxa"/>
              <w:left w:w="-1" w:type="dxa"/>
              <w:bottom w:w="-1" w:type="dxa"/>
              <w:right w:w="-1" w:type="dxa"/>
            </w:tcMar>
            <w:vAlign w:val="center"/>
          </w:tcPr>
          <w:p w14:paraId="64BE3E52">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Long-term systemic GC exposure</w:t>
            </w:r>
          </w:p>
        </w:tc>
        <w:tc>
          <w:tcPr>
            <w:tcW w:w="853" w:type="dxa"/>
            <w:tcBorders>
              <w:top w:val="nil"/>
              <w:left w:val="nil"/>
              <w:bottom w:val="nil"/>
              <w:right w:val="nil"/>
            </w:tcBorders>
            <w:noWrap w:val="0"/>
            <w:tcMar>
              <w:top w:w="-1" w:type="dxa"/>
              <w:left w:w="-1" w:type="dxa"/>
              <w:bottom w:w="-1" w:type="dxa"/>
              <w:right w:w="-1" w:type="dxa"/>
            </w:tcMar>
            <w:vAlign w:val="center"/>
          </w:tcPr>
          <w:p w14:paraId="6B705DB1">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β</w:t>
            </w:r>
          </w:p>
        </w:tc>
        <w:tc>
          <w:tcPr>
            <w:tcW w:w="1273" w:type="dxa"/>
            <w:tcBorders>
              <w:top w:val="nil"/>
              <w:left w:val="nil"/>
              <w:bottom w:val="nil"/>
              <w:right w:val="nil"/>
            </w:tcBorders>
            <w:noWrap w:val="0"/>
            <w:tcMar>
              <w:top w:w="-1" w:type="dxa"/>
              <w:left w:w="-1" w:type="dxa"/>
              <w:bottom w:w="-1" w:type="dxa"/>
              <w:right w:w="-1" w:type="dxa"/>
            </w:tcMar>
            <w:vAlign w:val="center"/>
          </w:tcPr>
          <w:p w14:paraId="55DF91EB">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−0.15 (−0.64 to 0.34)</w:t>
            </w:r>
          </w:p>
        </w:tc>
        <w:tc>
          <w:tcPr>
            <w:tcW w:w="964" w:type="dxa"/>
            <w:tcBorders>
              <w:top w:val="nil"/>
              <w:left w:val="nil"/>
              <w:bottom w:val="nil"/>
              <w:right w:val="nil"/>
            </w:tcBorders>
            <w:noWrap w:val="0"/>
            <w:tcMar>
              <w:top w:w="-1" w:type="dxa"/>
              <w:left w:w="-1" w:type="dxa"/>
              <w:bottom w:w="-1" w:type="dxa"/>
              <w:right w:w="-1" w:type="dxa"/>
            </w:tcMar>
            <w:vAlign w:val="center"/>
          </w:tcPr>
          <w:p w14:paraId="4E45C2D2">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0.553</w:t>
            </w:r>
          </w:p>
        </w:tc>
        <w:tc>
          <w:tcPr>
            <w:tcW w:w="748" w:type="dxa"/>
            <w:tcBorders>
              <w:top w:val="nil"/>
              <w:left w:val="nil"/>
              <w:bottom w:val="nil"/>
              <w:right w:val="nil"/>
            </w:tcBorders>
            <w:noWrap w:val="0"/>
            <w:tcMar>
              <w:top w:w="-1" w:type="dxa"/>
              <w:left w:w="-1" w:type="dxa"/>
              <w:bottom w:w="-1" w:type="dxa"/>
              <w:right w:w="-1" w:type="dxa"/>
            </w:tcMar>
            <w:vAlign w:val="center"/>
          </w:tcPr>
          <w:p w14:paraId="1B53E4E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1738</w:t>
            </w:r>
          </w:p>
        </w:tc>
      </w:tr>
      <w:tr w14:paraId="54FD849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317871C1">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DXA continuous</w:t>
            </w:r>
          </w:p>
        </w:tc>
        <w:tc>
          <w:tcPr>
            <w:tcW w:w="0" w:type="auto"/>
            <w:tcBorders>
              <w:top w:val="nil"/>
              <w:left w:val="nil"/>
              <w:bottom w:val="nil"/>
              <w:right w:val="nil"/>
            </w:tcBorders>
            <w:noWrap w:val="0"/>
            <w:tcMar>
              <w:top w:w="-1" w:type="dxa"/>
              <w:left w:w="-1" w:type="dxa"/>
              <w:bottom w:w="-1" w:type="dxa"/>
              <w:right w:w="-1" w:type="dxa"/>
            </w:tcMar>
            <w:vAlign w:val="center"/>
          </w:tcPr>
          <w:p w14:paraId="5A095F29">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Total hip T-score</w:t>
            </w:r>
          </w:p>
        </w:tc>
        <w:tc>
          <w:tcPr>
            <w:tcW w:w="1631" w:type="dxa"/>
            <w:tcBorders>
              <w:top w:val="nil"/>
              <w:left w:val="nil"/>
              <w:bottom w:val="nil"/>
              <w:right w:val="nil"/>
            </w:tcBorders>
            <w:noWrap w:val="0"/>
            <w:tcMar>
              <w:top w:w="-1" w:type="dxa"/>
              <w:left w:w="-1" w:type="dxa"/>
              <w:bottom w:w="-1" w:type="dxa"/>
              <w:right w:w="-1" w:type="dxa"/>
            </w:tcMar>
            <w:vAlign w:val="center"/>
          </w:tcPr>
          <w:p w14:paraId="7C12AD03">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Self-reported RA history</w:t>
            </w:r>
          </w:p>
        </w:tc>
        <w:tc>
          <w:tcPr>
            <w:tcW w:w="853" w:type="dxa"/>
            <w:tcBorders>
              <w:top w:val="nil"/>
              <w:left w:val="nil"/>
              <w:bottom w:val="nil"/>
              <w:right w:val="nil"/>
            </w:tcBorders>
            <w:noWrap w:val="0"/>
            <w:tcMar>
              <w:top w:w="-1" w:type="dxa"/>
              <w:left w:w="-1" w:type="dxa"/>
              <w:bottom w:w="-1" w:type="dxa"/>
              <w:right w:w="-1" w:type="dxa"/>
            </w:tcMar>
            <w:vAlign w:val="center"/>
          </w:tcPr>
          <w:p w14:paraId="01EF56B7">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β</w:t>
            </w:r>
          </w:p>
        </w:tc>
        <w:tc>
          <w:tcPr>
            <w:tcW w:w="1273" w:type="dxa"/>
            <w:tcBorders>
              <w:top w:val="nil"/>
              <w:left w:val="nil"/>
              <w:bottom w:val="nil"/>
              <w:right w:val="nil"/>
            </w:tcBorders>
            <w:noWrap w:val="0"/>
            <w:tcMar>
              <w:top w:w="-1" w:type="dxa"/>
              <w:left w:w="-1" w:type="dxa"/>
              <w:bottom w:w="-1" w:type="dxa"/>
              <w:right w:w="-1" w:type="dxa"/>
            </w:tcMar>
            <w:vAlign w:val="center"/>
          </w:tcPr>
          <w:p w14:paraId="2EE46190">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0.14 (−0.02 to 0.31)</w:t>
            </w:r>
          </w:p>
        </w:tc>
        <w:tc>
          <w:tcPr>
            <w:tcW w:w="964" w:type="dxa"/>
            <w:tcBorders>
              <w:top w:val="nil"/>
              <w:left w:val="nil"/>
              <w:bottom w:val="nil"/>
              <w:right w:val="nil"/>
            </w:tcBorders>
            <w:noWrap w:val="0"/>
            <w:tcMar>
              <w:top w:w="-1" w:type="dxa"/>
              <w:left w:w="-1" w:type="dxa"/>
              <w:bottom w:w="-1" w:type="dxa"/>
              <w:right w:w="-1" w:type="dxa"/>
            </w:tcMar>
            <w:vAlign w:val="center"/>
          </w:tcPr>
          <w:p w14:paraId="5654414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0.084</w:t>
            </w:r>
          </w:p>
        </w:tc>
        <w:tc>
          <w:tcPr>
            <w:tcW w:w="748" w:type="dxa"/>
            <w:tcBorders>
              <w:top w:val="nil"/>
              <w:left w:val="nil"/>
              <w:bottom w:val="nil"/>
              <w:right w:val="nil"/>
            </w:tcBorders>
            <w:noWrap w:val="0"/>
            <w:tcMar>
              <w:top w:w="-1" w:type="dxa"/>
              <w:left w:w="-1" w:type="dxa"/>
              <w:bottom w:w="-1" w:type="dxa"/>
              <w:right w:w="-1" w:type="dxa"/>
            </w:tcMar>
            <w:vAlign w:val="center"/>
          </w:tcPr>
          <w:p w14:paraId="0AE12873">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1737</w:t>
            </w:r>
          </w:p>
        </w:tc>
      </w:tr>
      <w:tr w14:paraId="0CE34FA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429DFF21">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DXA continuous</w:t>
            </w:r>
          </w:p>
        </w:tc>
        <w:tc>
          <w:tcPr>
            <w:tcW w:w="0" w:type="auto"/>
            <w:tcBorders>
              <w:top w:val="nil"/>
              <w:left w:val="nil"/>
              <w:bottom w:val="nil"/>
              <w:right w:val="nil"/>
            </w:tcBorders>
            <w:noWrap w:val="0"/>
            <w:tcMar>
              <w:top w:w="-1" w:type="dxa"/>
              <w:left w:w="-1" w:type="dxa"/>
              <w:bottom w:w="-1" w:type="dxa"/>
              <w:right w:w="-1" w:type="dxa"/>
            </w:tcMar>
            <w:vAlign w:val="center"/>
          </w:tcPr>
          <w:p w14:paraId="7CFE7AD0">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Total hip T-score</w:t>
            </w:r>
          </w:p>
        </w:tc>
        <w:tc>
          <w:tcPr>
            <w:tcW w:w="1631" w:type="dxa"/>
            <w:tcBorders>
              <w:top w:val="nil"/>
              <w:left w:val="nil"/>
              <w:bottom w:val="nil"/>
              <w:right w:val="nil"/>
            </w:tcBorders>
            <w:noWrap w:val="0"/>
            <w:tcMar>
              <w:top w:w="-1" w:type="dxa"/>
              <w:left w:w="-1" w:type="dxa"/>
              <w:bottom w:w="-1" w:type="dxa"/>
              <w:right w:w="-1" w:type="dxa"/>
            </w:tcMar>
            <w:vAlign w:val="center"/>
          </w:tcPr>
          <w:p w14:paraId="615E55DE">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Long-term systemic GC exposure</w:t>
            </w:r>
          </w:p>
        </w:tc>
        <w:tc>
          <w:tcPr>
            <w:tcW w:w="853" w:type="dxa"/>
            <w:tcBorders>
              <w:top w:val="nil"/>
              <w:left w:val="nil"/>
              <w:bottom w:val="nil"/>
              <w:right w:val="nil"/>
            </w:tcBorders>
            <w:noWrap w:val="0"/>
            <w:tcMar>
              <w:top w:w="-1" w:type="dxa"/>
              <w:left w:w="-1" w:type="dxa"/>
              <w:bottom w:w="-1" w:type="dxa"/>
              <w:right w:w="-1" w:type="dxa"/>
            </w:tcMar>
            <w:vAlign w:val="center"/>
          </w:tcPr>
          <w:p w14:paraId="25486FD2">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β</w:t>
            </w:r>
          </w:p>
        </w:tc>
        <w:tc>
          <w:tcPr>
            <w:tcW w:w="1273" w:type="dxa"/>
            <w:tcBorders>
              <w:top w:val="nil"/>
              <w:left w:val="nil"/>
              <w:bottom w:val="nil"/>
              <w:right w:val="nil"/>
            </w:tcBorders>
            <w:noWrap w:val="0"/>
            <w:tcMar>
              <w:top w:w="-1" w:type="dxa"/>
              <w:left w:w="-1" w:type="dxa"/>
              <w:bottom w:w="-1" w:type="dxa"/>
              <w:right w:w="-1" w:type="dxa"/>
            </w:tcMar>
            <w:vAlign w:val="center"/>
          </w:tcPr>
          <w:p w14:paraId="66663E90">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0.10 (−0.34 to 0.54)</w:t>
            </w:r>
          </w:p>
        </w:tc>
        <w:tc>
          <w:tcPr>
            <w:tcW w:w="964" w:type="dxa"/>
            <w:tcBorders>
              <w:top w:val="nil"/>
              <w:left w:val="nil"/>
              <w:bottom w:val="nil"/>
              <w:right w:val="nil"/>
            </w:tcBorders>
            <w:noWrap w:val="0"/>
            <w:tcMar>
              <w:top w:w="-1" w:type="dxa"/>
              <w:left w:w="-1" w:type="dxa"/>
              <w:bottom w:w="-1" w:type="dxa"/>
              <w:right w:w="-1" w:type="dxa"/>
            </w:tcMar>
            <w:vAlign w:val="center"/>
          </w:tcPr>
          <w:p w14:paraId="1E160EF0">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0.666</w:t>
            </w:r>
          </w:p>
        </w:tc>
        <w:tc>
          <w:tcPr>
            <w:tcW w:w="748" w:type="dxa"/>
            <w:tcBorders>
              <w:top w:val="nil"/>
              <w:left w:val="nil"/>
              <w:bottom w:val="nil"/>
              <w:right w:val="nil"/>
            </w:tcBorders>
            <w:noWrap w:val="0"/>
            <w:tcMar>
              <w:top w:w="-1" w:type="dxa"/>
              <w:left w:w="-1" w:type="dxa"/>
              <w:bottom w:w="-1" w:type="dxa"/>
              <w:right w:w="-1" w:type="dxa"/>
            </w:tcMar>
            <w:vAlign w:val="center"/>
          </w:tcPr>
          <w:p w14:paraId="1DD9168C">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1737</w:t>
            </w:r>
          </w:p>
        </w:tc>
      </w:tr>
      <w:tr w14:paraId="4CD2154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2621AC67">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Biomarker</w:t>
            </w:r>
          </w:p>
        </w:tc>
        <w:tc>
          <w:tcPr>
            <w:tcW w:w="0" w:type="auto"/>
            <w:tcBorders>
              <w:top w:val="nil"/>
              <w:left w:val="nil"/>
              <w:bottom w:val="nil"/>
              <w:right w:val="nil"/>
            </w:tcBorders>
            <w:noWrap w:val="0"/>
            <w:tcMar>
              <w:top w:w="-1" w:type="dxa"/>
              <w:left w:w="-1" w:type="dxa"/>
              <w:bottom w:w="-1" w:type="dxa"/>
              <w:right w:w="-1" w:type="dxa"/>
            </w:tcMar>
            <w:vAlign w:val="center"/>
          </w:tcPr>
          <w:p w14:paraId="56C8AEE3">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PINP</w:t>
            </w:r>
          </w:p>
        </w:tc>
        <w:tc>
          <w:tcPr>
            <w:tcW w:w="1631" w:type="dxa"/>
            <w:tcBorders>
              <w:top w:val="nil"/>
              <w:left w:val="nil"/>
              <w:bottom w:val="nil"/>
              <w:right w:val="nil"/>
            </w:tcBorders>
            <w:noWrap w:val="0"/>
            <w:tcMar>
              <w:top w:w="-1" w:type="dxa"/>
              <w:left w:w="-1" w:type="dxa"/>
              <w:bottom w:w="-1" w:type="dxa"/>
              <w:right w:w="-1" w:type="dxa"/>
            </w:tcMar>
            <w:vAlign w:val="center"/>
          </w:tcPr>
          <w:p w14:paraId="5E48B163">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Self-reported RA history</w:t>
            </w:r>
          </w:p>
        </w:tc>
        <w:tc>
          <w:tcPr>
            <w:tcW w:w="853" w:type="dxa"/>
            <w:tcBorders>
              <w:top w:val="nil"/>
              <w:left w:val="nil"/>
              <w:bottom w:val="nil"/>
              <w:right w:val="nil"/>
            </w:tcBorders>
            <w:noWrap w:val="0"/>
            <w:tcMar>
              <w:top w:w="-1" w:type="dxa"/>
              <w:left w:w="-1" w:type="dxa"/>
              <w:bottom w:w="-1" w:type="dxa"/>
              <w:right w:w="-1" w:type="dxa"/>
            </w:tcMar>
            <w:vAlign w:val="center"/>
          </w:tcPr>
          <w:p w14:paraId="038F4CA0">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GMR</w:t>
            </w:r>
          </w:p>
        </w:tc>
        <w:tc>
          <w:tcPr>
            <w:tcW w:w="1273" w:type="dxa"/>
            <w:tcBorders>
              <w:top w:val="nil"/>
              <w:left w:val="nil"/>
              <w:bottom w:val="nil"/>
              <w:right w:val="nil"/>
            </w:tcBorders>
            <w:noWrap w:val="0"/>
            <w:tcMar>
              <w:top w:w="-1" w:type="dxa"/>
              <w:left w:w="-1" w:type="dxa"/>
              <w:bottom w:w="-1" w:type="dxa"/>
              <w:right w:w="-1" w:type="dxa"/>
            </w:tcMar>
            <w:vAlign w:val="center"/>
          </w:tcPr>
          <w:p w14:paraId="2FEDC836">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0.97 (0.92 to 1.02)</w:t>
            </w:r>
          </w:p>
        </w:tc>
        <w:tc>
          <w:tcPr>
            <w:tcW w:w="964" w:type="dxa"/>
            <w:tcBorders>
              <w:top w:val="nil"/>
              <w:left w:val="nil"/>
              <w:bottom w:val="nil"/>
              <w:right w:val="nil"/>
            </w:tcBorders>
            <w:noWrap w:val="0"/>
            <w:tcMar>
              <w:top w:w="-1" w:type="dxa"/>
              <w:left w:w="-1" w:type="dxa"/>
              <w:bottom w:w="-1" w:type="dxa"/>
              <w:right w:w="-1" w:type="dxa"/>
            </w:tcMar>
            <w:vAlign w:val="center"/>
          </w:tcPr>
          <w:p w14:paraId="0A916B24">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0.199</w:t>
            </w:r>
          </w:p>
        </w:tc>
        <w:tc>
          <w:tcPr>
            <w:tcW w:w="748" w:type="dxa"/>
            <w:tcBorders>
              <w:top w:val="nil"/>
              <w:left w:val="nil"/>
              <w:bottom w:val="nil"/>
              <w:right w:val="nil"/>
            </w:tcBorders>
            <w:noWrap w:val="0"/>
            <w:tcMar>
              <w:top w:w="-1" w:type="dxa"/>
              <w:left w:w="-1" w:type="dxa"/>
              <w:bottom w:w="-1" w:type="dxa"/>
              <w:right w:w="-1" w:type="dxa"/>
            </w:tcMar>
            <w:vAlign w:val="center"/>
          </w:tcPr>
          <w:p w14:paraId="001F7690">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1739</w:t>
            </w:r>
          </w:p>
        </w:tc>
      </w:tr>
      <w:tr w14:paraId="53D4DA9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6DA8A3C2">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Biomarker</w:t>
            </w:r>
          </w:p>
        </w:tc>
        <w:tc>
          <w:tcPr>
            <w:tcW w:w="0" w:type="auto"/>
            <w:tcBorders>
              <w:top w:val="nil"/>
              <w:left w:val="nil"/>
              <w:bottom w:val="nil"/>
              <w:right w:val="nil"/>
            </w:tcBorders>
            <w:noWrap w:val="0"/>
            <w:tcMar>
              <w:top w:w="-1" w:type="dxa"/>
              <w:left w:w="-1" w:type="dxa"/>
              <w:bottom w:w="-1" w:type="dxa"/>
              <w:right w:w="-1" w:type="dxa"/>
            </w:tcMar>
            <w:vAlign w:val="center"/>
          </w:tcPr>
          <w:p w14:paraId="3D3C368F">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PINP</w:t>
            </w:r>
          </w:p>
        </w:tc>
        <w:tc>
          <w:tcPr>
            <w:tcW w:w="1631" w:type="dxa"/>
            <w:tcBorders>
              <w:top w:val="nil"/>
              <w:left w:val="nil"/>
              <w:bottom w:val="nil"/>
              <w:right w:val="nil"/>
            </w:tcBorders>
            <w:noWrap w:val="0"/>
            <w:tcMar>
              <w:top w:w="-1" w:type="dxa"/>
              <w:left w:w="-1" w:type="dxa"/>
              <w:bottom w:w="-1" w:type="dxa"/>
              <w:right w:w="-1" w:type="dxa"/>
            </w:tcMar>
            <w:vAlign w:val="center"/>
          </w:tcPr>
          <w:p w14:paraId="7743EC4F">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Long-term systemic GC exposure</w:t>
            </w:r>
          </w:p>
        </w:tc>
        <w:tc>
          <w:tcPr>
            <w:tcW w:w="853" w:type="dxa"/>
            <w:tcBorders>
              <w:top w:val="nil"/>
              <w:left w:val="nil"/>
              <w:bottom w:val="nil"/>
              <w:right w:val="nil"/>
            </w:tcBorders>
            <w:noWrap w:val="0"/>
            <w:tcMar>
              <w:top w:w="-1" w:type="dxa"/>
              <w:left w:w="-1" w:type="dxa"/>
              <w:bottom w:w="-1" w:type="dxa"/>
              <w:right w:w="-1" w:type="dxa"/>
            </w:tcMar>
            <w:vAlign w:val="center"/>
          </w:tcPr>
          <w:p w14:paraId="2B934516">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GMR</w:t>
            </w:r>
          </w:p>
        </w:tc>
        <w:tc>
          <w:tcPr>
            <w:tcW w:w="1273" w:type="dxa"/>
            <w:tcBorders>
              <w:top w:val="nil"/>
              <w:left w:val="nil"/>
              <w:bottom w:val="nil"/>
              <w:right w:val="nil"/>
            </w:tcBorders>
            <w:noWrap w:val="0"/>
            <w:tcMar>
              <w:top w:w="-1" w:type="dxa"/>
              <w:left w:w="-1" w:type="dxa"/>
              <w:bottom w:w="-1" w:type="dxa"/>
              <w:right w:w="-1" w:type="dxa"/>
            </w:tcMar>
            <w:vAlign w:val="center"/>
          </w:tcPr>
          <w:p w14:paraId="33DB710A">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0.87 (0.74 to 1.04)</w:t>
            </w:r>
          </w:p>
        </w:tc>
        <w:tc>
          <w:tcPr>
            <w:tcW w:w="964" w:type="dxa"/>
            <w:tcBorders>
              <w:top w:val="nil"/>
              <w:left w:val="nil"/>
              <w:bottom w:val="nil"/>
              <w:right w:val="nil"/>
            </w:tcBorders>
            <w:noWrap w:val="0"/>
            <w:tcMar>
              <w:top w:w="-1" w:type="dxa"/>
              <w:left w:w="-1" w:type="dxa"/>
              <w:bottom w:w="-1" w:type="dxa"/>
              <w:right w:w="-1" w:type="dxa"/>
            </w:tcMar>
            <w:vAlign w:val="center"/>
          </w:tcPr>
          <w:p w14:paraId="09552B8B">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0.125</w:t>
            </w:r>
          </w:p>
        </w:tc>
        <w:tc>
          <w:tcPr>
            <w:tcW w:w="748" w:type="dxa"/>
            <w:tcBorders>
              <w:top w:val="nil"/>
              <w:left w:val="nil"/>
              <w:bottom w:val="nil"/>
              <w:right w:val="nil"/>
            </w:tcBorders>
            <w:noWrap w:val="0"/>
            <w:tcMar>
              <w:top w:w="-1" w:type="dxa"/>
              <w:left w:w="-1" w:type="dxa"/>
              <w:bottom w:w="-1" w:type="dxa"/>
              <w:right w:w="-1" w:type="dxa"/>
            </w:tcMar>
            <w:vAlign w:val="center"/>
          </w:tcPr>
          <w:p w14:paraId="19CAF27E">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1739</w:t>
            </w:r>
          </w:p>
        </w:tc>
      </w:tr>
      <w:tr w14:paraId="18096F1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676215A6">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Biomarker</w:t>
            </w:r>
          </w:p>
        </w:tc>
        <w:tc>
          <w:tcPr>
            <w:tcW w:w="0" w:type="auto"/>
            <w:tcBorders>
              <w:top w:val="nil"/>
              <w:left w:val="nil"/>
              <w:bottom w:val="nil"/>
              <w:right w:val="nil"/>
            </w:tcBorders>
            <w:noWrap w:val="0"/>
            <w:tcMar>
              <w:top w:w="-1" w:type="dxa"/>
              <w:left w:w="-1" w:type="dxa"/>
              <w:bottom w:w="-1" w:type="dxa"/>
              <w:right w:w="-1" w:type="dxa"/>
            </w:tcMar>
            <w:vAlign w:val="center"/>
          </w:tcPr>
          <w:p w14:paraId="479B64EF">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Osteocalcin</w:t>
            </w:r>
          </w:p>
        </w:tc>
        <w:tc>
          <w:tcPr>
            <w:tcW w:w="1631" w:type="dxa"/>
            <w:tcBorders>
              <w:top w:val="nil"/>
              <w:left w:val="nil"/>
              <w:bottom w:val="nil"/>
              <w:right w:val="nil"/>
            </w:tcBorders>
            <w:noWrap w:val="0"/>
            <w:tcMar>
              <w:top w:w="-1" w:type="dxa"/>
              <w:left w:w="-1" w:type="dxa"/>
              <w:bottom w:w="-1" w:type="dxa"/>
              <w:right w:w="-1" w:type="dxa"/>
            </w:tcMar>
            <w:vAlign w:val="center"/>
          </w:tcPr>
          <w:p w14:paraId="02F6B7B7">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Self-reported RA history</w:t>
            </w:r>
          </w:p>
        </w:tc>
        <w:tc>
          <w:tcPr>
            <w:tcW w:w="853" w:type="dxa"/>
            <w:tcBorders>
              <w:top w:val="nil"/>
              <w:left w:val="nil"/>
              <w:bottom w:val="nil"/>
              <w:right w:val="nil"/>
            </w:tcBorders>
            <w:noWrap w:val="0"/>
            <w:tcMar>
              <w:top w:w="-1" w:type="dxa"/>
              <w:left w:w="-1" w:type="dxa"/>
              <w:bottom w:w="-1" w:type="dxa"/>
              <w:right w:w="-1" w:type="dxa"/>
            </w:tcMar>
            <w:vAlign w:val="center"/>
          </w:tcPr>
          <w:p w14:paraId="5D24CCE7">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GMR</w:t>
            </w:r>
          </w:p>
        </w:tc>
        <w:tc>
          <w:tcPr>
            <w:tcW w:w="1273" w:type="dxa"/>
            <w:tcBorders>
              <w:top w:val="nil"/>
              <w:left w:val="nil"/>
              <w:bottom w:val="nil"/>
              <w:right w:val="nil"/>
            </w:tcBorders>
            <w:noWrap w:val="0"/>
            <w:tcMar>
              <w:top w:w="-1" w:type="dxa"/>
              <w:left w:w="-1" w:type="dxa"/>
              <w:bottom w:w="-1" w:type="dxa"/>
              <w:right w:w="-1" w:type="dxa"/>
            </w:tcMar>
            <w:vAlign w:val="center"/>
          </w:tcPr>
          <w:p w14:paraId="63D2A641">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1.02 (0.98 to 1.07)</w:t>
            </w:r>
          </w:p>
        </w:tc>
        <w:tc>
          <w:tcPr>
            <w:tcW w:w="964" w:type="dxa"/>
            <w:tcBorders>
              <w:top w:val="nil"/>
              <w:left w:val="nil"/>
              <w:bottom w:val="nil"/>
              <w:right w:val="nil"/>
            </w:tcBorders>
            <w:noWrap w:val="0"/>
            <w:tcMar>
              <w:top w:w="-1" w:type="dxa"/>
              <w:left w:w="-1" w:type="dxa"/>
              <w:bottom w:w="-1" w:type="dxa"/>
              <w:right w:w="-1" w:type="dxa"/>
            </w:tcMar>
            <w:vAlign w:val="center"/>
          </w:tcPr>
          <w:p w14:paraId="2B63C3E9">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0.344</w:t>
            </w:r>
          </w:p>
        </w:tc>
        <w:tc>
          <w:tcPr>
            <w:tcW w:w="748" w:type="dxa"/>
            <w:tcBorders>
              <w:top w:val="nil"/>
              <w:left w:val="nil"/>
              <w:bottom w:val="nil"/>
              <w:right w:val="nil"/>
            </w:tcBorders>
            <w:noWrap w:val="0"/>
            <w:tcMar>
              <w:top w:w="-1" w:type="dxa"/>
              <w:left w:w="-1" w:type="dxa"/>
              <w:bottom w:w="-1" w:type="dxa"/>
              <w:right w:w="-1" w:type="dxa"/>
            </w:tcMar>
            <w:vAlign w:val="center"/>
          </w:tcPr>
          <w:p w14:paraId="5EF787D9">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1739</w:t>
            </w:r>
          </w:p>
        </w:tc>
      </w:tr>
      <w:tr w14:paraId="49D5411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7815CA7F">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Biomarker</w:t>
            </w:r>
          </w:p>
        </w:tc>
        <w:tc>
          <w:tcPr>
            <w:tcW w:w="0" w:type="auto"/>
            <w:tcBorders>
              <w:top w:val="nil"/>
              <w:left w:val="nil"/>
              <w:bottom w:val="nil"/>
              <w:right w:val="nil"/>
            </w:tcBorders>
            <w:noWrap w:val="0"/>
            <w:tcMar>
              <w:top w:w="-1" w:type="dxa"/>
              <w:left w:w="-1" w:type="dxa"/>
              <w:bottom w:w="-1" w:type="dxa"/>
              <w:right w:w="-1" w:type="dxa"/>
            </w:tcMar>
            <w:vAlign w:val="center"/>
          </w:tcPr>
          <w:p w14:paraId="66A68CC4">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Osteocalcin</w:t>
            </w:r>
          </w:p>
        </w:tc>
        <w:tc>
          <w:tcPr>
            <w:tcW w:w="1631" w:type="dxa"/>
            <w:tcBorders>
              <w:top w:val="nil"/>
              <w:left w:val="nil"/>
              <w:bottom w:val="nil"/>
              <w:right w:val="nil"/>
            </w:tcBorders>
            <w:noWrap w:val="0"/>
            <w:tcMar>
              <w:top w:w="-1" w:type="dxa"/>
              <w:left w:w="-1" w:type="dxa"/>
              <w:bottom w:w="-1" w:type="dxa"/>
              <w:right w:w="-1" w:type="dxa"/>
            </w:tcMar>
            <w:vAlign w:val="center"/>
          </w:tcPr>
          <w:p w14:paraId="32EA3BB9">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Long-term systemic GC exposure</w:t>
            </w:r>
          </w:p>
        </w:tc>
        <w:tc>
          <w:tcPr>
            <w:tcW w:w="853" w:type="dxa"/>
            <w:tcBorders>
              <w:top w:val="nil"/>
              <w:left w:val="nil"/>
              <w:bottom w:val="nil"/>
              <w:right w:val="nil"/>
            </w:tcBorders>
            <w:noWrap w:val="0"/>
            <w:tcMar>
              <w:top w:w="-1" w:type="dxa"/>
              <w:left w:w="-1" w:type="dxa"/>
              <w:bottom w:w="-1" w:type="dxa"/>
              <w:right w:w="-1" w:type="dxa"/>
            </w:tcMar>
            <w:vAlign w:val="center"/>
          </w:tcPr>
          <w:p w14:paraId="53DC582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GMR</w:t>
            </w:r>
          </w:p>
        </w:tc>
        <w:tc>
          <w:tcPr>
            <w:tcW w:w="1273" w:type="dxa"/>
            <w:tcBorders>
              <w:top w:val="nil"/>
              <w:left w:val="nil"/>
              <w:bottom w:val="nil"/>
              <w:right w:val="nil"/>
            </w:tcBorders>
            <w:noWrap w:val="0"/>
            <w:tcMar>
              <w:top w:w="-1" w:type="dxa"/>
              <w:left w:w="-1" w:type="dxa"/>
              <w:bottom w:w="-1" w:type="dxa"/>
              <w:right w:w="-1" w:type="dxa"/>
            </w:tcMar>
            <w:vAlign w:val="center"/>
          </w:tcPr>
          <w:p w14:paraId="240DE856">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0.83 (0.71 to 0.97)</w:t>
            </w:r>
          </w:p>
        </w:tc>
        <w:tc>
          <w:tcPr>
            <w:tcW w:w="964" w:type="dxa"/>
            <w:tcBorders>
              <w:top w:val="nil"/>
              <w:left w:val="nil"/>
              <w:bottom w:val="nil"/>
              <w:right w:val="nil"/>
            </w:tcBorders>
            <w:noWrap w:val="0"/>
            <w:tcMar>
              <w:top w:w="-1" w:type="dxa"/>
              <w:left w:w="-1" w:type="dxa"/>
              <w:bottom w:w="-1" w:type="dxa"/>
              <w:right w:w="-1" w:type="dxa"/>
            </w:tcMar>
            <w:vAlign w:val="center"/>
          </w:tcPr>
          <w:p w14:paraId="76BD9A3F">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0.019</w:t>
            </w:r>
          </w:p>
        </w:tc>
        <w:tc>
          <w:tcPr>
            <w:tcW w:w="748" w:type="dxa"/>
            <w:tcBorders>
              <w:top w:val="nil"/>
              <w:left w:val="nil"/>
              <w:bottom w:val="nil"/>
              <w:right w:val="nil"/>
            </w:tcBorders>
            <w:noWrap w:val="0"/>
            <w:tcMar>
              <w:top w:w="-1" w:type="dxa"/>
              <w:left w:w="-1" w:type="dxa"/>
              <w:bottom w:w="-1" w:type="dxa"/>
              <w:right w:w="-1" w:type="dxa"/>
            </w:tcMar>
            <w:vAlign w:val="center"/>
          </w:tcPr>
          <w:p w14:paraId="56CCF06E">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1739</w:t>
            </w:r>
          </w:p>
        </w:tc>
      </w:tr>
      <w:tr w14:paraId="29F3AC7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117B3E55">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Biomarker</w:t>
            </w:r>
          </w:p>
        </w:tc>
        <w:tc>
          <w:tcPr>
            <w:tcW w:w="0" w:type="auto"/>
            <w:tcBorders>
              <w:top w:val="nil"/>
              <w:left w:val="nil"/>
              <w:bottom w:val="nil"/>
              <w:right w:val="nil"/>
            </w:tcBorders>
            <w:noWrap w:val="0"/>
            <w:tcMar>
              <w:top w:w="-1" w:type="dxa"/>
              <w:left w:w="-1" w:type="dxa"/>
              <w:bottom w:w="-1" w:type="dxa"/>
              <w:right w:w="-1" w:type="dxa"/>
            </w:tcMar>
            <w:vAlign w:val="center"/>
          </w:tcPr>
          <w:p w14:paraId="035CDC6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β-CTX</w:t>
            </w:r>
          </w:p>
        </w:tc>
        <w:tc>
          <w:tcPr>
            <w:tcW w:w="1631" w:type="dxa"/>
            <w:tcBorders>
              <w:top w:val="nil"/>
              <w:left w:val="nil"/>
              <w:bottom w:val="nil"/>
              <w:right w:val="nil"/>
            </w:tcBorders>
            <w:noWrap w:val="0"/>
            <w:tcMar>
              <w:top w:w="-1" w:type="dxa"/>
              <w:left w:w="-1" w:type="dxa"/>
              <w:bottom w:w="-1" w:type="dxa"/>
              <w:right w:w="-1" w:type="dxa"/>
            </w:tcMar>
            <w:vAlign w:val="center"/>
          </w:tcPr>
          <w:p w14:paraId="4BCC7697">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Self-reported RA history</w:t>
            </w:r>
          </w:p>
        </w:tc>
        <w:tc>
          <w:tcPr>
            <w:tcW w:w="853" w:type="dxa"/>
            <w:tcBorders>
              <w:top w:val="nil"/>
              <w:left w:val="nil"/>
              <w:bottom w:val="nil"/>
              <w:right w:val="nil"/>
            </w:tcBorders>
            <w:noWrap w:val="0"/>
            <w:tcMar>
              <w:top w:w="-1" w:type="dxa"/>
              <w:left w:w="-1" w:type="dxa"/>
              <w:bottom w:w="-1" w:type="dxa"/>
              <w:right w:w="-1" w:type="dxa"/>
            </w:tcMar>
            <w:vAlign w:val="center"/>
          </w:tcPr>
          <w:p w14:paraId="3D2A0597">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GMR</w:t>
            </w:r>
          </w:p>
        </w:tc>
        <w:tc>
          <w:tcPr>
            <w:tcW w:w="1273" w:type="dxa"/>
            <w:tcBorders>
              <w:top w:val="nil"/>
              <w:left w:val="nil"/>
              <w:bottom w:val="nil"/>
              <w:right w:val="nil"/>
            </w:tcBorders>
            <w:noWrap w:val="0"/>
            <w:tcMar>
              <w:top w:w="-1" w:type="dxa"/>
              <w:left w:w="-1" w:type="dxa"/>
              <w:bottom w:w="-1" w:type="dxa"/>
              <w:right w:w="-1" w:type="dxa"/>
            </w:tcMar>
            <w:vAlign w:val="center"/>
          </w:tcPr>
          <w:p w14:paraId="5240D0AA">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1.00 (0.93 to 1.08)</w:t>
            </w:r>
          </w:p>
        </w:tc>
        <w:tc>
          <w:tcPr>
            <w:tcW w:w="964" w:type="dxa"/>
            <w:tcBorders>
              <w:top w:val="nil"/>
              <w:left w:val="nil"/>
              <w:bottom w:val="nil"/>
              <w:right w:val="nil"/>
            </w:tcBorders>
            <w:noWrap w:val="0"/>
            <w:tcMar>
              <w:top w:w="-1" w:type="dxa"/>
              <w:left w:w="-1" w:type="dxa"/>
              <w:bottom w:w="-1" w:type="dxa"/>
              <w:right w:w="-1" w:type="dxa"/>
            </w:tcMar>
            <w:vAlign w:val="center"/>
          </w:tcPr>
          <w:p w14:paraId="5483CC92">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0.967</w:t>
            </w:r>
          </w:p>
        </w:tc>
        <w:tc>
          <w:tcPr>
            <w:tcW w:w="748" w:type="dxa"/>
            <w:tcBorders>
              <w:top w:val="nil"/>
              <w:left w:val="nil"/>
              <w:bottom w:val="nil"/>
              <w:right w:val="nil"/>
            </w:tcBorders>
            <w:noWrap w:val="0"/>
            <w:tcMar>
              <w:top w:w="-1" w:type="dxa"/>
              <w:left w:w="-1" w:type="dxa"/>
              <w:bottom w:w="-1" w:type="dxa"/>
              <w:right w:w="-1" w:type="dxa"/>
            </w:tcMar>
            <w:vAlign w:val="center"/>
          </w:tcPr>
          <w:p w14:paraId="5BA14062">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1739</w:t>
            </w:r>
          </w:p>
        </w:tc>
      </w:tr>
      <w:tr w14:paraId="2418744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594A2F43">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Biomarker</w:t>
            </w:r>
          </w:p>
        </w:tc>
        <w:tc>
          <w:tcPr>
            <w:tcW w:w="0" w:type="auto"/>
            <w:tcBorders>
              <w:top w:val="nil"/>
              <w:left w:val="nil"/>
              <w:bottom w:val="nil"/>
              <w:right w:val="nil"/>
            </w:tcBorders>
            <w:noWrap w:val="0"/>
            <w:tcMar>
              <w:top w:w="-1" w:type="dxa"/>
              <w:left w:w="-1" w:type="dxa"/>
              <w:bottom w:w="-1" w:type="dxa"/>
              <w:right w:w="-1" w:type="dxa"/>
            </w:tcMar>
            <w:vAlign w:val="center"/>
          </w:tcPr>
          <w:p w14:paraId="72DF4E31">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β-CTX</w:t>
            </w:r>
          </w:p>
        </w:tc>
        <w:tc>
          <w:tcPr>
            <w:tcW w:w="1631" w:type="dxa"/>
            <w:tcBorders>
              <w:top w:val="nil"/>
              <w:left w:val="nil"/>
              <w:bottom w:val="nil"/>
              <w:right w:val="nil"/>
            </w:tcBorders>
            <w:noWrap w:val="0"/>
            <w:tcMar>
              <w:top w:w="-1" w:type="dxa"/>
              <w:left w:w="-1" w:type="dxa"/>
              <w:bottom w:w="-1" w:type="dxa"/>
              <w:right w:w="-1" w:type="dxa"/>
            </w:tcMar>
            <w:vAlign w:val="center"/>
          </w:tcPr>
          <w:p w14:paraId="2A3611B0">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Long-term systemic GC exposure</w:t>
            </w:r>
          </w:p>
        </w:tc>
        <w:tc>
          <w:tcPr>
            <w:tcW w:w="853" w:type="dxa"/>
            <w:tcBorders>
              <w:top w:val="nil"/>
              <w:left w:val="nil"/>
              <w:bottom w:val="nil"/>
              <w:right w:val="nil"/>
            </w:tcBorders>
            <w:noWrap w:val="0"/>
            <w:tcMar>
              <w:top w:w="-1" w:type="dxa"/>
              <w:left w:w="-1" w:type="dxa"/>
              <w:bottom w:w="-1" w:type="dxa"/>
              <w:right w:w="-1" w:type="dxa"/>
            </w:tcMar>
            <w:vAlign w:val="center"/>
          </w:tcPr>
          <w:p w14:paraId="38C90BBD">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GMR</w:t>
            </w:r>
          </w:p>
        </w:tc>
        <w:tc>
          <w:tcPr>
            <w:tcW w:w="1273" w:type="dxa"/>
            <w:tcBorders>
              <w:top w:val="nil"/>
              <w:left w:val="nil"/>
              <w:bottom w:val="nil"/>
              <w:right w:val="nil"/>
            </w:tcBorders>
            <w:noWrap w:val="0"/>
            <w:tcMar>
              <w:top w:w="-1" w:type="dxa"/>
              <w:left w:w="-1" w:type="dxa"/>
              <w:bottom w:w="-1" w:type="dxa"/>
              <w:right w:w="-1" w:type="dxa"/>
            </w:tcMar>
            <w:vAlign w:val="center"/>
          </w:tcPr>
          <w:p w14:paraId="3EAB5C55">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0.90 (0.76 to 1.07)</w:t>
            </w:r>
          </w:p>
        </w:tc>
        <w:tc>
          <w:tcPr>
            <w:tcW w:w="964" w:type="dxa"/>
            <w:tcBorders>
              <w:top w:val="nil"/>
              <w:left w:val="nil"/>
              <w:bottom w:val="nil"/>
              <w:right w:val="nil"/>
            </w:tcBorders>
            <w:noWrap w:val="0"/>
            <w:tcMar>
              <w:top w:w="-1" w:type="dxa"/>
              <w:left w:w="-1" w:type="dxa"/>
              <w:bottom w:w="-1" w:type="dxa"/>
              <w:right w:w="-1" w:type="dxa"/>
            </w:tcMar>
            <w:vAlign w:val="center"/>
          </w:tcPr>
          <w:p w14:paraId="38D1C760">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0.244</w:t>
            </w:r>
          </w:p>
        </w:tc>
        <w:tc>
          <w:tcPr>
            <w:tcW w:w="748" w:type="dxa"/>
            <w:tcBorders>
              <w:top w:val="nil"/>
              <w:left w:val="nil"/>
              <w:bottom w:val="nil"/>
              <w:right w:val="nil"/>
            </w:tcBorders>
            <w:noWrap w:val="0"/>
            <w:tcMar>
              <w:top w:w="-1" w:type="dxa"/>
              <w:left w:w="-1" w:type="dxa"/>
              <w:bottom w:w="-1" w:type="dxa"/>
              <w:right w:w="-1" w:type="dxa"/>
            </w:tcMar>
            <w:vAlign w:val="center"/>
          </w:tcPr>
          <w:p w14:paraId="6A1D1077">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1739</w:t>
            </w:r>
          </w:p>
        </w:tc>
      </w:tr>
      <w:tr w14:paraId="3DA2F21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5CFBBC43">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Objective function</w:t>
            </w:r>
          </w:p>
        </w:tc>
        <w:tc>
          <w:tcPr>
            <w:tcW w:w="0" w:type="auto"/>
            <w:tcBorders>
              <w:top w:val="nil"/>
              <w:left w:val="nil"/>
              <w:bottom w:val="nil"/>
              <w:right w:val="nil"/>
            </w:tcBorders>
            <w:noWrap w:val="0"/>
            <w:tcMar>
              <w:top w:w="-1" w:type="dxa"/>
              <w:left w:w="-1" w:type="dxa"/>
              <w:bottom w:w="-1" w:type="dxa"/>
              <w:right w:w="-1" w:type="dxa"/>
            </w:tcMar>
            <w:vAlign w:val="center"/>
          </w:tcPr>
          <w:p w14:paraId="343A3E43">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Grip strength (kg)</w:t>
            </w:r>
          </w:p>
        </w:tc>
        <w:tc>
          <w:tcPr>
            <w:tcW w:w="1631" w:type="dxa"/>
            <w:tcBorders>
              <w:top w:val="nil"/>
              <w:left w:val="nil"/>
              <w:bottom w:val="nil"/>
              <w:right w:val="nil"/>
            </w:tcBorders>
            <w:noWrap w:val="0"/>
            <w:tcMar>
              <w:top w:w="-1" w:type="dxa"/>
              <w:left w:w="-1" w:type="dxa"/>
              <w:bottom w:w="-1" w:type="dxa"/>
              <w:right w:w="-1" w:type="dxa"/>
            </w:tcMar>
            <w:vAlign w:val="center"/>
          </w:tcPr>
          <w:p w14:paraId="636438F2">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Self-reported RA history</w:t>
            </w:r>
          </w:p>
        </w:tc>
        <w:tc>
          <w:tcPr>
            <w:tcW w:w="853" w:type="dxa"/>
            <w:tcBorders>
              <w:top w:val="nil"/>
              <w:left w:val="nil"/>
              <w:bottom w:val="nil"/>
              <w:right w:val="nil"/>
            </w:tcBorders>
            <w:noWrap w:val="0"/>
            <w:tcMar>
              <w:top w:w="-1" w:type="dxa"/>
              <w:left w:w="-1" w:type="dxa"/>
              <w:bottom w:w="-1" w:type="dxa"/>
              <w:right w:w="-1" w:type="dxa"/>
            </w:tcMar>
            <w:vAlign w:val="center"/>
          </w:tcPr>
          <w:p w14:paraId="3122B78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β</w:t>
            </w:r>
          </w:p>
        </w:tc>
        <w:tc>
          <w:tcPr>
            <w:tcW w:w="1273" w:type="dxa"/>
            <w:tcBorders>
              <w:top w:val="nil"/>
              <w:left w:val="nil"/>
              <w:bottom w:val="nil"/>
              <w:right w:val="nil"/>
            </w:tcBorders>
            <w:noWrap w:val="0"/>
            <w:tcMar>
              <w:top w:w="-1" w:type="dxa"/>
              <w:left w:w="-1" w:type="dxa"/>
              <w:bottom w:w="-1" w:type="dxa"/>
              <w:right w:w="-1" w:type="dxa"/>
            </w:tcMar>
            <w:vAlign w:val="center"/>
          </w:tcPr>
          <w:p w14:paraId="17B22B12">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−0.15 (−1.04 to 0.73)</w:t>
            </w:r>
          </w:p>
        </w:tc>
        <w:tc>
          <w:tcPr>
            <w:tcW w:w="964" w:type="dxa"/>
            <w:tcBorders>
              <w:top w:val="nil"/>
              <w:left w:val="nil"/>
              <w:bottom w:val="nil"/>
              <w:right w:val="nil"/>
            </w:tcBorders>
            <w:noWrap w:val="0"/>
            <w:tcMar>
              <w:top w:w="-1" w:type="dxa"/>
              <w:left w:w="-1" w:type="dxa"/>
              <w:bottom w:w="-1" w:type="dxa"/>
              <w:right w:w="-1" w:type="dxa"/>
            </w:tcMar>
            <w:vAlign w:val="center"/>
          </w:tcPr>
          <w:p w14:paraId="7097CB3A">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0.733</w:t>
            </w:r>
          </w:p>
        </w:tc>
        <w:tc>
          <w:tcPr>
            <w:tcW w:w="748" w:type="dxa"/>
            <w:tcBorders>
              <w:top w:val="nil"/>
              <w:left w:val="nil"/>
              <w:bottom w:val="nil"/>
              <w:right w:val="nil"/>
            </w:tcBorders>
            <w:noWrap w:val="0"/>
            <w:tcMar>
              <w:top w:w="-1" w:type="dxa"/>
              <w:left w:w="-1" w:type="dxa"/>
              <w:bottom w:w="-1" w:type="dxa"/>
              <w:right w:w="-1" w:type="dxa"/>
            </w:tcMar>
            <w:vAlign w:val="center"/>
          </w:tcPr>
          <w:p w14:paraId="27FF0B35">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1728</w:t>
            </w:r>
          </w:p>
        </w:tc>
      </w:tr>
      <w:tr w14:paraId="1915E48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723C42DE">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Objective function</w:t>
            </w:r>
          </w:p>
        </w:tc>
        <w:tc>
          <w:tcPr>
            <w:tcW w:w="0" w:type="auto"/>
            <w:tcBorders>
              <w:top w:val="nil"/>
              <w:left w:val="nil"/>
              <w:bottom w:val="nil"/>
              <w:right w:val="nil"/>
            </w:tcBorders>
            <w:noWrap w:val="0"/>
            <w:tcMar>
              <w:top w:w="-1" w:type="dxa"/>
              <w:left w:w="-1" w:type="dxa"/>
              <w:bottom w:w="-1" w:type="dxa"/>
              <w:right w:w="-1" w:type="dxa"/>
            </w:tcMar>
            <w:vAlign w:val="center"/>
          </w:tcPr>
          <w:p w14:paraId="2238DBCD">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Grip strength (kg)</w:t>
            </w:r>
          </w:p>
        </w:tc>
        <w:tc>
          <w:tcPr>
            <w:tcW w:w="1631" w:type="dxa"/>
            <w:tcBorders>
              <w:top w:val="nil"/>
              <w:left w:val="nil"/>
              <w:bottom w:val="nil"/>
              <w:right w:val="nil"/>
            </w:tcBorders>
            <w:noWrap w:val="0"/>
            <w:tcMar>
              <w:top w:w="-1" w:type="dxa"/>
              <w:left w:w="-1" w:type="dxa"/>
              <w:bottom w:w="-1" w:type="dxa"/>
              <w:right w:w="-1" w:type="dxa"/>
            </w:tcMar>
            <w:vAlign w:val="center"/>
          </w:tcPr>
          <w:p w14:paraId="7FD4726B">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Long-term systemic GC exposure</w:t>
            </w:r>
          </w:p>
        </w:tc>
        <w:tc>
          <w:tcPr>
            <w:tcW w:w="853" w:type="dxa"/>
            <w:tcBorders>
              <w:top w:val="nil"/>
              <w:left w:val="nil"/>
              <w:bottom w:val="nil"/>
              <w:right w:val="nil"/>
            </w:tcBorders>
            <w:noWrap w:val="0"/>
            <w:tcMar>
              <w:top w:w="-1" w:type="dxa"/>
              <w:left w:w="-1" w:type="dxa"/>
              <w:bottom w:w="-1" w:type="dxa"/>
              <w:right w:w="-1" w:type="dxa"/>
            </w:tcMar>
            <w:vAlign w:val="center"/>
          </w:tcPr>
          <w:p w14:paraId="5D18BB6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β</w:t>
            </w:r>
          </w:p>
        </w:tc>
        <w:tc>
          <w:tcPr>
            <w:tcW w:w="1273" w:type="dxa"/>
            <w:tcBorders>
              <w:top w:val="nil"/>
              <w:left w:val="nil"/>
              <w:bottom w:val="nil"/>
              <w:right w:val="nil"/>
            </w:tcBorders>
            <w:noWrap w:val="0"/>
            <w:tcMar>
              <w:top w:w="-1" w:type="dxa"/>
              <w:left w:w="-1" w:type="dxa"/>
              <w:bottom w:w="-1" w:type="dxa"/>
              <w:right w:w="-1" w:type="dxa"/>
            </w:tcMar>
            <w:vAlign w:val="center"/>
          </w:tcPr>
          <w:p w14:paraId="55C74F91">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−3.82 (−6.40 to −1.24)</w:t>
            </w:r>
          </w:p>
        </w:tc>
        <w:tc>
          <w:tcPr>
            <w:tcW w:w="964" w:type="dxa"/>
            <w:tcBorders>
              <w:top w:val="nil"/>
              <w:left w:val="nil"/>
              <w:bottom w:val="nil"/>
              <w:right w:val="nil"/>
            </w:tcBorders>
            <w:noWrap w:val="0"/>
            <w:tcMar>
              <w:top w:w="-1" w:type="dxa"/>
              <w:left w:w="-1" w:type="dxa"/>
              <w:bottom w:w="-1" w:type="dxa"/>
              <w:right w:w="-1" w:type="dxa"/>
            </w:tcMar>
            <w:vAlign w:val="center"/>
          </w:tcPr>
          <w:p w14:paraId="72336891">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0.004</w:t>
            </w:r>
          </w:p>
        </w:tc>
        <w:tc>
          <w:tcPr>
            <w:tcW w:w="748" w:type="dxa"/>
            <w:tcBorders>
              <w:top w:val="nil"/>
              <w:left w:val="nil"/>
              <w:bottom w:val="nil"/>
              <w:right w:val="nil"/>
            </w:tcBorders>
            <w:noWrap w:val="0"/>
            <w:tcMar>
              <w:top w:w="-1" w:type="dxa"/>
              <w:left w:w="-1" w:type="dxa"/>
              <w:bottom w:w="-1" w:type="dxa"/>
              <w:right w:w="-1" w:type="dxa"/>
            </w:tcMar>
            <w:vAlign w:val="center"/>
          </w:tcPr>
          <w:p w14:paraId="6851A38F">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1728</w:t>
            </w:r>
          </w:p>
        </w:tc>
      </w:tr>
      <w:tr w14:paraId="73D4E33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0" w:type="auto"/>
            <w:tcBorders>
              <w:top w:val="nil"/>
              <w:left w:val="nil"/>
              <w:bottom w:val="nil"/>
              <w:right w:val="nil"/>
            </w:tcBorders>
            <w:noWrap w:val="0"/>
            <w:tcMar>
              <w:top w:w="-1" w:type="dxa"/>
              <w:left w:w="-1" w:type="dxa"/>
              <w:bottom w:w="-1" w:type="dxa"/>
              <w:right w:w="-1" w:type="dxa"/>
            </w:tcMar>
            <w:vAlign w:val="center"/>
          </w:tcPr>
          <w:p w14:paraId="001CD068">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Objective function</w:t>
            </w:r>
          </w:p>
        </w:tc>
        <w:tc>
          <w:tcPr>
            <w:tcW w:w="0" w:type="auto"/>
            <w:tcBorders>
              <w:top w:val="nil"/>
              <w:left w:val="nil"/>
              <w:bottom w:val="nil"/>
              <w:right w:val="nil"/>
            </w:tcBorders>
            <w:noWrap w:val="0"/>
            <w:tcMar>
              <w:top w:w="-1" w:type="dxa"/>
              <w:left w:w="-1" w:type="dxa"/>
              <w:bottom w:w="-1" w:type="dxa"/>
              <w:right w:w="-1" w:type="dxa"/>
            </w:tcMar>
            <w:vAlign w:val="center"/>
          </w:tcPr>
          <w:p w14:paraId="1DBD9D43">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Chair-stand time (s)</w:t>
            </w:r>
          </w:p>
        </w:tc>
        <w:tc>
          <w:tcPr>
            <w:tcW w:w="1631" w:type="dxa"/>
            <w:tcBorders>
              <w:top w:val="nil"/>
              <w:left w:val="nil"/>
              <w:bottom w:val="nil"/>
              <w:right w:val="nil"/>
            </w:tcBorders>
            <w:noWrap w:val="0"/>
            <w:tcMar>
              <w:top w:w="-1" w:type="dxa"/>
              <w:left w:w="-1" w:type="dxa"/>
              <w:bottom w:w="-1" w:type="dxa"/>
              <w:right w:w="-1" w:type="dxa"/>
            </w:tcMar>
            <w:vAlign w:val="center"/>
          </w:tcPr>
          <w:p w14:paraId="2EAC9F53">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Self-reported RA history</w:t>
            </w:r>
          </w:p>
        </w:tc>
        <w:tc>
          <w:tcPr>
            <w:tcW w:w="853" w:type="dxa"/>
            <w:tcBorders>
              <w:top w:val="nil"/>
              <w:left w:val="nil"/>
              <w:bottom w:val="nil"/>
              <w:right w:val="nil"/>
            </w:tcBorders>
            <w:noWrap w:val="0"/>
            <w:tcMar>
              <w:top w:w="-1" w:type="dxa"/>
              <w:left w:w="-1" w:type="dxa"/>
              <w:bottom w:w="-1" w:type="dxa"/>
              <w:right w:w="-1" w:type="dxa"/>
            </w:tcMar>
            <w:vAlign w:val="center"/>
          </w:tcPr>
          <w:p w14:paraId="7B5D3D5D">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β</w:t>
            </w:r>
          </w:p>
        </w:tc>
        <w:tc>
          <w:tcPr>
            <w:tcW w:w="1273" w:type="dxa"/>
            <w:tcBorders>
              <w:top w:val="nil"/>
              <w:left w:val="nil"/>
              <w:bottom w:val="nil"/>
              <w:right w:val="nil"/>
            </w:tcBorders>
            <w:noWrap w:val="0"/>
            <w:tcMar>
              <w:top w:w="-1" w:type="dxa"/>
              <w:left w:w="-1" w:type="dxa"/>
              <w:bottom w:w="-1" w:type="dxa"/>
              <w:right w:w="-1" w:type="dxa"/>
            </w:tcMar>
            <w:vAlign w:val="center"/>
          </w:tcPr>
          <w:p w14:paraId="131F2654">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0.39 (−0.31 to 1.09)</w:t>
            </w:r>
          </w:p>
        </w:tc>
        <w:tc>
          <w:tcPr>
            <w:tcW w:w="964" w:type="dxa"/>
            <w:tcBorders>
              <w:top w:val="nil"/>
              <w:left w:val="nil"/>
              <w:bottom w:val="nil"/>
              <w:right w:val="nil"/>
            </w:tcBorders>
            <w:noWrap w:val="0"/>
            <w:tcMar>
              <w:top w:w="-1" w:type="dxa"/>
              <w:left w:w="-1" w:type="dxa"/>
              <w:bottom w:w="-1" w:type="dxa"/>
              <w:right w:w="-1" w:type="dxa"/>
            </w:tcMar>
            <w:vAlign w:val="center"/>
          </w:tcPr>
          <w:p w14:paraId="05CC5FAB">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0.278</w:t>
            </w:r>
          </w:p>
        </w:tc>
        <w:tc>
          <w:tcPr>
            <w:tcW w:w="748" w:type="dxa"/>
            <w:tcBorders>
              <w:top w:val="nil"/>
              <w:left w:val="nil"/>
              <w:bottom w:val="nil"/>
              <w:right w:val="nil"/>
            </w:tcBorders>
            <w:noWrap w:val="0"/>
            <w:tcMar>
              <w:top w:w="-1" w:type="dxa"/>
              <w:left w:w="-1" w:type="dxa"/>
              <w:bottom w:w="-1" w:type="dxa"/>
              <w:right w:w="-1" w:type="dxa"/>
            </w:tcMar>
            <w:vAlign w:val="center"/>
          </w:tcPr>
          <w:p w14:paraId="15212EBF">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1725</w:t>
            </w:r>
          </w:p>
        </w:tc>
      </w:tr>
      <w:tr w14:paraId="0BCF103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350" w:type="dxa"/>
            <w:tcBorders>
              <w:top w:val="nil"/>
              <w:left w:val="nil"/>
              <w:bottom w:val="single" w:color="auto" w:sz="12" w:space="0"/>
              <w:right w:val="nil"/>
            </w:tcBorders>
            <w:noWrap w:val="0"/>
            <w:tcMar>
              <w:top w:w="-1" w:type="dxa"/>
              <w:left w:w="-1" w:type="dxa"/>
              <w:bottom w:w="-1" w:type="dxa"/>
              <w:right w:w="-1" w:type="dxa"/>
            </w:tcMar>
            <w:vAlign w:val="center"/>
          </w:tcPr>
          <w:p w14:paraId="21873874">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Objective function</w:t>
            </w:r>
          </w:p>
        </w:tc>
        <w:tc>
          <w:tcPr>
            <w:tcW w:w="1702" w:type="dxa"/>
            <w:tcBorders>
              <w:top w:val="nil"/>
              <w:left w:val="nil"/>
              <w:bottom w:val="single" w:color="auto" w:sz="12" w:space="0"/>
              <w:right w:val="nil"/>
            </w:tcBorders>
            <w:noWrap w:val="0"/>
            <w:tcMar>
              <w:top w:w="-1" w:type="dxa"/>
              <w:left w:w="-1" w:type="dxa"/>
              <w:bottom w:w="-1" w:type="dxa"/>
              <w:right w:w="-1" w:type="dxa"/>
            </w:tcMar>
            <w:vAlign w:val="center"/>
          </w:tcPr>
          <w:p w14:paraId="3FDEC4C5">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Chair-stand time (s)</w:t>
            </w:r>
          </w:p>
        </w:tc>
        <w:tc>
          <w:tcPr>
            <w:tcW w:w="1631" w:type="dxa"/>
            <w:tcBorders>
              <w:top w:val="nil"/>
              <w:left w:val="nil"/>
              <w:bottom w:val="single" w:color="auto" w:sz="12" w:space="0"/>
              <w:right w:val="nil"/>
            </w:tcBorders>
            <w:noWrap w:val="0"/>
            <w:tcMar>
              <w:top w:w="-1" w:type="dxa"/>
              <w:left w:w="-1" w:type="dxa"/>
              <w:bottom w:w="-1" w:type="dxa"/>
              <w:right w:w="-1" w:type="dxa"/>
            </w:tcMar>
            <w:vAlign w:val="center"/>
          </w:tcPr>
          <w:p w14:paraId="3A1DCB55">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Long-term systemic GC exposure</w:t>
            </w:r>
          </w:p>
        </w:tc>
        <w:tc>
          <w:tcPr>
            <w:tcW w:w="853" w:type="dxa"/>
            <w:tcBorders>
              <w:top w:val="nil"/>
              <w:left w:val="nil"/>
              <w:bottom w:val="single" w:color="auto" w:sz="12" w:space="0"/>
              <w:right w:val="nil"/>
            </w:tcBorders>
            <w:noWrap w:val="0"/>
            <w:tcMar>
              <w:top w:w="-1" w:type="dxa"/>
              <w:left w:w="-1" w:type="dxa"/>
              <w:bottom w:w="-1" w:type="dxa"/>
              <w:right w:w="-1" w:type="dxa"/>
            </w:tcMar>
            <w:vAlign w:val="center"/>
          </w:tcPr>
          <w:p w14:paraId="7F21DD33">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β</w:t>
            </w:r>
          </w:p>
        </w:tc>
        <w:tc>
          <w:tcPr>
            <w:tcW w:w="1273" w:type="dxa"/>
            <w:tcBorders>
              <w:top w:val="nil"/>
              <w:left w:val="nil"/>
              <w:bottom w:val="single" w:color="auto" w:sz="12" w:space="0"/>
              <w:right w:val="nil"/>
            </w:tcBorders>
            <w:noWrap w:val="0"/>
            <w:tcMar>
              <w:top w:w="-1" w:type="dxa"/>
              <w:left w:w="-1" w:type="dxa"/>
              <w:bottom w:w="-1" w:type="dxa"/>
              <w:right w:w="-1" w:type="dxa"/>
            </w:tcMar>
            <w:vAlign w:val="center"/>
          </w:tcPr>
          <w:p w14:paraId="1AE56660">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0.51 (−0.50 to 1.52)</w:t>
            </w:r>
          </w:p>
        </w:tc>
        <w:tc>
          <w:tcPr>
            <w:tcW w:w="964" w:type="dxa"/>
            <w:tcBorders>
              <w:top w:val="nil"/>
              <w:left w:val="nil"/>
              <w:bottom w:val="single" w:color="auto" w:sz="12" w:space="0"/>
              <w:right w:val="nil"/>
            </w:tcBorders>
            <w:noWrap w:val="0"/>
            <w:tcMar>
              <w:top w:w="-1" w:type="dxa"/>
              <w:left w:w="-1" w:type="dxa"/>
              <w:bottom w:w="-1" w:type="dxa"/>
              <w:right w:w="-1" w:type="dxa"/>
            </w:tcMar>
            <w:vAlign w:val="center"/>
          </w:tcPr>
          <w:p w14:paraId="2AD631EE">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0.322</w:t>
            </w:r>
          </w:p>
        </w:tc>
        <w:tc>
          <w:tcPr>
            <w:tcW w:w="748" w:type="dxa"/>
            <w:tcBorders>
              <w:top w:val="nil"/>
              <w:left w:val="nil"/>
              <w:bottom w:val="single" w:color="auto" w:sz="12" w:space="0"/>
              <w:right w:val="nil"/>
            </w:tcBorders>
            <w:noWrap w:val="0"/>
            <w:tcMar>
              <w:top w:w="-1" w:type="dxa"/>
              <w:left w:w="-1" w:type="dxa"/>
              <w:bottom w:w="-1" w:type="dxa"/>
              <w:right w:w="-1" w:type="dxa"/>
            </w:tcMar>
            <w:vAlign w:val="center"/>
          </w:tcPr>
          <w:p w14:paraId="480F6E59">
            <w:pPr>
              <w:widowControl w:val="0"/>
              <w:snapToGrid w:val="0"/>
              <w:spacing w:line="240" w:lineRule="auto"/>
              <w:ind w:left="0" w:leftChars="0" w:right="0" w:rightChars="0" w:firstLine="0" w:firstLineChars="0"/>
              <w:jc w:val="center"/>
              <w:rPr>
                <w:rFonts w:hint="default" w:ascii="Times New Roman" w:hAnsi="Times New Roman" w:cs="Times New Roman"/>
                <w:sz w:val="20"/>
                <w:szCs w:val="20"/>
                <w:vertAlign w:val="baseline"/>
              </w:rPr>
            </w:pPr>
            <w:r>
              <w:rPr>
                <w:rFonts w:ascii="Times New Roman" w:hAnsi="Times New Roman" w:eastAsia="宋体"/>
                <w:b w:val="0"/>
                <w:sz w:val="20"/>
                <w:szCs w:val="20"/>
              </w:rPr>
              <w:t>1725</w:t>
            </w:r>
          </w:p>
        </w:tc>
      </w:tr>
    </w:tbl>
    <w:p w14:paraId="0CA4ACE5">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ascii="Times New Roman" w:hAnsi="Times New Roman" w:eastAsia="宋体"/>
          <w:b w:val="0"/>
          <w:i w:val="0"/>
          <w:sz w:val="20"/>
          <w:szCs w:val="20"/>
        </w:rPr>
      </w:pPr>
      <w:r>
        <w:rPr>
          <w:rFonts w:ascii="Times New Roman" w:hAnsi="Times New Roman" w:eastAsia="宋体"/>
          <w:b/>
          <w:bCs/>
          <w:i w:val="0"/>
          <w:sz w:val="20"/>
          <w:szCs w:val="20"/>
        </w:rPr>
        <w:t>Note</w:t>
      </w:r>
      <w:r>
        <w:rPr>
          <w:rFonts w:hint="eastAsia"/>
          <w:b/>
          <w:bCs/>
          <w:i w:val="0"/>
          <w:sz w:val="20"/>
          <w:szCs w:val="20"/>
          <w:lang w:val="en-US" w:eastAsia="zh-CN"/>
        </w:rPr>
        <w:t>:</w:t>
      </w:r>
      <w:r>
        <w:rPr>
          <w:rFonts w:ascii="Times New Roman" w:hAnsi="Times New Roman" w:eastAsia="宋体"/>
          <w:b w:val="0"/>
          <w:i w:val="0"/>
          <w:sz w:val="20"/>
          <w:szCs w:val="20"/>
        </w:rPr>
        <w:t xml:space="preserve"> Complete-case sensitivity analyses paralleled the primary multiple-imputation models and used the same exposure definitions, outcome definitions, and covariate set. Self-reported RA history and long-term systemic GC exposure were entered simultaneously into the same model and adjusted for one another. Binary osteoporosis outcomes are reported as adjusted prevalence ratios, continuous T-score and physical performance outcomes as adjusted β coefficients, and log-transformed bone turnover markers as geometric mean ratios.</w:t>
      </w:r>
      <w:r>
        <w:rPr>
          <w:rFonts w:ascii="Times New Roman" w:hAnsi="Times New Roman" w:eastAsia="宋体"/>
          <w:b w:val="0"/>
          <w:i w:val="0"/>
          <w:sz w:val="20"/>
          <w:szCs w:val="20"/>
        </w:rPr>
        <w:br w:type="textWrapping"/>
      </w:r>
      <w:r>
        <w:rPr>
          <w:rFonts w:ascii="Times New Roman" w:hAnsi="Times New Roman" w:eastAsia="宋体"/>
          <w:b/>
          <w:bCs/>
          <w:i w:val="0"/>
          <w:sz w:val="20"/>
          <w:szCs w:val="20"/>
        </w:rPr>
        <w:t>Abbreviations:</w:t>
      </w:r>
      <w:r>
        <w:rPr>
          <w:rFonts w:ascii="Times New Roman" w:hAnsi="Times New Roman" w:eastAsia="宋体"/>
          <w:b w:val="0"/>
          <w:i w:val="0"/>
          <w:sz w:val="20"/>
          <w:szCs w:val="20"/>
        </w:rPr>
        <w:t xml:space="preserve"> aPR, adjusted prevalence ratio; BMI, body mass index; CC, complete case; CI, confidence interval; DXA, dual-energy X-ray absorptiometry; GC, glucocorticoid; GMR, geometric mean ratio; PINP, procollagen type I N-terminal propeptide; RA, rheumatoid arthritis; β, regression coefficient; β-CTX, β-isomerized C-terminal telopeptide of type I collagen.</w:t>
      </w:r>
    </w:p>
    <w:p w14:paraId="4F1DC354">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ascii="Times New Roman" w:hAnsi="Times New Roman" w:eastAsia="宋体"/>
          <w:b w:val="0"/>
          <w:i w:val="0"/>
          <w:sz w:val="20"/>
          <w:szCs w:val="20"/>
        </w:rPr>
      </w:pPr>
    </w:p>
    <w:p w14:paraId="19A61787">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drawing>
          <wp:inline distT="0" distB="0" distL="114300" distR="114300">
            <wp:extent cx="5273675" cy="4768850"/>
            <wp:effectExtent l="0" t="0" r="3175" b="12700"/>
            <wp:docPr id="1" name="图片 1"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S1"/>
                    <pic:cNvPicPr>
                      <a:picLocks noChangeAspect="1"/>
                    </pic:cNvPicPr>
                  </pic:nvPicPr>
                  <pic:blipFill>
                    <a:blip r:embed="rId6"/>
                    <a:stretch>
                      <a:fillRect/>
                    </a:stretch>
                  </pic:blipFill>
                  <pic:spPr>
                    <a:xfrm>
                      <a:off x="0" y="0"/>
                      <a:ext cx="5273675" cy="4768850"/>
                    </a:xfrm>
                    <a:prstGeom prst="rect">
                      <a:avLst/>
                    </a:prstGeom>
                  </pic:spPr>
                </pic:pic>
              </a:graphicData>
            </a:graphic>
          </wp:inline>
        </w:drawing>
      </w:r>
    </w:p>
    <w:p w14:paraId="7295AC8A">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Figure S1. Missing-data profile and DXA endpoint classification audit.</w:t>
      </w:r>
    </w:p>
    <w:p w14:paraId="3504046D">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sz w:val="20"/>
          <w:szCs w:val="20"/>
        </w:rPr>
      </w:pPr>
      <w:r>
        <w:rPr>
          <w:rFonts w:hint="default" w:ascii="Times New Roman" w:hAnsi="Times New Roman" w:eastAsia="宋体" w:cs="Times New Roman"/>
          <w:sz w:val="20"/>
          <w:szCs w:val="20"/>
        </w:rPr>
        <w:t>Panel a shows the number of missing observations for each variable included in the analytic dataset, and panel b shows the corresponding percentage of missing observations. Panels c and d show the mismatch between device-derived WHO classification fields and osteoporosis status recalculated directly from site-specific T-scores, presented as counts and percentages, respectively, for the lumbar spine and total hip. Mismatch was defined as discordance between the device-derived WHO classification field and the T-score–derived osteoporosis classification among participants with non-missing paired information. Final lumbar spine and total hip osteoporosis endpoints were defined directly from the corresponding site-specific T-scores using a threshold of T-score ≤ −2.5.</w:t>
      </w:r>
      <w:r>
        <w:rPr>
          <w:rFonts w:hint="default" w:ascii="Times New Roman" w:hAnsi="Times New Roman" w:eastAsia="宋体" w:cs="Times New Roman"/>
          <w:sz w:val="20"/>
          <w:szCs w:val="20"/>
        </w:rPr>
        <w:br w:type="textWrapping"/>
      </w:r>
      <w:r>
        <w:rPr>
          <w:rStyle w:val="5"/>
          <w:rFonts w:hint="default" w:ascii="Times New Roman" w:hAnsi="Times New Roman" w:eastAsia="宋体" w:cs="Times New Roman"/>
          <w:sz w:val="20"/>
          <w:szCs w:val="20"/>
        </w:rPr>
        <w:t>Abbreviations:</w:t>
      </w:r>
      <w:r>
        <w:rPr>
          <w:rFonts w:hint="default" w:ascii="Times New Roman" w:hAnsi="Times New Roman" w:eastAsia="宋体" w:cs="Times New Roman"/>
          <w:sz w:val="20"/>
          <w:szCs w:val="20"/>
        </w:rPr>
        <w:t xml:space="preserve"> BMI, body mass index; DXA, dual-energy X-ray absorptiometry; GC, glucocorticoid; PINP, procollagen type I N-terminal propeptide; RA, rheumatoid arthritis; WHO, World Health Organization; β-CTX, β-isomerized C-terminal telopeptide of type I collagen.</w:t>
      </w:r>
    </w:p>
    <w:p w14:paraId="2AE47FD1">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drawing>
          <wp:inline distT="0" distB="0" distL="114300" distR="114300">
            <wp:extent cx="5273675" cy="6384290"/>
            <wp:effectExtent l="0" t="0" r="3175" b="16510"/>
            <wp:docPr id="2" name="图片 2" descr="Figur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S2"/>
                    <pic:cNvPicPr>
                      <a:picLocks noChangeAspect="1"/>
                    </pic:cNvPicPr>
                  </pic:nvPicPr>
                  <pic:blipFill>
                    <a:blip r:embed="rId7"/>
                    <a:stretch>
                      <a:fillRect/>
                    </a:stretch>
                  </pic:blipFill>
                  <pic:spPr>
                    <a:xfrm>
                      <a:off x="0" y="0"/>
                      <a:ext cx="5273675" cy="6384290"/>
                    </a:xfrm>
                    <a:prstGeom prst="rect">
                      <a:avLst/>
                    </a:prstGeom>
                  </pic:spPr>
                </pic:pic>
              </a:graphicData>
            </a:graphic>
          </wp:inline>
        </w:drawing>
      </w:r>
    </w:p>
    <w:p w14:paraId="27686ECD">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Figure S2. Comparison of primary multiple-imputation and complete-case estimates.</w:t>
      </w:r>
    </w:p>
    <w:p w14:paraId="134AFC32">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sz w:val="20"/>
          <w:szCs w:val="20"/>
        </w:rPr>
      </w:pPr>
      <w:r>
        <w:rPr>
          <w:rFonts w:hint="default" w:ascii="Times New Roman" w:hAnsi="Times New Roman" w:eastAsia="宋体" w:cs="Times New Roman"/>
          <w:sz w:val="20"/>
          <w:szCs w:val="20"/>
        </w:rPr>
        <w:t>Panels a and b show the adjusted associations of self-reported RA history and long-term systemic GC exposure, respectively, with DXA outcomes. In each panel, binary DXA outcomes, including lumbar spine osteoporosis and total hip osteoporosis, are presented as adjusted prevalence ratios, whereas continuous DXA outcomes, including lumbar spine T-score and total hip T-score, are presented as adjusted regression coefficients. Panels c and d show the adjusted associations of self-reported RA history and long-term systemic GC exposure, respectively, with supportive outcomes. Bone turnover markers, including PINP, osteocalcin, and β-CTX, are presented as geometric mean ratios, whereas physical performance outcomes, including grip strength and chair-stand time, are presented as adjusted regression coefficients. Filled circles indicate primary multiple-imputation estimates, and open squares indicate complete-case estimates. Horizontal error bars indicate 95% confidence intervals. Vertical dashed lines indicate the null value, namely 1.0 for adjusted prevalence ratios and geometric mean ratios and 0 for adjusted regression coefficients. All models included self-reported RA history and long-term systemic GC exposure simultaneously and were adjusted for age, sex/menopausal status, body mass index, educational level, smoking history, alcohol use, and dietary pattern.</w:t>
      </w:r>
      <w:r>
        <w:rPr>
          <w:rFonts w:hint="default" w:ascii="Times New Roman" w:hAnsi="Times New Roman" w:eastAsia="宋体" w:cs="Times New Roman"/>
          <w:sz w:val="20"/>
          <w:szCs w:val="20"/>
        </w:rPr>
        <w:br w:type="textWrapping"/>
      </w:r>
      <w:r>
        <w:rPr>
          <w:rStyle w:val="5"/>
          <w:rFonts w:hint="default" w:ascii="Times New Roman" w:hAnsi="Times New Roman" w:eastAsia="宋体" w:cs="Times New Roman"/>
          <w:sz w:val="20"/>
          <w:szCs w:val="20"/>
        </w:rPr>
        <w:t>Abbreviations:</w:t>
      </w:r>
      <w:r>
        <w:rPr>
          <w:rFonts w:hint="default" w:ascii="Times New Roman" w:hAnsi="Times New Roman" w:eastAsia="宋体" w:cs="Times New Roman"/>
          <w:sz w:val="20"/>
          <w:szCs w:val="20"/>
        </w:rPr>
        <w:t xml:space="preserve"> aPR, adjusted prevalence ratio; BMI, body mass index; CC, complete case; CI, confidence interval; DXA, dual-energy X-ray absorptiometry; GC, glucocorticoid; GMR, geometric mean ratio; MI, multiple imputation; PINP, procollagen type I N-terminal propeptide; RA, rheumatoid arthritis; β, regression coefficient; β-CTX, β-isomerized C-terminal telopeptide of type I collagen.</w:t>
      </w:r>
    </w:p>
    <w:p w14:paraId="4B471600">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drawing>
          <wp:inline distT="0" distB="0" distL="114300" distR="114300">
            <wp:extent cx="5273675" cy="5478145"/>
            <wp:effectExtent l="0" t="0" r="3175" b="8255"/>
            <wp:docPr id="3" name="图片 3" descr="Figur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S3"/>
                    <pic:cNvPicPr>
                      <a:picLocks noChangeAspect="1"/>
                    </pic:cNvPicPr>
                  </pic:nvPicPr>
                  <pic:blipFill>
                    <a:blip r:embed="rId8"/>
                    <a:stretch>
                      <a:fillRect/>
                    </a:stretch>
                  </pic:blipFill>
                  <pic:spPr>
                    <a:xfrm>
                      <a:off x="0" y="0"/>
                      <a:ext cx="5273675" cy="5478145"/>
                    </a:xfrm>
                    <a:prstGeom prst="rect">
                      <a:avLst/>
                    </a:prstGeom>
                  </pic:spPr>
                </pic:pic>
              </a:graphicData>
            </a:graphic>
          </wp:inline>
        </w:drawing>
      </w:r>
    </w:p>
    <w:p w14:paraId="78404F4E">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Figure S3. Descriptive outcome profiles across RA/GC exposure groups.</w:t>
      </w:r>
    </w:p>
    <w:p w14:paraId="175E033A">
      <w:pPr>
        <w:keepNext w:val="0"/>
        <w:keepLines w:val="0"/>
        <w:pageBreakBefore w:val="0"/>
        <w:widowControl/>
        <w:kinsoku/>
        <w:wordWrap/>
        <w:overflowPunct/>
        <w:topLinePunct w:val="0"/>
        <w:autoSpaceDE/>
        <w:autoSpaceDN/>
        <w:bidi w:val="0"/>
        <w:adjustRightInd/>
        <w:snapToGrid/>
        <w:spacing w:after="0" w:line="480" w:lineRule="auto"/>
        <w:jc w:val="both"/>
        <w:textAlignment w:val="auto"/>
        <w:rPr>
          <w:rFonts w:hint="default" w:ascii="Times New Roman" w:hAnsi="Times New Roman" w:eastAsia="宋体" w:cs="Times New Roman"/>
          <w:b/>
          <w:bCs/>
          <w:sz w:val="20"/>
          <w:szCs w:val="20"/>
          <w:lang w:val="en-US" w:eastAsia="zh-CN"/>
        </w:rPr>
      </w:pPr>
      <w:bookmarkStart w:id="0" w:name="_GoBack"/>
      <w:r>
        <w:rPr>
          <w:rFonts w:hint="default" w:ascii="Times New Roman" w:hAnsi="Times New Roman" w:eastAsia="宋体" w:cs="Times New Roman"/>
          <w:sz w:val="20"/>
          <w:szCs w:val="20"/>
        </w:rPr>
        <w:t>Panel a shows the descriptive prevalence of lumbar spine osteoporosis and total hip osteoporosis across the four RA/GC exposure groups: RA−/GC−, RA+/GC−, RA−/GC+, and RA+/GC+. Panel b shows the descriptive mean lumbar spine T-score and total hip T-score across the same four groups. Panel c shows the descriptive median values of the bone turnover markers PINP, osteocalcin, and β-CTX across the four groups. Panel d shows the descriptive mean values of grip strength and chair-stand time across the four groups. Points indicate group-specific summary estimates. Horizontal error bars indicate the corresponding 95% confidence intervals for prevalence and mean values, and interquartile ranges for median biomarker values, where applicable. Because the two GC-exposed groups were small, these four-group comparisons were interpreted descriptively only and were not used as the primary basis for statistical inference.</w:t>
      </w:r>
      <w:r>
        <w:rPr>
          <w:rFonts w:hint="default" w:ascii="Times New Roman" w:hAnsi="Times New Roman" w:eastAsia="宋体" w:cs="Times New Roman"/>
          <w:sz w:val="20"/>
          <w:szCs w:val="20"/>
        </w:rPr>
        <w:br w:type="textWrapping"/>
      </w:r>
      <w:r>
        <w:rPr>
          <w:rStyle w:val="5"/>
          <w:rFonts w:hint="default" w:ascii="Times New Roman" w:hAnsi="Times New Roman" w:eastAsia="宋体" w:cs="Times New Roman"/>
          <w:sz w:val="20"/>
          <w:szCs w:val="20"/>
        </w:rPr>
        <w:t>Abbreviations:</w:t>
      </w:r>
      <w:r>
        <w:rPr>
          <w:rFonts w:hint="default" w:ascii="Times New Roman" w:hAnsi="Times New Roman" w:eastAsia="宋体" w:cs="Times New Roman"/>
          <w:sz w:val="20"/>
          <w:szCs w:val="20"/>
        </w:rPr>
        <w:t xml:space="preserve"> CI, confidence interval; DXA, dual-energy X-ray absorptiometry; GC, glucocorticoid; IQR, interquartile range; PINP, procollagen type I N-terminal propeptide; RA, rheumatoid arthritis; β-CTX, β-isomerized C-terminal telopeptide of type I collagen.</w:t>
      </w:r>
    </w:p>
    <w:bookmarkEnd w:id="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23B78"/>
    <w:rsid w:val="36895C7D"/>
    <w:rsid w:val="415F3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宋体" w:cstheme="minorBidi"/>
      <w:sz w:val="20"/>
      <w:szCs w:val="22"/>
      <w:lang w:val="en-US" w:eastAsia="en-US"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1066</Words>
  <Characters>6207</Characters>
  <Lines>0</Lines>
  <Paragraphs>0</Paragraphs>
  <TotalTime>25</TotalTime>
  <ScaleCrop>false</ScaleCrop>
  <LinksUpToDate>false</LinksUpToDate>
  <CharactersWithSpaces>6906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2026-04-28T13:44:00Z</dcterms:created>
  <dc:creator>17703</dc:creator>
  <cp:lastModifiedBy>今天学习了</cp:lastModifiedBy>
  <dcterms:modified xsi:type="dcterms:W3CDTF">2026-04-28T17:59:12Z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eyJoZGlkIjoiYmVlMzFlM2Y5YjYzZDk3MzkxNDQxNGJiYmZiMjk3ZWEiLCJ1c2VySWQiOiIzMTE2NTg0MjIifQ==</vt:lpwstr>
  </property>
  <property fmtid="{D5CDD505-2E9C-101B-9397-08002B2CF9AE}" pid="4" name="ICV">
    <vt:lpwstr>70EB1DD86FCD464785D880FBCF63D40E_12</vt:lpwstr>
  </property>
</Properties>
</file>