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E5A66" w14:textId="3277E470" w:rsidR="005853A2" w:rsidRPr="00C5352E" w:rsidRDefault="005853A2" w:rsidP="005853A2">
      <w:pPr>
        <w:jc w:val="both"/>
        <w:rPr>
          <w:rFonts w:asciiTheme="majorBidi" w:hAnsiTheme="majorBidi" w:cstheme="majorBidi"/>
          <w:color w:val="000000" w:themeColor="text1"/>
          <w:sz w:val="24"/>
          <w:szCs w:val="24"/>
        </w:rPr>
      </w:pPr>
      <w:r w:rsidRPr="00C5352E">
        <w:rPr>
          <w:rFonts w:asciiTheme="majorBidi" w:hAnsiTheme="majorBidi" w:cstheme="majorBidi"/>
          <w:color w:val="000000" w:themeColor="text1"/>
          <w:sz w:val="24"/>
          <w:szCs w:val="24"/>
        </w:rPr>
        <w:t>Our review identified four critical gaps warranting future research</w:t>
      </w:r>
      <w:r>
        <w:rPr>
          <w:rFonts w:asciiTheme="majorBidi" w:hAnsiTheme="majorBidi" w:cstheme="majorBidi"/>
          <w:color w:val="000000" w:themeColor="text1"/>
          <w:sz w:val="24"/>
          <w:szCs w:val="24"/>
        </w:rPr>
        <w:t xml:space="preserve"> presenting</w:t>
      </w:r>
      <w:r w:rsidR="000D508F">
        <w:rPr>
          <w:rFonts w:asciiTheme="majorBidi" w:hAnsiTheme="majorBidi" w:cstheme="majorBidi"/>
          <w:color w:val="000000" w:themeColor="text1"/>
          <w:sz w:val="24"/>
          <w:szCs w:val="24"/>
        </w:rPr>
        <w:t>:</w:t>
      </w:r>
    </w:p>
    <w:p w14:paraId="48FEA769" w14:textId="77777777" w:rsidR="005853A2" w:rsidRPr="00C5352E" w:rsidRDefault="005853A2" w:rsidP="005853A2">
      <w:pPr>
        <w:jc w:val="both"/>
        <w:rPr>
          <w:rFonts w:asciiTheme="majorBidi" w:hAnsiTheme="majorBidi" w:cstheme="majorBidi"/>
          <w:color w:val="000000" w:themeColor="text1"/>
          <w:sz w:val="24"/>
          <w:szCs w:val="24"/>
        </w:rPr>
      </w:pPr>
      <w:r w:rsidRPr="00C5352E">
        <w:rPr>
          <w:rFonts w:asciiTheme="majorBidi" w:hAnsiTheme="majorBidi" w:cstheme="majorBidi"/>
          <w:b/>
          <w:bCs/>
          <w:color w:val="000000" w:themeColor="text1"/>
          <w:sz w:val="24"/>
          <w:szCs w:val="24"/>
        </w:rPr>
        <w:tab/>
        <w:t>Gap 1:</w:t>
      </w:r>
      <w:r w:rsidRPr="00C5352E">
        <w:rPr>
          <w:rFonts w:asciiTheme="majorBidi" w:hAnsiTheme="majorBidi" w:cstheme="majorBidi"/>
          <w:color w:val="000000" w:themeColor="text1"/>
          <w:sz w:val="24"/>
          <w:szCs w:val="24"/>
        </w:rPr>
        <w:t xml:space="preserve"> </w:t>
      </w:r>
      <w:r w:rsidRPr="00C5352E">
        <w:rPr>
          <w:rFonts w:asciiTheme="majorBidi" w:hAnsiTheme="majorBidi" w:cstheme="majorBidi"/>
          <w:i/>
          <w:iCs/>
          <w:color w:val="000000" w:themeColor="text1"/>
          <w:sz w:val="24"/>
          <w:szCs w:val="24"/>
        </w:rPr>
        <w:t>Teacher Education and Design Thinking</w:t>
      </w:r>
      <w:r w:rsidRPr="00C5352E">
        <w:rPr>
          <w:rFonts w:asciiTheme="majorBidi" w:hAnsiTheme="majorBidi" w:cstheme="majorBidi"/>
          <w:color w:val="000000" w:themeColor="text1"/>
          <w:sz w:val="24"/>
          <w:szCs w:val="24"/>
        </w:rPr>
        <w:t>: Only 4 out of 87 reviewed studies investigated teacher learning concerning multimodal pedagogy. Nevertheless, research indicates that educators’ comprehension of semiotic affordances and design principles substantially influences the caliber of instruction. The requisite research encompasses: (a) case studies detailing the development of design thinking among educators; (b) intervention studies evaluating models for teacher professional development in multimodal assessment and pedagogical approaches; and (c) a longitudinal analysis of the correlation between teacher expertise and student outcomes.</w:t>
      </w:r>
    </w:p>
    <w:p w14:paraId="6C69555D" w14:textId="77777777" w:rsidR="005853A2" w:rsidRPr="00C5352E" w:rsidRDefault="005853A2" w:rsidP="005853A2">
      <w:pPr>
        <w:jc w:val="both"/>
        <w:rPr>
          <w:rFonts w:asciiTheme="majorBidi" w:hAnsiTheme="majorBidi" w:cstheme="majorBidi"/>
          <w:color w:val="000000" w:themeColor="text1"/>
          <w:sz w:val="24"/>
          <w:szCs w:val="24"/>
        </w:rPr>
      </w:pPr>
      <w:r w:rsidRPr="00C5352E">
        <w:rPr>
          <w:rFonts w:asciiTheme="majorBidi" w:hAnsiTheme="majorBidi" w:cstheme="majorBidi"/>
          <w:b/>
          <w:bCs/>
          <w:color w:val="000000" w:themeColor="text1"/>
          <w:sz w:val="24"/>
          <w:szCs w:val="24"/>
        </w:rPr>
        <w:tab/>
        <w:t>Gap 2</w:t>
      </w:r>
      <w:r w:rsidRPr="00C5352E">
        <w:rPr>
          <w:rFonts w:asciiTheme="majorBidi" w:hAnsiTheme="majorBidi" w:cstheme="majorBidi"/>
          <w:color w:val="000000" w:themeColor="text1"/>
          <w:sz w:val="24"/>
          <w:szCs w:val="24"/>
        </w:rPr>
        <w:t xml:space="preserve">: </w:t>
      </w:r>
      <w:r w:rsidRPr="00C5352E">
        <w:rPr>
          <w:rFonts w:asciiTheme="majorBidi" w:hAnsiTheme="majorBidi" w:cstheme="majorBidi"/>
          <w:i/>
          <w:iCs/>
          <w:color w:val="000000" w:themeColor="text1"/>
          <w:sz w:val="24"/>
          <w:szCs w:val="24"/>
        </w:rPr>
        <w:t>Longitudinal and Transfer Outcomes</w:t>
      </w:r>
      <w:r w:rsidRPr="00C5352E">
        <w:rPr>
          <w:rFonts w:asciiTheme="majorBidi" w:hAnsiTheme="majorBidi" w:cstheme="majorBidi"/>
          <w:color w:val="000000" w:themeColor="text1"/>
          <w:sz w:val="24"/>
          <w:szCs w:val="24"/>
        </w:rPr>
        <w:t>: The majority of studies (79%) employed a cross-sectional design, assessing learning directly subsequent to instruction. Only eight studies incorporated follow-up assessments or transfer measures. Key inquiries include: Do multimodal proficiencies demonstrate sustained retention? Are these proficiencies transferable across various disciplines? Are there specific critical periods or foundational competencies essential for such transfer? Research endeavors should prioritize longitudinal studies that monitor student development across multiple years and academic fields.</w:t>
      </w:r>
    </w:p>
    <w:p w14:paraId="1FFCB20B" w14:textId="77777777" w:rsidR="005853A2" w:rsidRPr="00C5352E" w:rsidRDefault="005853A2" w:rsidP="005853A2">
      <w:pPr>
        <w:ind w:firstLine="720"/>
        <w:jc w:val="both"/>
        <w:rPr>
          <w:rFonts w:asciiTheme="majorBidi" w:hAnsiTheme="majorBidi" w:cstheme="majorBidi"/>
          <w:color w:val="000000" w:themeColor="text1"/>
          <w:sz w:val="24"/>
          <w:szCs w:val="24"/>
        </w:rPr>
      </w:pPr>
      <w:r w:rsidRPr="00C5352E">
        <w:rPr>
          <w:rFonts w:asciiTheme="majorBidi" w:hAnsiTheme="majorBidi" w:cstheme="majorBidi"/>
          <w:b/>
          <w:bCs/>
          <w:color w:val="000000" w:themeColor="text1"/>
          <w:sz w:val="24"/>
          <w:szCs w:val="24"/>
        </w:rPr>
        <w:t>Gap 3</w:t>
      </w:r>
      <w:r w:rsidRPr="00C5352E">
        <w:rPr>
          <w:rFonts w:asciiTheme="majorBidi" w:hAnsiTheme="majorBidi" w:cstheme="majorBidi"/>
          <w:color w:val="000000" w:themeColor="text1"/>
          <w:sz w:val="24"/>
          <w:szCs w:val="24"/>
        </w:rPr>
        <w:t xml:space="preserve">: </w:t>
      </w:r>
      <w:r w:rsidRPr="00C5352E">
        <w:rPr>
          <w:rFonts w:asciiTheme="majorBidi" w:hAnsiTheme="majorBidi" w:cstheme="majorBidi"/>
          <w:i/>
          <w:iCs/>
          <w:color w:val="000000" w:themeColor="text1"/>
          <w:sz w:val="24"/>
          <w:szCs w:val="24"/>
        </w:rPr>
        <w:t>Culturally Responsive Multimodal Assessment</w:t>
      </w:r>
      <w:r w:rsidRPr="00C5352E">
        <w:rPr>
          <w:rFonts w:asciiTheme="majorBidi" w:hAnsiTheme="majorBidi" w:cstheme="majorBidi"/>
          <w:color w:val="000000" w:themeColor="text1"/>
          <w:sz w:val="24"/>
          <w:szCs w:val="24"/>
        </w:rPr>
        <w:t>: Although 36% of recent studies (2020-2025) explicitly address equity and inclusion, assessment frameworks frequently remain decontextualized from the cultural and linguistic contexts in which students compose. Required studies may include: (a) culturally sustaining assessment frameworks that acknowledge the connection between multimodal composing and students’ community practices; (b) an examination of how multimodal composition can leverage students’ multilingual and multimodal home literacies; and (c) a critical analysis of whose design conventions are privileged in assessment.</w:t>
      </w:r>
    </w:p>
    <w:p w14:paraId="3C472125" w14:textId="77777777" w:rsidR="005853A2" w:rsidRPr="00C5352E" w:rsidRDefault="005853A2" w:rsidP="005853A2">
      <w:pPr>
        <w:ind w:firstLine="720"/>
        <w:jc w:val="both"/>
        <w:rPr>
          <w:rFonts w:asciiTheme="majorBidi" w:hAnsiTheme="majorBidi" w:cstheme="majorBidi"/>
          <w:color w:val="000000" w:themeColor="text1"/>
          <w:sz w:val="24"/>
          <w:szCs w:val="24"/>
        </w:rPr>
      </w:pPr>
      <w:r w:rsidRPr="00C5352E">
        <w:rPr>
          <w:rFonts w:asciiTheme="majorBidi" w:hAnsiTheme="majorBidi" w:cstheme="majorBidi"/>
          <w:b/>
          <w:bCs/>
          <w:color w:val="000000" w:themeColor="text1"/>
          <w:sz w:val="24"/>
          <w:szCs w:val="24"/>
        </w:rPr>
        <w:t>Gap 4</w:t>
      </w:r>
      <w:r w:rsidRPr="00C5352E">
        <w:rPr>
          <w:rFonts w:asciiTheme="majorBidi" w:hAnsiTheme="majorBidi" w:cstheme="majorBidi"/>
          <w:color w:val="000000" w:themeColor="text1"/>
          <w:sz w:val="24"/>
          <w:szCs w:val="24"/>
        </w:rPr>
        <w:t xml:space="preserve">: </w:t>
      </w:r>
      <w:r w:rsidRPr="00C5352E">
        <w:rPr>
          <w:rFonts w:asciiTheme="majorBidi" w:hAnsiTheme="majorBidi" w:cstheme="majorBidi"/>
          <w:i/>
          <w:iCs/>
          <w:color w:val="000000" w:themeColor="text1"/>
          <w:sz w:val="24"/>
          <w:szCs w:val="24"/>
        </w:rPr>
        <w:t>Cognitive Load and Modal Overload</w:t>
      </w:r>
      <w:r w:rsidRPr="00C5352E">
        <w:rPr>
          <w:rFonts w:asciiTheme="majorBidi" w:hAnsiTheme="majorBidi" w:cstheme="majorBidi"/>
          <w:color w:val="000000" w:themeColor="text1"/>
          <w:sz w:val="24"/>
          <w:szCs w:val="24"/>
        </w:rPr>
        <w:t>: While cognitive load theory (Sweller et al., 2011) provides a foundational understanding for the design of single-modal text and visuals, its application to multimodal composition remains an area requiring further development. At what point do additional modes enhance learning without introducing confusing redundancy or overwhelming cognitive resources? The requisite studies may encompass: (a) experimental investigations into cognitive load within multimodal composition tasks; (b) examination of individual variations in multimodal processing; and (c) the formulation of design principles for establishing suitable modal density based on learner attributes and content intricacy.</w:t>
      </w:r>
    </w:p>
    <w:p w14:paraId="0737B856" w14:textId="77777777" w:rsidR="00941226" w:rsidRPr="005853A2" w:rsidRDefault="00941226">
      <w:pPr>
        <w:rPr>
          <w:rFonts w:asciiTheme="majorBidi" w:hAnsiTheme="majorBidi" w:cstheme="majorBidi"/>
        </w:rPr>
      </w:pPr>
    </w:p>
    <w:sectPr w:rsidR="00941226" w:rsidRPr="00585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58"/>
    <w:rsid w:val="000D0929"/>
    <w:rsid w:val="000D508F"/>
    <w:rsid w:val="002B719D"/>
    <w:rsid w:val="005853A2"/>
    <w:rsid w:val="00937E58"/>
    <w:rsid w:val="00941226"/>
    <w:rsid w:val="00B744DE"/>
    <w:rsid w:val="00CD5AA1"/>
    <w:rsid w:val="00EF0F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89B72"/>
  <w15:chartTrackingRefBased/>
  <w15:docId w15:val="{96426861-F26C-4475-BB31-AA078B13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3A2"/>
    <w:pPr>
      <w:spacing w:line="259" w:lineRule="auto"/>
    </w:pPr>
    <w:rPr>
      <w:kern w:val="0"/>
      <w:sz w:val="22"/>
      <w:szCs w:val="22"/>
      <w14:ligatures w14:val="none"/>
    </w:rPr>
  </w:style>
  <w:style w:type="paragraph" w:styleId="Heading1">
    <w:name w:val="heading 1"/>
    <w:basedOn w:val="Normal"/>
    <w:next w:val="Normal"/>
    <w:link w:val="Heading1Char"/>
    <w:uiPriority w:val="9"/>
    <w:qFormat/>
    <w:rsid w:val="00937E5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37E5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37E58"/>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37E58"/>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37E58"/>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37E5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37E5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37E5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37E5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E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E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E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E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E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E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E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E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E58"/>
    <w:rPr>
      <w:rFonts w:eastAsiaTheme="majorEastAsia" w:cstheme="majorBidi"/>
      <w:color w:val="272727" w:themeColor="text1" w:themeTint="D8"/>
    </w:rPr>
  </w:style>
  <w:style w:type="paragraph" w:styleId="Title">
    <w:name w:val="Title"/>
    <w:basedOn w:val="Normal"/>
    <w:next w:val="Normal"/>
    <w:link w:val="TitleChar"/>
    <w:uiPriority w:val="10"/>
    <w:qFormat/>
    <w:rsid w:val="00937E5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37E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E5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37E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E5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37E58"/>
    <w:rPr>
      <w:i/>
      <w:iCs/>
      <w:color w:val="404040" w:themeColor="text1" w:themeTint="BF"/>
    </w:rPr>
  </w:style>
  <w:style w:type="paragraph" w:styleId="ListParagraph">
    <w:name w:val="List Paragraph"/>
    <w:basedOn w:val="Normal"/>
    <w:uiPriority w:val="34"/>
    <w:qFormat/>
    <w:rsid w:val="00937E5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37E58"/>
    <w:rPr>
      <w:i/>
      <w:iCs/>
      <w:color w:val="2F5496" w:themeColor="accent1" w:themeShade="BF"/>
    </w:rPr>
  </w:style>
  <w:style w:type="paragraph" w:styleId="IntenseQuote">
    <w:name w:val="Intense Quote"/>
    <w:basedOn w:val="Normal"/>
    <w:next w:val="Normal"/>
    <w:link w:val="IntenseQuoteChar"/>
    <w:uiPriority w:val="30"/>
    <w:qFormat/>
    <w:rsid w:val="00937E5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37E58"/>
    <w:rPr>
      <w:i/>
      <w:iCs/>
      <w:color w:val="2F5496" w:themeColor="accent1" w:themeShade="BF"/>
    </w:rPr>
  </w:style>
  <w:style w:type="character" w:styleId="IntenseReference">
    <w:name w:val="Intense Reference"/>
    <w:basedOn w:val="DefaultParagraphFont"/>
    <w:uiPriority w:val="32"/>
    <w:qFormat/>
    <w:rsid w:val="00937E5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2311</Characters>
  <Application>Microsoft Office Word</Application>
  <DocSecurity>0</DocSecurity>
  <Lines>19</Lines>
  <Paragraphs>5</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2026-02-25T06:57:00Z</dcterms:created>
  <dcterms:modified xsi:type="dcterms:W3CDTF">2026-04-23T10:23:00Z</dcterms:modified>
</cp:coreProperties>
</file>