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754D7B" w14:textId="2DDF4E48" w:rsidR="00B30A29" w:rsidRPr="00B30A29" w:rsidRDefault="00B30A29" w:rsidP="00B30A29">
      <w:pPr>
        <w:spacing w:line="480" w:lineRule="auto"/>
        <w:jc w:val="center"/>
        <w:rPr>
          <w:b/>
          <w:bCs/>
          <w:color w:val="000000" w:themeColor="text1"/>
        </w:rPr>
      </w:pPr>
      <w:r w:rsidRPr="00B30A29">
        <w:rPr>
          <w:b/>
          <w:bCs/>
          <w:color w:val="000000" w:themeColor="text1"/>
        </w:rPr>
        <w:t xml:space="preserve">Supplemental Material: </w:t>
      </w:r>
    </w:p>
    <w:p w14:paraId="67B8CA8D" w14:textId="1070D6DD" w:rsidR="00B30A29" w:rsidRDefault="00B30A29" w:rsidP="00B30A29">
      <w:pPr>
        <w:spacing w:line="480" w:lineRule="auto"/>
        <w:jc w:val="center"/>
        <w:rPr>
          <w:b/>
          <w:bCs/>
          <w:color w:val="000000" w:themeColor="text1"/>
        </w:rPr>
      </w:pPr>
      <w:r w:rsidRPr="0077760B">
        <w:rPr>
          <w:b/>
          <w:bCs/>
          <w:color w:val="000000" w:themeColor="text1"/>
        </w:rPr>
        <w:t>Improving the Measurement of Alexithymia in Autistic Adults</w:t>
      </w:r>
      <w:r w:rsidR="00F275DB">
        <w:rPr>
          <w:b/>
          <w:bCs/>
          <w:color w:val="000000" w:themeColor="text1"/>
        </w:rPr>
        <w:t>:</w:t>
      </w:r>
    </w:p>
    <w:p w14:paraId="6F98ABE7" w14:textId="358A29C2" w:rsidR="00F275DB" w:rsidRPr="00F275DB" w:rsidRDefault="00F275DB" w:rsidP="00F275DB">
      <w:pPr>
        <w:spacing w:line="480" w:lineRule="auto"/>
        <w:jc w:val="center"/>
        <w:rPr>
          <w:b/>
          <w:bCs/>
          <w:color w:val="000000" w:themeColor="text1"/>
          <w:sz w:val="22"/>
          <w:szCs w:val="22"/>
        </w:rPr>
      </w:pPr>
      <w:r w:rsidRPr="00F275DB">
        <w:rPr>
          <w:b/>
          <w:bCs/>
          <w:color w:val="000000" w:themeColor="text1"/>
          <w:sz w:val="22"/>
          <w:szCs w:val="22"/>
        </w:rPr>
        <w:t>A Psychometric Investigation and Refinement of the Twenty-item Toronto Alexithymia Scale</w:t>
      </w:r>
    </w:p>
    <w:p w14:paraId="6C86888C" w14:textId="77777777" w:rsidR="00B71048" w:rsidRDefault="00B71048" w:rsidP="00B30A29">
      <w:pPr>
        <w:spacing w:line="480" w:lineRule="auto"/>
        <w:jc w:val="center"/>
        <w:rPr>
          <w:color w:val="000000" w:themeColor="text1"/>
        </w:rPr>
      </w:pPr>
    </w:p>
    <w:p w14:paraId="7A42D270" w14:textId="71FC0631" w:rsidR="00B71048" w:rsidRPr="00B71048" w:rsidRDefault="00B71048" w:rsidP="00B30A29">
      <w:pPr>
        <w:spacing w:line="480" w:lineRule="auto"/>
        <w:jc w:val="center"/>
        <w:rPr>
          <w:color w:val="000000" w:themeColor="text1"/>
        </w:rPr>
      </w:pPr>
      <w:r>
        <w:rPr>
          <w:color w:val="000000" w:themeColor="text1"/>
        </w:rPr>
        <w:t>Zachary J. Williams &amp; Katherine O. Gotham</w:t>
      </w:r>
    </w:p>
    <w:p w14:paraId="5800B2FC" w14:textId="77777777" w:rsidR="00B30A29" w:rsidRPr="00B30A29" w:rsidRDefault="00B30A29" w:rsidP="00B30A29">
      <w:pPr>
        <w:spacing w:line="480" w:lineRule="auto"/>
        <w:jc w:val="center"/>
        <w:rPr>
          <w:b/>
          <w:bCs/>
          <w:color w:val="000000" w:themeColor="text1"/>
        </w:rPr>
      </w:pPr>
    </w:p>
    <w:sdt>
      <w:sdtPr>
        <w:rPr>
          <w:rFonts w:ascii="Times New Roman" w:eastAsia="Times New Roman" w:hAnsi="Times New Roman" w:cs="Times New Roman"/>
          <w:b w:val="0"/>
          <w:bCs w:val="0"/>
          <w:color w:val="000000" w:themeColor="text1"/>
          <w:sz w:val="24"/>
          <w:szCs w:val="24"/>
        </w:rPr>
        <w:id w:val="-528960184"/>
        <w:docPartObj>
          <w:docPartGallery w:val="Table of Contents"/>
          <w:docPartUnique/>
        </w:docPartObj>
      </w:sdtPr>
      <w:sdtEndPr>
        <w:rPr>
          <w:noProof/>
        </w:rPr>
      </w:sdtEndPr>
      <w:sdtContent>
        <w:p w14:paraId="06F51B6C" w14:textId="17E2BB69" w:rsidR="00B30A29" w:rsidRPr="00B71048" w:rsidRDefault="00B30A29" w:rsidP="00B30A29">
          <w:pPr>
            <w:pStyle w:val="TOCHeading"/>
            <w:spacing w:line="240" w:lineRule="auto"/>
            <w:rPr>
              <w:rFonts w:ascii="Times New Roman" w:hAnsi="Times New Roman" w:cs="Times New Roman"/>
              <w:color w:val="000000" w:themeColor="text1"/>
            </w:rPr>
          </w:pPr>
          <w:r w:rsidRPr="00B71048">
            <w:rPr>
              <w:rFonts w:ascii="Times New Roman" w:hAnsi="Times New Roman" w:cs="Times New Roman"/>
              <w:color w:val="000000" w:themeColor="text1"/>
            </w:rPr>
            <w:t>Table of Contents</w:t>
          </w:r>
        </w:p>
        <w:p w14:paraId="272AF741" w14:textId="05A9B102" w:rsidR="00E2300E" w:rsidRDefault="00B30A29">
          <w:pPr>
            <w:pStyle w:val="TOC1"/>
            <w:tabs>
              <w:tab w:val="right" w:leader="dot" w:pos="9350"/>
            </w:tabs>
            <w:rPr>
              <w:rFonts w:eastAsiaTheme="minorEastAsia" w:cstheme="minorBidi"/>
              <w:b w:val="0"/>
              <w:bCs w:val="0"/>
              <w:i w:val="0"/>
              <w:iCs w:val="0"/>
              <w:noProof/>
            </w:rPr>
          </w:pPr>
          <w:r w:rsidRPr="00B30A29">
            <w:rPr>
              <w:rFonts w:ascii="Times New Roman" w:hAnsi="Times New Roman" w:cs="Times New Roman"/>
              <w:b w:val="0"/>
              <w:bCs w:val="0"/>
              <w:color w:val="000000" w:themeColor="text1"/>
            </w:rPr>
            <w:fldChar w:fldCharType="begin"/>
          </w:r>
          <w:r w:rsidRPr="00B30A29">
            <w:rPr>
              <w:rFonts w:ascii="Times New Roman" w:hAnsi="Times New Roman" w:cs="Times New Roman"/>
              <w:color w:val="000000" w:themeColor="text1"/>
            </w:rPr>
            <w:instrText xml:space="preserve"> TOC \o "1-3" \h \z \u </w:instrText>
          </w:r>
          <w:r w:rsidRPr="00B30A29">
            <w:rPr>
              <w:rFonts w:ascii="Times New Roman" w:hAnsi="Times New Roman" w:cs="Times New Roman"/>
              <w:b w:val="0"/>
              <w:bCs w:val="0"/>
              <w:color w:val="000000" w:themeColor="text1"/>
            </w:rPr>
            <w:fldChar w:fldCharType="separate"/>
          </w:r>
          <w:hyperlink w:anchor="_Toc53212447" w:history="1">
            <w:r w:rsidR="00E2300E" w:rsidRPr="00646A37">
              <w:rPr>
                <w:rStyle w:val="Hyperlink"/>
                <w:rFonts w:ascii="Times New Roman" w:hAnsi="Times New Roman" w:cs="Times New Roman"/>
                <w:noProof/>
              </w:rPr>
              <w:t>Supplemental Methods</w:t>
            </w:r>
            <w:r w:rsidR="00E2300E">
              <w:rPr>
                <w:noProof/>
                <w:webHidden/>
              </w:rPr>
              <w:tab/>
            </w:r>
            <w:r w:rsidR="00480481">
              <w:rPr>
                <w:noProof/>
                <w:webHidden/>
              </w:rPr>
              <w:t>S</w:t>
            </w:r>
            <w:r w:rsidR="00E2300E">
              <w:rPr>
                <w:noProof/>
                <w:webHidden/>
              </w:rPr>
              <w:fldChar w:fldCharType="begin"/>
            </w:r>
            <w:r w:rsidR="00E2300E">
              <w:rPr>
                <w:noProof/>
                <w:webHidden/>
              </w:rPr>
              <w:instrText xml:space="preserve"> PAGEREF _Toc53212447 \h </w:instrText>
            </w:r>
            <w:r w:rsidR="00E2300E">
              <w:rPr>
                <w:noProof/>
                <w:webHidden/>
              </w:rPr>
            </w:r>
            <w:r w:rsidR="00E2300E">
              <w:rPr>
                <w:noProof/>
                <w:webHidden/>
              </w:rPr>
              <w:fldChar w:fldCharType="separate"/>
            </w:r>
            <w:r w:rsidR="00E2300E">
              <w:rPr>
                <w:noProof/>
                <w:webHidden/>
              </w:rPr>
              <w:t>2</w:t>
            </w:r>
            <w:r w:rsidR="00E2300E">
              <w:rPr>
                <w:noProof/>
                <w:webHidden/>
              </w:rPr>
              <w:fldChar w:fldCharType="end"/>
            </w:r>
          </w:hyperlink>
        </w:p>
        <w:p w14:paraId="365C3C46" w14:textId="59F84BC7" w:rsidR="00E2300E" w:rsidRDefault="00E2300E">
          <w:pPr>
            <w:pStyle w:val="TOC2"/>
            <w:tabs>
              <w:tab w:val="right" w:leader="dot" w:pos="9350"/>
            </w:tabs>
            <w:rPr>
              <w:rFonts w:eastAsiaTheme="minorEastAsia" w:cstheme="minorBidi"/>
              <w:b w:val="0"/>
              <w:bCs w:val="0"/>
              <w:noProof/>
              <w:sz w:val="24"/>
              <w:szCs w:val="24"/>
            </w:rPr>
          </w:pPr>
          <w:hyperlink w:anchor="_Toc53212448" w:history="1">
            <w:r w:rsidRPr="00646A37">
              <w:rPr>
                <w:rStyle w:val="Hyperlink"/>
                <w:rFonts w:ascii="Times New Roman" w:hAnsi="Times New Roman" w:cs="Times New Roman"/>
                <w:noProof/>
              </w:rPr>
              <w:t>Questionnaire Measures</w:t>
            </w:r>
            <w:r>
              <w:rPr>
                <w:noProof/>
                <w:webHidden/>
              </w:rPr>
              <w:tab/>
            </w:r>
            <w:r w:rsidR="00480481">
              <w:rPr>
                <w:noProof/>
                <w:webHidden/>
              </w:rPr>
              <w:t>S</w:t>
            </w:r>
            <w:r>
              <w:rPr>
                <w:noProof/>
                <w:webHidden/>
              </w:rPr>
              <w:fldChar w:fldCharType="begin"/>
            </w:r>
            <w:r>
              <w:rPr>
                <w:noProof/>
                <w:webHidden/>
              </w:rPr>
              <w:instrText xml:space="preserve"> PAGEREF _Toc53212448 \h </w:instrText>
            </w:r>
            <w:r>
              <w:rPr>
                <w:noProof/>
                <w:webHidden/>
              </w:rPr>
            </w:r>
            <w:r>
              <w:rPr>
                <w:noProof/>
                <w:webHidden/>
              </w:rPr>
              <w:fldChar w:fldCharType="separate"/>
            </w:r>
            <w:r>
              <w:rPr>
                <w:noProof/>
                <w:webHidden/>
              </w:rPr>
              <w:t>2</w:t>
            </w:r>
            <w:r>
              <w:rPr>
                <w:noProof/>
                <w:webHidden/>
              </w:rPr>
              <w:fldChar w:fldCharType="end"/>
            </w:r>
          </w:hyperlink>
        </w:p>
        <w:p w14:paraId="0B812419" w14:textId="257FF806" w:rsidR="00E2300E" w:rsidRDefault="00E2300E">
          <w:pPr>
            <w:pStyle w:val="TOC3"/>
            <w:tabs>
              <w:tab w:val="right" w:leader="dot" w:pos="9350"/>
            </w:tabs>
            <w:rPr>
              <w:rFonts w:eastAsiaTheme="minorEastAsia" w:cstheme="minorBidi"/>
              <w:noProof/>
              <w:sz w:val="24"/>
              <w:szCs w:val="24"/>
            </w:rPr>
          </w:pPr>
          <w:hyperlink w:anchor="_Toc53212449" w:history="1">
            <w:r w:rsidRPr="00646A37">
              <w:rPr>
                <w:rStyle w:val="Hyperlink"/>
                <w:rFonts w:ascii="Times New Roman" w:hAnsi="Times New Roman" w:cs="Times New Roman"/>
                <w:b/>
                <w:bCs/>
                <w:i/>
                <w:iCs/>
                <w:noProof/>
              </w:rPr>
              <w:t>Social Responsiveness Scale–Second Edition (SRS-2)</w:t>
            </w:r>
            <w:r>
              <w:rPr>
                <w:noProof/>
                <w:webHidden/>
              </w:rPr>
              <w:tab/>
            </w:r>
            <w:r w:rsidR="00480481">
              <w:rPr>
                <w:noProof/>
                <w:webHidden/>
              </w:rPr>
              <w:t>S</w:t>
            </w:r>
            <w:r>
              <w:rPr>
                <w:noProof/>
                <w:webHidden/>
              </w:rPr>
              <w:fldChar w:fldCharType="begin"/>
            </w:r>
            <w:r>
              <w:rPr>
                <w:noProof/>
                <w:webHidden/>
              </w:rPr>
              <w:instrText xml:space="preserve"> PAGEREF _Toc53212449 \h </w:instrText>
            </w:r>
            <w:r>
              <w:rPr>
                <w:noProof/>
                <w:webHidden/>
              </w:rPr>
            </w:r>
            <w:r>
              <w:rPr>
                <w:noProof/>
                <w:webHidden/>
              </w:rPr>
              <w:fldChar w:fldCharType="separate"/>
            </w:r>
            <w:r>
              <w:rPr>
                <w:noProof/>
                <w:webHidden/>
              </w:rPr>
              <w:t>2</w:t>
            </w:r>
            <w:r>
              <w:rPr>
                <w:noProof/>
                <w:webHidden/>
              </w:rPr>
              <w:fldChar w:fldCharType="end"/>
            </w:r>
          </w:hyperlink>
        </w:p>
        <w:p w14:paraId="74527E50" w14:textId="395AB2C8" w:rsidR="00E2300E" w:rsidRDefault="00E2300E">
          <w:pPr>
            <w:pStyle w:val="TOC3"/>
            <w:tabs>
              <w:tab w:val="right" w:leader="dot" w:pos="9350"/>
            </w:tabs>
            <w:rPr>
              <w:rFonts w:eastAsiaTheme="minorEastAsia" w:cstheme="minorBidi"/>
              <w:noProof/>
              <w:sz w:val="24"/>
              <w:szCs w:val="24"/>
            </w:rPr>
          </w:pPr>
          <w:hyperlink w:anchor="_Toc53212450" w:history="1">
            <w:r w:rsidRPr="00646A37">
              <w:rPr>
                <w:rStyle w:val="Hyperlink"/>
                <w:rFonts w:ascii="Times New Roman" w:hAnsi="Times New Roman" w:cs="Times New Roman"/>
                <w:b/>
                <w:bCs/>
                <w:i/>
                <w:iCs/>
                <w:noProof/>
              </w:rPr>
              <w:t>Repetitive Behavior Scale–Revised, Self-Report (RBS-R)</w:t>
            </w:r>
            <w:r>
              <w:rPr>
                <w:noProof/>
                <w:webHidden/>
              </w:rPr>
              <w:tab/>
            </w:r>
            <w:r w:rsidR="00480481">
              <w:rPr>
                <w:noProof/>
                <w:webHidden/>
              </w:rPr>
              <w:t>S</w:t>
            </w:r>
            <w:r>
              <w:rPr>
                <w:noProof/>
                <w:webHidden/>
              </w:rPr>
              <w:fldChar w:fldCharType="begin"/>
            </w:r>
            <w:r>
              <w:rPr>
                <w:noProof/>
                <w:webHidden/>
              </w:rPr>
              <w:instrText xml:space="preserve"> PAGEREF _Toc53212450 \h </w:instrText>
            </w:r>
            <w:r>
              <w:rPr>
                <w:noProof/>
                <w:webHidden/>
              </w:rPr>
            </w:r>
            <w:r>
              <w:rPr>
                <w:noProof/>
                <w:webHidden/>
              </w:rPr>
              <w:fldChar w:fldCharType="separate"/>
            </w:r>
            <w:r>
              <w:rPr>
                <w:noProof/>
                <w:webHidden/>
              </w:rPr>
              <w:t>2</w:t>
            </w:r>
            <w:r>
              <w:rPr>
                <w:noProof/>
                <w:webHidden/>
              </w:rPr>
              <w:fldChar w:fldCharType="end"/>
            </w:r>
          </w:hyperlink>
        </w:p>
        <w:p w14:paraId="1BC4BBD9" w14:textId="678969C3" w:rsidR="00E2300E" w:rsidRDefault="00E2300E">
          <w:pPr>
            <w:pStyle w:val="TOC3"/>
            <w:tabs>
              <w:tab w:val="right" w:leader="dot" w:pos="9350"/>
            </w:tabs>
            <w:rPr>
              <w:rFonts w:eastAsiaTheme="minorEastAsia" w:cstheme="minorBidi"/>
              <w:noProof/>
              <w:sz w:val="24"/>
              <w:szCs w:val="24"/>
            </w:rPr>
          </w:pPr>
          <w:hyperlink w:anchor="_Toc53212451" w:history="1">
            <w:r w:rsidRPr="00646A37">
              <w:rPr>
                <w:rStyle w:val="Hyperlink"/>
                <w:rFonts w:ascii="Times New Roman" w:hAnsi="Times New Roman" w:cs="Times New Roman"/>
                <w:b/>
                <w:bCs/>
                <w:i/>
                <w:iCs/>
                <w:noProof/>
              </w:rPr>
              <w:t>Beck Depression Inventory–II (BDI-II)</w:t>
            </w:r>
            <w:r>
              <w:rPr>
                <w:noProof/>
                <w:webHidden/>
              </w:rPr>
              <w:tab/>
            </w:r>
            <w:r w:rsidR="00480481">
              <w:rPr>
                <w:noProof/>
                <w:webHidden/>
              </w:rPr>
              <w:t>S</w:t>
            </w:r>
            <w:r>
              <w:rPr>
                <w:noProof/>
                <w:webHidden/>
              </w:rPr>
              <w:fldChar w:fldCharType="begin"/>
            </w:r>
            <w:r>
              <w:rPr>
                <w:noProof/>
                <w:webHidden/>
              </w:rPr>
              <w:instrText xml:space="preserve"> PAGEREF _Toc53212451 \h </w:instrText>
            </w:r>
            <w:r>
              <w:rPr>
                <w:noProof/>
                <w:webHidden/>
              </w:rPr>
            </w:r>
            <w:r>
              <w:rPr>
                <w:noProof/>
                <w:webHidden/>
              </w:rPr>
              <w:fldChar w:fldCharType="separate"/>
            </w:r>
            <w:r>
              <w:rPr>
                <w:noProof/>
                <w:webHidden/>
              </w:rPr>
              <w:t>3</w:t>
            </w:r>
            <w:r>
              <w:rPr>
                <w:noProof/>
                <w:webHidden/>
              </w:rPr>
              <w:fldChar w:fldCharType="end"/>
            </w:r>
          </w:hyperlink>
        </w:p>
        <w:p w14:paraId="6567462D" w14:textId="1DAB4624" w:rsidR="00E2300E" w:rsidRDefault="00E2300E">
          <w:pPr>
            <w:pStyle w:val="TOC3"/>
            <w:tabs>
              <w:tab w:val="right" w:leader="dot" w:pos="9350"/>
            </w:tabs>
            <w:rPr>
              <w:rFonts w:eastAsiaTheme="minorEastAsia" w:cstheme="minorBidi"/>
              <w:noProof/>
              <w:sz w:val="24"/>
              <w:szCs w:val="24"/>
            </w:rPr>
          </w:pPr>
          <w:hyperlink w:anchor="_Toc53212452" w:history="1">
            <w:r w:rsidRPr="00646A37">
              <w:rPr>
                <w:rStyle w:val="Hyperlink"/>
                <w:rFonts w:ascii="Times New Roman" w:hAnsi="Times New Roman" w:cs="Times New Roman"/>
                <w:b/>
                <w:bCs/>
                <w:i/>
                <w:iCs/>
                <w:noProof/>
              </w:rPr>
              <w:t>Generalized Anxiety Disorder–7 (GAD-7)</w:t>
            </w:r>
            <w:r>
              <w:rPr>
                <w:noProof/>
                <w:webHidden/>
              </w:rPr>
              <w:tab/>
            </w:r>
            <w:r w:rsidR="00480481">
              <w:rPr>
                <w:noProof/>
                <w:webHidden/>
              </w:rPr>
              <w:t>S</w:t>
            </w:r>
            <w:r>
              <w:rPr>
                <w:noProof/>
                <w:webHidden/>
              </w:rPr>
              <w:fldChar w:fldCharType="begin"/>
            </w:r>
            <w:r>
              <w:rPr>
                <w:noProof/>
                <w:webHidden/>
              </w:rPr>
              <w:instrText xml:space="preserve"> PAGEREF _Toc53212452 \h </w:instrText>
            </w:r>
            <w:r>
              <w:rPr>
                <w:noProof/>
                <w:webHidden/>
              </w:rPr>
            </w:r>
            <w:r>
              <w:rPr>
                <w:noProof/>
                <w:webHidden/>
              </w:rPr>
              <w:fldChar w:fldCharType="separate"/>
            </w:r>
            <w:r>
              <w:rPr>
                <w:noProof/>
                <w:webHidden/>
              </w:rPr>
              <w:t>4</w:t>
            </w:r>
            <w:r>
              <w:rPr>
                <w:noProof/>
                <w:webHidden/>
              </w:rPr>
              <w:fldChar w:fldCharType="end"/>
            </w:r>
          </w:hyperlink>
        </w:p>
        <w:p w14:paraId="45FC1E17" w14:textId="4EAEA6EC" w:rsidR="00E2300E" w:rsidRDefault="00E2300E">
          <w:pPr>
            <w:pStyle w:val="TOC3"/>
            <w:tabs>
              <w:tab w:val="right" w:leader="dot" w:pos="9350"/>
            </w:tabs>
            <w:rPr>
              <w:rFonts w:eastAsiaTheme="minorEastAsia" w:cstheme="minorBidi"/>
              <w:noProof/>
              <w:sz w:val="24"/>
              <w:szCs w:val="24"/>
            </w:rPr>
          </w:pPr>
          <w:hyperlink w:anchor="_Toc53212453" w:history="1">
            <w:r w:rsidRPr="00646A37">
              <w:rPr>
                <w:rStyle w:val="Hyperlink"/>
                <w:rFonts w:ascii="Times New Roman" w:hAnsi="Times New Roman" w:cs="Times New Roman"/>
                <w:b/>
                <w:bCs/>
                <w:i/>
                <w:iCs/>
                <w:noProof/>
              </w:rPr>
              <w:t>Brief Fear of Negative Evaluation Scale–Short (BFNE-S)</w:t>
            </w:r>
            <w:r>
              <w:rPr>
                <w:noProof/>
                <w:webHidden/>
              </w:rPr>
              <w:tab/>
            </w:r>
            <w:r w:rsidR="00480481">
              <w:rPr>
                <w:noProof/>
                <w:webHidden/>
              </w:rPr>
              <w:t>S</w:t>
            </w:r>
            <w:r>
              <w:rPr>
                <w:noProof/>
                <w:webHidden/>
              </w:rPr>
              <w:fldChar w:fldCharType="begin"/>
            </w:r>
            <w:r>
              <w:rPr>
                <w:noProof/>
                <w:webHidden/>
              </w:rPr>
              <w:instrText xml:space="preserve"> PAGEREF _Toc53212453 \h </w:instrText>
            </w:r>
            <w:r>
              <w:rPr>
                <w:noProof/>
                <w:webHidden/>
              </w:rPr>
            </w:r>
            <w:r>
              <w:rPr>
                <w:noProof/>
                <w:webHidden/>
              </w:rPr>
              <w:fldChar w:fldCharType="separate"/>
            </w:r>
            <w:r>
              <w:rPr>
                <w:noProof/>
                <w:webHidden/>
              </w:rPr>
              <w:t>4</w:t>
            </w:r>
            <w:r>
              <w:rPr>
                <w:noProof/>
                <w:webHidden/>
              </w:rPr>
              <w:fldChar w:fldCharType="end"/>
            </w:r>
          </w:hyperlink>
        </w:p>
        <w:p w14:paraId="741B27DA" w14:textId="1D468F64" w:rsidR="00E2300E" w:rsidRDefault="00E2300E">
          <w:pPr>
            <w:pStyle w:val="TOC3"/>
            <w:tabs>
              <w:tab w:val="right" w:leader="dot" w:pos="9350"/>
            </w:tabs>
            <w:rPr>
              <w:rFonts w:eastAsiaTheme="minorEastAsia" w:cstheme="minorBidi"/>
              <w:noProof/>
              <w:sz w:val="24"/>
              <w:szCs w:val="24"/>
            </w:rPr>
          </w:pPr>
          <w:hyperlink w:anchor="_Toc53212454" w:history="1">
            <w:r w:rsidRPr="00646A37">
              <w:rPr>
                <w:rStyle w:val="Hyperlink"/>
                <w:rFonts w:ascii="Times New Roman" w:hAnsi="Times New Roman" w:cs="Times New Roman"/>
                <w:b/>
                <w:bCs/>
                <w:i/>
                <w:iCs/>
                <w:noProof/>
              </w:rPr>
              <w:t>Modified Patient Health Questionnaire–15 (PHQ-15)</w:t>
            </w:r>
            <w:r>
              <w:rPr>
                <w:noProof/>
                <w:webHidden/>
              </w:rPr>
              <w:tab/>
            </w:r>
            <w:r w:rsidR="00480481">
              <w:rPr>
                <w:noProof/>
                <w:webHidden/>
              </w:rPr>
              <w:t>S</w:t>
            </w:r>
            <w:r>
              <w:rPr>
                <w:noProof/>
                <w:webHidden/>
              </w:rPr>
              <w:fldChar w:fldCharType="begin"/>
            </w:r>
            <w:r>
              <w:rPr>
                <w:noProof/>
                <w:webHidden/>
              </w:rPr>
              <w:instrText xml:space="preserve"> PAGEREF _Toc53212454 \h </w:instrText>
            </w:r>
            <w:r>
              <w:rPr>
                <w:noProof/>
                <w:webHidden/>
              </w:rPr>
            </w:r>
            <w:r>
              <w:rPr>
                <w:noProof/>
                <w:webHidden/>
              </w:rPr>
              <w:fldChar w:fldCharType="separate"/>
            </w:r>
            <w:r>
              <w:rPr>
                <w:noProof/>
                <w:webHidden/>
              </w:rPr>
              <w:t>5</w:t>
            </w:r>
            <w:r>
              <w:rPr>
                <w:noProof/>
                <w:webHidden/>
              </w:rPr>
              <w:fldChar w:fldCharType="end"/>
            </w:r>
          </w:hyperlink>
        </w:p>
        <w:p w14:paraId="50D4CBAF" w14:textId="36F7B922" w:rsidR="00E2300E" w:rsidRDefault="00E2300E">
          <w:pPr>
            <w:pStyle w:val="TOC3"/>
            <w:tabs>
              <w:tab w:val="right" w:leader="dot" w:pos="9350"/>
            </w:tabs>
            <w:rPr>
              <w:rFonts w:eastAsiaTheme="minorEastAsia" w:cstheme="minorBidi"/>
              <w:noProof/>
              <w:sz w:val="24"/>
              <w:szCs w:val="24"/>
            </w:rPr>
          </w:pPr>
          <w:hyperlink w:anchor="_Toc53212455" w:history="1">
            <w:r w:rsidRPr="00646A37">
              <w:rPr>
                <w:rStyle w:val="Hyperlink"/>
                <w:rFonts w:ascii="Times New Roman" w:hAnsi="Times New Roman" w:cs="Times New Roman"/>
                <w:b/>
                <w:bCs/>
                <w:i/>
                <w:iCs/>
                <w:noProof/>
              </w:rPr>
              <w:t>International Personality Item Pool 10-item Neuroticism Scale (IPIP-N10)</w:t>
            </w:r>
            <w:r>
              <w:rPr>
                <w:noProof/>
                <w:webHidden/>
              </w:rPr>
              <w:tab/>
            </w:r>
            <w:r w:rsidR="00480481">
              <w:rPr>
                <w:noProof/>
                <w:webHidden/>
              </w:rPr>
              <w:t>S</w:t>
            </w:r>
            <w:r>
              <w:rPr>
                <w:noProof/>
                <w:webHidden/>
              </w:rPr>
              <w:fldChar w:fldCharType="begin"/>
            </w:r>
            <w:r>
              <w:rPr>
                <w:noProof/>
                <w:webHidden/>
              </w:rPr>
              <w:instrText xml:space="preserve"> PAGEREF _Toc53212455 \h </w:instrText>
            </w:r>
            <w:r>
              <w:rPr>
                <w:noProof/>
                <w:webHidden/>
              </w:rPr>
            </w:r>
            <w:r>
              <w:rPr>
                <w:noProof/>
                <w:webHidden/>
              </w:rPr>
              <w:fldChar w:fldCharType="separate"/>
            </w:r>
            <w:r>
              <w:rPr>
                <w:noProof/>
                <w:webHidden/>
              </w:rPr>
              <w:t>5</w:t>
            </w:r>
            <w:r>
              <w:rPr>
                <w:noProof/>
                <w:webHidden/>
              </w:rPr>
              <w:fldChar w:fldCharType="end"/>
            </w:r>
          </w:hyperlink>
        </w:p>
        <w:p w14:paraId="0E96CB39" w14:textId="588623F8" w:rsidR="00E2300E" w:rsidRDefault="00E2300E">
          <w:pPr>
            <w:pStyle w:val="TOC3"/>
            <w:tabs>
              <w:tab w:val="right" w:leader="dot" w:pos="9350"/>
            </w:tabs>
            <w:rPr>
              <w:rFonts w:eastAsiaTheme="minorEastAsia" w:cstheme="minorBidi"/>
              <w:noProof/>
              <w:sz w:val="24"/>
              <w:szCs w:val="24"/>
            </w:rPr>
          </w:pPr>
          <w:hyperlink w:anchor="_Toc53212456" w:history="1">
            <w:r w:rsidRPr="00646A37">
              <w:rPr>
                <w:rStyle w:val="Hyperlink"/>
                <w:rFonts w:ascii="Times New Roman" w:hAnsi="Times New Roman" w:cs="Times New Roman"/>
                <w:b/>
                <w:bCs/>
                <w:i/>
                <w:iCs/>
                <w:noProof/>
              </w:rPr>
              <w:t>Autism Spectrum Quality of Life (ASQoL)</w:t>
            </w:r>
            <w:r>
              <w:rPr>
                <w:noProof/>
                <w:webHidden/>
              </w:rPr>
              <w:tab/>
            </w:r>
            <w:r w:rsidR="00480481">
              <w:rPr>
                <w:noProof/>
                <w:webHidden/>
              </w:rPr>
              <w:t>S</w:t>
            </w:r>
            <w:r>
              <w:rPr>
                <w:noProof/>
                <w:webHidden/>
              </w:rPr>
              <w:fldChar w:fldCharType="begin"/>
            </w:r>
            <w:r>
              <w:rPr>
                <w:noProof/>
                <w:webHidden/>
              </w:rPr>
              <w:instrText xml:space="preserve"> PAGEREF _Toc53212456 \h </w:instrText>
            </w:r>
            <w:r>
              <w:rPr>
                <w:noProof/>
                <w:webHidden/>
              </w:rPr>
            </w:r>
            <w:r>
              <w:rPr>
                <w:noProof/>
                <w:webHidden/>
              </w:rPr>
              <w:fldChar w:fldCharType="separate"/>
            </w:r>
            <w:r>
              <w:rPr>
                <w:noProof/>
                <w:webHidden/>
              </w:rPr>
              <w:t>6</w:t>
            </w:r>
            <w:r>
              <w:rPr>
                <w:noProof/>
                <w:webHidden/>
              </w:rPr>
              <w:fldChar w:fldCharType="end"/>
            </w:r>
          </w:hyperlink>
        </w:p>
        <w:p w14:paraId="49FF0A98" w14:textId="2D1EBA09" w:rsidR="00E2300E" w:rsidRDefault="00E2300E">
          <w:pPr>
            <w:pStyle w:val="TOC2"/>
            <w:tabs>
              <w:tab w:val="right" w:leader="dot" w:pos="9350"/>
            </w:tabs>
            <w:rPr>
              <w:rFonts w:eastAsiaTheme="minorEastAsia" w:cstheme="minorBidi"/>
              <w:b w:val="0"/>
              <w:bCs w:val="0"/>
              <w:noProof/>
              <w:sz w:val="24"/>
              <w:szCs w:val="24"/>
            </w:rPr>
          </w:pPr>
          <w:hyperlink w:anchor="_Toc53212457" w:history="1">
            <w:r w:rsidRPr="00646A37">
              <w:rPr>
                <w:rStyle w:val="Hyperlink"/>
                <w:rFonts w:ascii="Times New Roman" w:hAnsi="Times New Roman" w:cs="Times New Roman"/>
                <w:noProof/>
              </w:rPr>
              <w:t>Bayesian Model Estimation</w:t>
            </w:r>
            <w:r>
              <w:rPr>
                <w:noProof/>
                <w:webHidden/>
              </w:rPr>
              <w:tab/>
            </w:r>
            <w:r w:rsidR="00480481">
              <w:rPr>
                <w:noProof/>
                <w:webHidden/>
              </w:rPr>
              <w:t>S</w:t>
            </w:r>
            <w:r>
              <w:rPr>
                <w:noProof/>
                <w:webHidden/>
              </w:rPr>
              <w:fldChar w:fldCharType="begin"/>
            </w:r>
            <w:r>
              <w:rPr>
                <w:noProof/>
                <w:webHidden/>
              </w:rPr>
              <w:instrText xml:space="preserve"> PAGEREF _Toc53212457 \h </w:instrText>
            </w:r>
            <w:r>
              <w:rPr>
                <w:noProof/>
                <w:webHidden/>
              </w:rPr>
            </w:r>
            <w:r>
              <w:rPr>
                <w:noProof/>
                <w:webHidden/>
              </w:rPr>
              <w:fldChar w:fldCharType="separate"/>
            </w:r>
            <w:r>
              <w:rPr>
                <w:noProof/>
                <w:webHidden/>
              </w:rPr>
              <w:t>6</w:t>
            </w:r>
            <w:r>
              <w:rPr>
                <w:noProof/>
                <w:webHidden/>
              </w:rPr>
              <w:fldChar w:fldCharType="end"/>
            </w:r>
          </w:hyperlink>
        </w:p>
        <w:p w14:paraId="58464E98" w14:textId="0ED3B60D" w:rsidR="00E2300E" w:rsidRDefault="00E2300E">
          <w:pPr>
            <w:pStyle w:val="TOC3"/>
            <w:tabs>
              <w:tab w:val="right" w:leader="dot" w:pos="9350"/>
            </w:tabs>
            <w:rPr>
              <w:rFonts w:eastAsiaTheme="minorEastAsia" w:cstheme="minorBidi"/>
              <w:noProof/>
              <w:sz w:val="24"/>
              <w:szCs w:val="24"/>
            </w:rPr>
          </w:pPr>
          <w:hyperlink w:anchor="_Toc53212458" w:history="1">
            <w:r w:rsidRPr="00646A37">
              <w:rPr>
                <w:rStyle w:val="Hyperlink"/>
                <w:rFonts w:ascii="Times New Roman" w:hAnsi="Times New Roman" w:cs="Times New Roman"/>
                <w:b/>
                <w:bCs/>
                <w:i/>
                <w:iCs/>
                <w:noProof/>
              </w:rPr>
              <w:t>Linear and Polyserial Correlations</w:t>
            </w:r>
            <w:r>
              <w:rPr>
                <w:noProof/>
                <w:webHidden/>
              </w:rPr>
              <w:tab/>
            </w:r>
            <w:r w:rsidR="00480481">
              <w:rPr>
                <w:noProof/>
                <w:webHidden/>
              </w:rPr>
              <w:t>S</w:t>
            </w:r>
            <w:r>
              <w:rPr>
                <w:noProof/>
                <w:webHidden/>
              </w:rPr>
              <w:fldChar w:fldCharType="begin"/>
            </w:r>
            <w:r>
              <w:rPr>
                <w:noProof/>
                <w:webHidden/>
              </w:rPr>
              <w:instrText xml:space="preserve"> PAGEREF _Toc53212458 \h </w:instrText>
            </w:r>
            <w:r>
              <w:rPr>
                <w:noProof/>
                <w:webHidden/>
              </w:rPr>
            </w:r>
            <w:r>
              <w:rPr>
                <w:noProof/>
                <w:webHidden/>
              </w:rPr>
              <w:fldChar w:fldCharType="separate"/>
            </w:r>
            <w:r>
              <w:rPr>
                <w:noProof/>
                <w:webHidden/>
              </w:rPr>
              <w:t>6</w:t>
            </w:r>
            <w:r>
              <w:rPr>
                <w:noProof/>
                <w:webHidden/>
              </w:rPr>
              <w:fldChar w:fldCharType="end"/>
            </w:r>
          </w:hyperlink>
        </w:p>
        <w:p w14:paraId="1C421435" w14:textId="6AFBCED6" w:rsidR="00E2300E" w:rsidRDefault="00E2300E">
          <w:pPr>
            <w:pStyle w:val="TOC3"/>
            <w:tabs>
              <w:tab w:val="right" w:leader="dot" w:pos="9350"/>
            </w:tabs>
            <w:rPr>
              <w:rFonts w:eastAsiaTheme="minorEastAsia" w:cstheme="minorBidi"/>
              <w:noProof/>
              <w:sz w:val="24"/>
              <w:szCs w:val="24"/>
            </w:rPr>
          </w:pPr>
          <w:hyperlink w:anchor="_Toc53212459" w:history="1">
            <w:r w:rsidRPr="00646A37">
              <w:rPr>
                <w:rStyle w:val="Hyperlink"/>
                <w:rFonts w:ascii="Times New Roman" w:hAnsi="Times New Roman" w:cs="Times New Roman"/>
                <w:b/>
                <w:bCs/>
                <w:i/>
                <w:iCs/>
                <w:noProof/>
              </w:rPr>
              <w:t>Bayesian Unequal-variance t-tests</w:t>
            </w:r>
            <w:r>
              <w:rPr>
                <w:noProof/>
                <w:webHidden/>
              </w:rPr>
              <w:tab/>
            </w:r>
            <w:r w:rsidR="00480481">
              <w:rPr>
                <w:noProof/>
                <w:webHidden/>
              </w:rPr>
              <w:t>S</w:t>
            </w:r>
            <w:r>
              <w:rPr>
                <w:noProof/>
                <w:webHidden/>
              </w:rPr>
              <w:fldChar w:fldCharType="begin"/>
            </w:r>
            <w:r>
              <w:rPr>
                <w:noProof/>
                <w:webHidden/>
              </w:rPr>
              <w:instrText xml:space="preserve"> PAGEREF _Toc53212459 \h </w:instrText>
            </w:r>
            <w:r>
              <w:rPr>
                <w:noProof/>
                <w:webHidden/>
              </w:rPr>
            </w:r>
            <w:r>
              <w:rPr>
                <w:noProof/>
                <w:webHidden/>
              </w:rPr>
              <w:fldChar w:fldCharType="separate"/>
            </w:r>
            <w:r>
              <w:rPr>
                <w:noProof/>
                <w:webHidden/>
              </w:rPr>
              <w:t>8</w:t>
            </w:r>
            <w:r>
              <w:rPr>
                <w:noProof/>
                <w:webHidden/>
              </w:rPr>
              <w:fldChar w:fldCharType="end"/>
            </w:r>
          </w:hyperlink>
        </w:p>
        <w:p w14:paraId="2E0DF9D1" w14:textId="593AD7D5" w:rsidR="00E2300E" w:rsidRDefault="00E2300E">
          <w:pPr>
            <w:pStyle w:val="TOC1"/>
            <w:tabs>
              <w:tab w:val="right" w:leader="dot" w:pos="9350"/>
            </w:tabs>
            <w:rPr>
              <w:rFonts w:eastAsiaTheme="minorEastAsia" w:cstheme="minorBidi"/>
              <w:b w:val="0"/>
              <w:bCs w:val="0"/>
              <w:i w:val="0"/>
              <w:iCs w:val="0"/>
              <w:noProof/>
            </w:rPr>
          </w:pPr>
          <w:hyperlink w:anchor="_Toc53212460" w:history="1">
            <w:r w:rsidRPr="00646A37">
              <w:rPr>
                <w:rStyle w:val="Hyperlink"/>
                <w:rFonts w:ascii="Times New Roman" w:hAnsi="Times New Roman" w:cs="Times New Roman"/>
                <w:noProof/>
              </w:rPr>
              <w:t>Supplemental Table S1.</w:t>
            </w:r>
            <w:r>
              <w:rPr>
                <w:noProof/>
                <w:webHidden/>
              </w:rPr>
              <w:tab/>
            </w:r>
            <w:r w:rsidR="00480481">
              <w:rPr>
                <w:noProof/>
                <w:webHidden/>
              </w:rPr>
              <w:t>S</w:t>
            </w:r>
            <w:r>
              <w:rPr>
                <w:noProof/>
                <w:webHidden/>
              </w:rPr>
              <w:fldChar w:fldCharType="begin"/>
            </w:r>
            <w:r>
              <w:rPr>
                <w:noProof/>
                <w:webHidden/>
              </w:rPr>
              <w:instrText xml:space="preserve"> PAGEREF _Toc53212460 \h </w:instrText>
            </w:r>
            <w:r>
              <w:rPr>
                <w:noProof/>
                <w:webHidden/>
              </w:rPr>
            </w:r>
            <w:r>
              <w:rPr>
                <w:noProof/>
                <w:webHidden/>
              </w:rPr>
              <w:fldChar w:fldCharType="separate"/>
            </w:r>
            <w:r>
              <w:rPr>
                <w:noProof/>
                <w:webHidden/>
              </w:rPr>
              <w:t>9</w:t>
            </w:r>
            <w:r>
              <w:rPr>
                <w:noProof/>
                <w:webHidden/>
              </w:rPr>
              <w:fldChar w:fldCharType="end"/>
            </w:r>
          </w:hyperlink>
        </w:p>
        <w:p w14:paraId="6935821E" w14:textId="4176FC64" w:rsidR="00E2300E" w:rsidRDefault="00E2300E">
          <w:pPr>
            <w:pStyle w:val="TOC1"/>
            <w:tabs>
              <w:tab w:val="right" w:leader="dot" w:pos="9350"/>
            </w:tabs>
            <w:rPr>
              <w:rFonts w:eastAsiaTheme="minorEastAsia" w:cstheme="minorBidi"/>
              <w:b w:val="0"/>
              <w:bCs w:val="0"/>
              <w:i w:val="0"/>
              <w:iCs w:val="0"/>
              <w:noProof/>
            </w:rPr>
          </w:pPr>
          <w:hyperlink w:anchor="_Toc53212461" w:history="1">
            <w:r w:rsidRPr="00646A37">
              <w:rPr>
                <w:rStyle w:val="Hyperlink"/>
                <w:rFonts w:ascii="Times New Roman" w:hAnsi="Times New Roman" w:cs="Times New Roman"/>
                <w:noProof/>
              </w:rPr>
              <w:t>Supplemental References</w:t>
            </w:r>
            <w:r>
              <w:rPr>
                <w:noProof/>
                <w:webHidden/>
              </w:rPr>
              <w:tab/>
            </w:r>
            <w:r w:rsidR="00480481">
              <w:rPr>
                <w:noProof/>
                <w:webHidden/>
              </w:rPr>
              <w:t>S</w:t>
            </w:r>
            <w:r>
              <w:rPr>
                <w:noProof/>
                <w:webHidden/>
              </w:rPr>
              <w:fldChar w:fldCharType="begin"/>
            </w:r>
            <w:r>
              <w:rPr>
                <w:noProof/>
                <w:webHidden/>
              </w:rPr>
              <w:instrText xml:space="preserve"> PAGEREF _Toc53212461 \h </w:instrText>
            </w:r>
            <w:r>
              <w:rPr>
                <w:noProof/>
                <w:webHidden/>
              </w:rPr>
            </w:r>
            <w:r>
              <w:rPr>
                <w:noProof/>
                <w:webHidden/>
              </w:rPr>
              <w:fldChar w:fldCharType="separate"/>
            </w:r>
            <w:r>
              <w:rPr>
                <w:noProof/>
                <w:webHidden/>
              </w:rPr>
              <w:t>10</w:t>
            </w:r>
            <w:r>
              <w:rPr>
                <w:noProof/>
                <w:webHidden/>
              </w:rPr>
              <w:fldChar w:fldCharType="end"/>
            </w:r>
          </w:hyperlink>
        </w:p>
        <w:p w14:paraId="44CDA5C5" w14:textId="0CBD6564" w:rsidR="00E2300E" w:rsidRDefault="00E2300E">
          <w:pPr>
            <w:pStyle w:val="TOC1"/>
            <w:tabs>
              <w:tab w:val="right" w:leader="dot" w:pos="9350"/>
            </w:tabs>
            <w:rPr>
              <w:rFonts w:eastAsiaTheme="minorEastAsia" w:cstheme="minorBidi"/>
              <w:b w:val="0"/>
              <w:bCs w:val="0"/>
              <w:i w:val="0"/>
              <w:iCs w:val="0"/>
              <w:noProof/>
            </w:rPr>
          </w:pPr>
          <w:hyperlink w:anchor="_Toc53212462" w:history="1">
            <w:r w:rsidRPr="00646A37">
              <w:rPr>
                <w:rStyle w:val="Hyperlink"/>
                <w:rFonts w:ascii="Times New Roman" w:hAnsi="Times New Roman" w:cs="Times New Roman"/>
                <w:noProof/>
              </w:rPr>
              <w:t>TAS – 8 Short Form</w:t>
            </w:r>
            <w:r>
              <w:rPr>
                <w:noProof/>
                <w:webHidden/>
              </w:rPr>
              <w:tab/>
            </w:r>
            <w:r w:rsidR="00480481">
              <w:rPr>
                <w:noProof/>
                <w:webHidden/>
              </w:rPr>
              <w:t>S</w:t>
            </w:r>
            <w:r>
              <w:rPr>
                <w:noProof/>
                <w:webHidden/>
              </w:rPr>
              <w:fldChar w:fldCharType="begin"/>
            </w:r>
            <w:r>
              <w:rPr>
                <w:noProof/>
                <w:webHidden/>
              </w:rPr>
              <w:instrText xml:space="preserve"> PAGEREF _Toc53212462 \h </w:instrText>
            </w:r>
            <w:r>
              <w:rPr>
                <w:noProof/>
                <w:webHidden/>
              </w:rPr>
            </w:r>
            <w:r>
              <w:rPr>
                <w:noProof/>
                <w:webHidden/>
              </w:rPr>
              <w:fldChar w:fldCharType="separate"/>
            </w:r>
            <w:r>
              <w:rPr>
                <w:noProof/>
                <w:webHidden/>
              </w:rPr>
              <w:t>15</w:t>
            </w:r>
            <w:r>
              <w:rPr>
                <w:noProof/>
                <w:webHidden/>
              </w:rPr>
              <w:fldChar w:fldCharType="end"/>
            </w:r>
          </w:hyperlink>
        </w:p>
        <w:p w14:paraId="0429BF6D" w14:textId="205D4D7C" w:rsidR="00B30A29" w:rsidRPr="00B30A29" w:rsidRDefault="00B30A29" w:rsidP="00B30A29">
          <w:pPr>
            <w:rPr>
              <w:color w:val="000000" w:themeColor="text1"/>
            </w:rPr>
          </w:pPr>
          <w:r w:rsidRPr="00B30A29">
            <w:rPr>
              <w:b/>
              <w:bCs/>
              <w:noProof/>
              <w:color w:val="000000" w:themeColor="text1"/>
            </w:rPr>
            <w:fldChar w:fldCharType="end"/>
          </w:r>
        </w:p>
      </w:sdtContent>
    </w:sdt>
    <w:p w14:paraId="2F7CB229" w14:textId="36BAC20F" w:rsidR="0077760B" w:rsidRPr="00B30A29" w:rsidRDefault="0077760B" w:rsidP="00B30A29">
      <w:pPr>
        <w:spacing w:line="480" w:lineRule="auto"/>
        <w:jc w:val="both"/>
        <w:rPr>
          <w:b/>
          <w:bCs/>
          <w:color w:val="000000" w:themeColor="text1"/>
        </w:rPr>
      </w:pPr>
    </w:p>
    <w:p w14:paraId="35B39504" w14:textId="6CE90D7E" w:rsidR="00B30A29" w:rsidRDefault="00B30A29">
      <w:pPr>
        <w:rPr>
          <w:b/>
          <w:bCs/>
          <w:color w:val="000000" w:themeColor="text1"/>
        </w:rPr>
      </w:pPr>
      <w:r>
        <w:rPr>
          <w:b/>
          <w:bCs/>
          <w:color w:val="000000" w:themeColor="text1"/>
        </w:rPr>
        <w:br w:type="page"/>
      </w:r>
    </w:p>
    <w:p w14:paraId="29AED14B" w14:textId="01BFD0D2" w:rsidR="0077760B" w:rsidRPr="00B30A29" w:rsidRDefault="0077760B" w:rsidP="00B30A29">
      <w:pPr>
        <w:pStyle w:val="Heading1"/>
        <w:spacing w:line="480" w:lineRule="auto"/>
        <w:jc w:val="center"/>
        <w:rPr>
          <w:rFonts w:ascii="Times New Roman" w:hAnsi="Times New Roman" w:cs="Times New Roman"/>
          <w:b/>
          <w:bCs/>
          <w:color w:val="000000" w:themeColor="text1"/>
          <w:sz w:val="24"/>
          <w:szCs w:val="24"/>
        </w:rPr>
      </w:pPr>
      <w:bookmarkStart w:id="0" w:name="_Toc53212447"/>
      <w:r w:rsidRPr="00B30A29">
        <w:rPr>
          <w:rFonts w:ascii="Times New Roman" w:hAnsi="Times New Roman" w:cs="Times New Roman"/>
          <w:b/>
          <w:bCs/>
          <w:color w:val="000000" w:themeColor="text1"/>
          <w:sz w:val="24"/>
          <w:szCs w:val="24"/>
        </w:rPr>
        <w:lastRenderedPageBreak/>
        <w:t xml:space="preserve">Supplemental </w:t>
      </w:r>
      <w:r w:rsidR="00B30A29" w:rsidRPr="00B30A29">
        <w:rPr>
          <w:rFonts w:ascii="Times New Roman" w:hAnsi="Times New Roman" w:cs="Times New Roman"/>
          <w:b/>
          <w:bCs/>
          <w:color w:val="000000" w:themeColor="text1"/>
          <w:sz w:val="24"/>
          <w:szCs w:val="24"/>
        </w:rPr>
        <w:t>Methods</w:t>
      </w:r>
      <w:bookmarkEnd w:id="0"/>
    </w:p>
    <w:p w14:paraId="1258BB70" w14:textId="6AD4D36C" w:rsidR="00B30A29" w:rsidRPr="00B30A29" w:rsidRDefault="00B30A29" w:rsidP="00B30A29">
      <w:pPr>
        <w:pStyle w:val="Heading2"/>
        <w:spacing w:line="480" w:lineRule="auto"/>
        <w:rPr>
          <w:rFonts w:ascii="Times New Roman" w:hAnsi="Times New Roman" w:cs="Times New Roman"/>
          <w:b/>
          <w:bCs/>
          <w:color w:val="000000" w:themeColor="text1"/>
          <w:sz w:val="24"/>
          <w:szCs w:val="24"/>
        </w:rPr>
      </w:pPr>
      <w:bookmarkStart w:id="1" w:name="_Toc53212448"/>
      <w:r w:rsidRPr="00B30A29">
        <w:rPr>
          <w:rFonts w:ascii="Times New Roman" w:hAnsi="Times New Roman" w:cs="Times New Roman"/>
          <w:b/>
          <w:bCs/>
          <w:color w:val="000000" w:themeColor="text1"/>
          <w:sz w:val="24"/>
          <w:szCs w:val="24"/>
        </w:rPr>
        <w:t>Questionnaire Measures</w:t>
      </w:r>
      <w:bookmarkEnd w:id="1"/>
    </w:p>
    <w:p w14:paraId="031B9924" w14:textId="7376D4F2" w:rsidR="00B30A29" w:rsidRPr="00B30A29" w:rsidRDefault="00B30A29" w:rsidP="00B30A29">
      <w:pPr>
        <w:pStyle w:val="Heading3"/>
        <w:spacing w:line="480" w:lineRule="auto"/>
        <w:rPr>
          <w:rFonts w:ascii="Times New Roman" w:hAnsi="Times New Roman" w:cs="Times New Roman"/>
          <w:b/>
          <w:bCs/>
          <w:i/>
          <w:iCs/>
          <w:color w:val="000000" w:themeColor="text1"/>
        </w:rPr>
      </w:pPr>
      <w:bookmarkStart w:id="2" w:name="_Toc53212449"/>
      <w:r w:rsidRPr="00B30A29">
        <w:rPr>
          <w:rFonts w:ascii="Times New Roman" w:hAnsi="Times New Roman" w:cs="Times New Roman"/>
          <w:b/>
          <w:bCs/>
          <w:i/>
          <w:iCs/>
          <w:color w:val="000000" w:themeColor="text1"/>
        </w:rPr>
        <w:t>Social Responsiveness Scale–Second Edition (SRS-2)</w:t>
      </w:r>
      <w:bookmarkEnd w:id="2"/>
      <w:r w:rsidRPr="00B30A29">
        <w:rPr>
          <w:rFonts w:ascii="Times New Roman" w:hAnsi="Times New Roman" w:cs="Times New Roman"/>
          <w:b/>
          <w:bCs/>
          <w:i/>
          <w:iCs/>
          <w:color w:val="000000" w:themeColor="text1"/>
        </w:rPr>
        <w:t xml:space="preserve"> </w:t>
      </w:r>
    </w:p>
    <w:p w14:paraId="54CEA011" w14:textId="7132A6EE" w:rsidR="00B30A29" w:rsidRPr="00B30A29" w:rsidRDefault="00B30A29" w:rsidP="00B30A29">
      <w:pPr>
        <w:spacing w:line="480" w:lineRule="auto"/>
        <w:ind w:firstLine="720"/>
        <w:rPr>
          <w:color w:val="000000" w:themeColor="text1"/>
        </w:rPr>
      </w:pPr>
      <w:r w:rsidRPr="00B30A29">
        <w:rPr>
          <w:color w:val="000000" w:themeColor="text1"/>
        </w:rPr>
        <w:t xml:space="preserve">The SRS-2 Adult Self Report </w:t>
      </w:r>
      <w:r w:rsidRPr="00B30A29">
        <w:rPr>
          <w:color w:val="000000" w:themeColor="text1"/>
        </w:rPr>
        <w:fldChar w:fldCharType="begin"/>
      </w:r>
      <w:r w:rsidR="00175DD7">
        <w:rPr>
          <w:color w:val="000000" w:themeColor="text1"/>
        </w:rPr>
        <w:instrText xml:space="preserve"> ADDIN ZOTERO_ITEM CSL_CITATION {"citationID":"I1TpmGcZ","properties":{"formattedCitation":"(Bruni, 2014; Constantino &amp; Gruber, 2012)","plainCitation":"(Bruni, 2014; Constantino &amp; Gruber, 2012)","noteIndex":0},"citationItems":[{"id":29707,"uris":["http://zotero.org/users/6494596/items/L5EMWQIX"],"uri":["http://zotero.org/users/6494596/items/L5EMWQIX"],"itemData":{"id":29707,"type":"book","edition":"2nd","event-place":"Torrance, CA","ISBN":"978-0-7491-6743-1","publisher":"Western Psychological Services","publisher-place":"Torrance, CA","title":"Social Responsiveness Scale–Second Edition (SRS-2): Manual","author":[{"family":"Constantino","given":"John N"},{"family":"Gruber","given":"Christian P"}],"issued":{"date-parts":[["2012"]]}}},{"id":31334,"uris":["http://zotero.org/users/6494596/items/4MCN4Y2I"],"uri":["http://zotero.org/users/6494596/items/4MCN4Y2I"],"itemData":{"id":31334,"type":"article-journal","container-title":"Journal of Psychoeducational Assessment","DOI":"10.1177/0734282913517525","ISSN":"0734-2829","issue":"4","journalAbbreviation":"Journal of Psychoeducational Assessment","language":"en","note":"publisher: SAGE Publications Inc","page":"365-369","source":"SAGE Journals","title":"Test Review: Social Responsiveness Scale–Second Edition (SRS-2)","title-short":"Test Review","volume":"32","author":[{"family":"Bruni","given":"Teryn P."}],"issued":{"date-parts":[["2014",7,1]]}}}],"schema":"https://github.com/citation-style-language/schema/raw/master/csl-citation.json"} </w:instrText>
      </w:r>
      <w:r w:rsidRPr="00B30A29">
        <w:rPr>
          <w:color w:val="000000" w:themeColor="text1"/>
        </w:rPr>
        <w:fldChar w:fldCharType="separate"/>
      </w:r>
      <w:r w:rsidR="00175DD7">
        <w:rPr>
          <w:noProof/>
          <w:color w:val="000000" w:themeColor="text1"/>
        </w:rPr>
        <w:t>(Bruni, 2014; Constantino &amp; Gruber, 2012)</w:t>
      </w:r>
      <w:r w:rsidRPr="00B30A29">
        <w:rPr>
          <w:color w:val="000000" w:themeColor="text1"/>
        </w:rPr>
        <w:fldChar w:fldCharType="end"/>
      </w:r>
      <w:r w:rsidRPr="00B30A29">
        <w:rPr>
          <w:color w:val="000000" w:themeColor="text1"/>
        </w:rPr>
        <w:t xml:space="preserve"> is a widely used 65-item measure of quantitative autistic traits designed for use both in samples of autistic and general population adults. Items are scored on a 4-point Likert scale from </w:t>
      </w:r>
      <w:r w:rsidRPr="00B30A29">
        <w:rPr>
          <w:i/>
          <w:iCs/>
          <w:color w:val="000000" w:themeColor="text1"/>
        </w:rPr>
        <w:t xml:space="preserve">Not true </w:t>
      </w:r>
      <w:r w:rsidRPr="00B30A29">
        <w:rPr>
          <w:color w:val="000000" w:themeColor="text1"/>
        </w:rPr>
        <w:t xml:space="preserve">to </w:t>
      </w:r>
      <w:r w:rsidRPr="00B30A29">
        <w:rPr>
          <w:i/>
          <w:iCs/>
          <w:color w:val="000000" w:themeColor="text1"/>
        </w:rPr>
        <w:t>Almost always true</w:t>
      </w:r>
      <w:r w:rsidRPr="00B30A29">
        <w:rPr>
          <w:color w:val="000000" w:themeColor="text1"/>
        </w:rPr>
        <w:t>, with higher scores indicating higher levels of autistic symptomatology. T-scores (</w:t>
      </w:r>
      <w:r w:rsidRPr="00B30A29">
        <w:rPr>
          <w:i/>
          <w:iCs/>
          <w:color w:val="000000" w:themeColor="text1"/>
        </w:rPr>
        <w:t>M</w:t>
      </w:r>
      <w:r w:rsidRPr="00B30A29">
        <w:rPr>
          <w:color w:val="000000" w:themeColor="text1"/>
        </w:rPr>
        <w:t xml:space="preserve"> = 50, </w:t>
      </w:r>
      <w:r w:rsidRPr="00B30A29">
        <w:rPr>
          <w:i/>
          <w:iCs/>
          <w:color w:val="000000" w:themeColor="text1"/>
        </w:rPr>
        <w:t>SD</w:t>
      </w:r>
      <w:r w:rsidRPr="00B30A29">
        <w:rPr>
          <w:color w:val="000000" w:themeColor="text1"/>
        </w:rPr>
        <w:t xml:space="preserve"> = 10) are also available for individuals based on sex and the specific form used. In the current study, the SRS-2 adult self-report form was used in the SPARK cohort as a measure of quantitative autistic traits, from which overall T-scores were derived. Model-based coefficients of reliability and general factor saturation in the SPARK sample were excellent (</w:t>
      </w:r>
      <w:r w:rsidRPr="00B30A29">
        <w:rPr>
          <w:color w:val="000000" w:themeColor="text1"/>
        </w:rPr>
        <w:sym w:font="Symbol" w:char="F077"/>
      </w:r>
      <w:r w:rsidRPr="00B30A29">
        <w:rPr>
          <w:color w:val="000000" w:themeColor="text1"/>
          <w:vertAlign w:val="subscript"/>
        </w:rPr>
        <w:t>T</w:t>
      </w:r>
      <w:r w:rsidRPr="00B30A29">
        <w:rPr>
          <w:color w:val="000000" w:themeColor="text1"/>
        </w:rPr>
        <w:t xml:space="preserve"> = 0.955, </w:t>
      </w:r>
      <w:r w:rsidRPr="00B30A29">
        <w:rPr>
          <w:color w:val="000000" w:themeColor="text1"/>
        </w:rPr>
        <w:sym w:font="Symbol" w:char="F077"/>
      </w:r>
      <w:r w:rsidRPr="00B30A29">
        <w:rPr>
          <w:color w:val="000000" w:themeColor="text1"/>
          <w:vertAlign w:val="subscript"/>
        </w:rPr>
        <w:t>H</w:t>
      </w:r>
      <w:r w:rsidRPr="00B30A29">
        <w:rPr>
          <w:color w:val="000000" w:themeColor="text1"/>
        </w:rPr>
        <w:t xml:space="preserve"> = 0.920) when derived from a bifactor model with a common method factor for the reverse-coded items.</w:t>
      </w:r>
    </w:p>
    <w:p w14:paraId="15DF898B" w14:textId="77777777" w:rsidR="00B30A29" w:rsidRPr="00B30A29" w:rsidRDefault="00B30A29" w:rsidP="00B30A29">
      <w:pPr>
        <w:pStyle w:val="Heading3"/>
        <w:spacing w:line="480" w:lineRule="auto"/>
        <w:rPr>
          <w:rFonts w:ascii="Times New Roman" w:hAnsi="Times New Roman" w:cs="Times New Roman"/>
          <w:b/>
          <w:bCs/>
          <w:i/>
          <w:iCs/>
          <w:color w:val="000000" w:themeColor="text1"/>
        </w:rPr>
      </w:pPr>
      <w:bookmarkStart w:id="3" w:name="_Toc53212450"/>
      <w:r w:rsidRPr="00B30A29">
        <w:rPr>
          <w:rFonts w:ascii="Times New Roman" w:hAnsi="Times New Roman" w:cs="Times New Roman"/>
          <w:b/>
          <w:bCs/>
          <w:i/>
          <w:iCs/>
          <w:color w:val="000000" w:themeColor="text1"/>
        </w:rPr>
        <w:t>Repetitive Behavior Scale–Revised, Self-Report (RBS-R)</w:t>
      </w:r>
      <w:bookmarkEnd w:id="3"/>
    </w:p>
    <w:p w14:paraId="3BAC4A0D" w14:textId="5770ADC3" w:rsidR="00B30A29" w:rsidRPr="00B30A29" w:rsidRDefault="00B30A29" w:rsidP="00B30A29">
      <w:pPr>
        <w:spacing w:line="480" w:lineRule="auto"/>
        <w:rPr>
          <w:color w:val="000000" w:themeColor="text1"/>
        </w:rPr>
      </w:pPr>
      <w:r w:rsidRPr="00B30A29">
        <w:rPr>
          <w:color w:val="000000" w:themeColor="text1"/>
        </w:rPr>
        <w:tab/>
        <w:t xml:space="preserve">The RBS-R </w:t>
      </w:r>
      <w:r w:rsidRPr="00B30A29">
        <w:rPr>
          <w:color w:val="000000" w:themeColor="text1"/>
        </w:rPr>
        <w:fldChar w:fldCharType="begin"/>
      </w:r>
      <w:r w:rsidR="00175DD7">
        <w:rPr>
          <w:color w:val="000000" w:themeColor="text1"/>
        </w:rPr>
        <w:instrText xml:space="preserve"> ADDIN ZOTERO_ITEM CSL_CITATION {"citationID":"opzGyciC","properties":{"formattedCitation":"(Bodfish et al., 2000; Lam &amp; Aman, 2007; McDermott et al., 2020)","plainCitation":"(Bodfish et al., 2000; Lam &amp; Aman, 2007; McDermott et al., 2020)","noteIndex":0},"citationItems":[{"id":31338,"uris":["http://zotero.org/users/6494596/items/DUH3JRIA"],"uri":["http://zotero.org/users/6494596/items/DUH3JRIA"],"itemData":{"id":31338,"type":"article-journal","abstract":"Systematic study of abnormal repetitive behaviors in autism has been lacking despite the diagnostic significance of such behavior. The occurrence of specific topographies of repetitive behaviors as well as their severity was assessed in individuals with mental retardation with and without autism. The occurrence of each behavior category, except dyskinesias, was higher in the autism group and autistic subjects exhibited a significantly greater number of topographies of stereotypy and compulsions. Both groups had significant patterns of repetitive behavior co-occurrence. Autistic subjects had significantly greater severity ratings for compulsions, stereotypy, and self-injury. Repetitive behavior severity also predicted severity of autism. Although abnormal repetition is not specific to autism, an elevated pattern of occurrence and severity appears to characterize the disorder.","container-title":"Journal of Autism and Developmental Disorders","DOI":"10.1023/A:1005596502855","ISSN":"1573-3432","issue":"3","journalAbbreviation":"J Autism Dev Disord","language":"en","page":"237-243","source":"Springer Link","title":"Varieties of repetitive behavior in autism: Comparisons to mental retardation.","title-short":"Varieties of Repetitive Behavior in Autism","volume":"30","author":[{"family":"Bodfish","given":"James W."},{"family":"Symons","given":"Frank J."},{"family":"Parker","given":"Dawn E."},{"family":"Lewis","given":"Mark H."}],"issued":{"date-parts":[["2000",6,1]]}}},{"id":31340,"uris":["http://zotero.org/users/6494596/items/MJ347XB9"],"uri":["http://zotero.org/users/6494596/items/MJ347XB9"],"itemData":{"id":31340,"type":"article-journal","abstract":"A key feature of autism is restricted repetitive behavior (RRB). Despite the significance of RRBs, little is known about their phenomenology, assessment, and treatment. The Repetitive Behavior Scale-Revised (RBS-R) is a recently-developed questionnaire that captures the breadth of RRB in autism. To validate the RBS-R in an independent sample, we conducted a survey within the South Carolina Autism Society. A total of 320 caregivers (32%) responded. Factor analysis produced a five-factor solution that was clinically meaningful and statistically sound. The factors were labeled \"Ritualistic/Sameness Behavior,\" \"Stereotypic Behavior,\" \"Self-injurious Behavior,\" \"Compulsive Behavior,\" and \"Restricted Interests.\" Measures of internal consistency were high for this solution, and interrater reliability data suggested that the RBS-R performs well in outpatient settings.","container-title":"Journal of Autism and Developmental Disorders","DOI":"10.1007/s10803-006-0213-z","ISSN":"0162-3257, 1573-3432","issue":"5","journalAbbreviation":"J Autism Dev Disord","language":"en","page":"855-866","source":"DOI.org (Crossref)","title":"The Repetitive Behavior Scale-Revised: Independent validation in individuals with autism spectrum disorders.","title-short":"The Repetitive Behavior Scale-Revised","volume":"37","author":[{"family":"Lam","given":"Kristen S. L."},{"family":"Aman","given":"Michael G."}],"issued":{"date-parts":[["2007",5,17]]}}},{"id":31341,"uris":["http://zotero.org/users/6494596/items/63D2IVEA"],"uri":["http://zotero.org/users/6494596/items/63D2IVEA"],"itemData":{"id":31341,"type":"article-journal","abstract":"Background: Restricted and repetitive behaviors (RRBs) are core features of autism. Factor-analytic studies composed primarily of children have provided evidence for two domains of RRBs: Repetitive Sensory Motor (RSM) and Insistence on Sameness (IS) behaviors. The present study explores the validity of the Autism Diagnostic Interview-Revised (ADI-R) and the Repetitive Behavior Scale-Revised (RBS-R) for assessing these RRB subtypes in autistic adolescents and adults.Methods: The sample included 293 participants (Mage = 19.89 years, SDage = 4.88 years) whose RRBs were assessed via ADI-R, RBS-R Caregiver Report or RBS-R Self-Report. Confirmatory factor analysis (CFA) was conducted to assess the validity of the two-factor structure for each instrument. Cronbach's alpha was computed to assess subscale reliability. Correlations were examined between instrument subscales and nonverbal intelligence quotient (NVIQ) and age.Results: Exploratory correlations were modest and provided weak evidence in favor of the utility of a CFA for the ADI-R. The RBS-R Caregiver and Self-Report CFA and internal consistencies supported the two-factor RSM and IS model tested. Consistent with previous literature, NVIQ was negatively correlated with the RBS-R Caregiver RSM subscale, but not meaningfully associated with IS. Neither RBS-R Self-Report subscale was meaningfully correlated with NVIQ. Across instruments, RSM subscales were correlated, but associations between IS were minimal.Conclusions: The present study provides initial support for the use of the RBS-R Caregiver and Self-Report to measure dimensions of RSM and IS behaviors in autistic adolescents and adults. The present data did not support the use of the ADI-R to assess these RRB subtypes in older individuals. Conclusions must be interpreted cautiously in light of the present study's sample limitations. Additional research is needed to understand differences in caregiver-reported and self-reported RRBs. Further research on RRBs in autistic adolescents and adults, particularly in samples with more gender and racial/ethnic diversity, is critical to inform community understanding and knowledge of autism in adulthood.Lay summaryWhy was this study done?Restricted and repetitive behaviors (RRBs) are features necessary for the diagnosis of autism spectrum disorder and are assessed at all ages. It cannot be assumed, however, that instruments designed for assessing children are appropriate for use with older individuals. Therefore, we explored whether the Autism Diagnostic Interview-Revised (ADI-R) and the Repetitive Behavior Scale-Revised (RBS-R) questionnaire, instruments used to evaluate RRBs in children, can be used to assess adolescents and adults. This information is important to inform clinicians and researchers about the best ways to assess RRBs in older individuals.What was the purpose of this study?The purpose of this study was to determine if the ADI-R and RBS-R are appropriate to assess RRBs in autistic adults. Since RRBs are broad, we focused on how well these instruments measure two categories of RRBs: Repetitive Sensory Motor (RSM) and Insistence on Sameness (IS) behaviors. RSM includes behaviors such as hand flapping and lining up objects. IS includes behaviors such as negative responses to change and adherence to specific routines. Research supports the ADI-R and RBS-R for assessing these categories in children; however, little is known about their use in older samples. This study aimed to address this research gap.What did the researchers do?We used existing data from autistic adolescent and adults assessed using ADI-R, RBS-R Caregiver, or RBS-R Self-Report. We assessed the relationships between items on each instrument, whether items were meaningfully related to support categories of RSM and IS, and whether instrument subscales were related to age and nonverbal intelligence.What were the results of the study?Results provided support for use of the RBS-R Caregiver and Self-Report, but not the ADI-R, for assessing RSM and IS behaviors in adults. Scores on the RBS-R forms were not strongly related, suggesting that caregiver report and self-report may reflect different behaviors. This could be explained by caregivers not being aware of some behaviors their adult son or daughter exhibit. This would be consistent with previous research suggesting that autistic adults may hide or mask certain behaviors; however, this was not tested in this study.What do these findings add to what was already known?Findings demonstrate that the RBS-R Caregiver, commonly used to assess RRBs in children, can also be used to measure RSM and IS behaviors in autistic adolescents and adults. Results also provide initial evidence for the use of the RBS-R Self-Report to assess these behaviors in adults.What are potential weaknesses in the study?The sample was small and did not include equal representation of females and nonbinary identities, non-White or non-Hispanic ethnicities, individuals with intellectual disability, or older adults. Also, participants did not have data from all three instruments.How will these findings help autistic adults now or in the future?Findings inform clinicians and researchers about methods available to assess RRBs in adults. While further research is needed, especially in samples with more gender and racial/ethnic diversity, these results will contribute to more appropriate assessment of adults in clinical practice and research.","container-title":"Autism in Adulthood","DOI":"10.1089/aut.2019.0056","ISSN":"2573-9581","issue":"1","note":"publisher: Mary Ann Liebert, Inc., publishers","page":"48-60","source":"liebertpub.com (Atypon)","title":"Measurement of subcategories of repetitive behaviors in autistic adolescents and adults","volume":"2","author":[{"family":"McDermott","given":"Courtney R."},{"family":"Farmer","given":"Cristan"},{"family":"Gotham","given":"Katherine O."},{"family":"Bal","given":"Vanessa H."}],"issued":{"date-parts":[["2020",3,1]]}}}],"schema":"https://github.com/citation-style-language/schema/raw/master/csl-citation.json"} </w:instrText>
      </w:r>
      <w:r w:rsidRPr="00B30A29">
        <w:rPr>
          <w:color w:val="000000" w:themeColor="text1"/>
        </w:rPr>
        <w:fldChar w:fldCharType="separate"/>
      </w:r>
      <w:r w:rsidR="00175DD7">
        <w:rPr>
          <w:color w:val="000000" w:themeColor="text1"/>
        </w:rPr>
        <w:t>(Bodfish et al., 2000; Lam &amp; Aman, 2007; McDermott et al., 2020)</w:t>
      </w:r>
      <w:r w:rsidRPr="00B30A29">
        <w:rPr>
          <w:color w:val="000000" w:themeColor="text1"/>
        </w:rPr>
        <w:fldChar w:fldCharType="end"/>
      </w:r>
      <w:r w:rsidRPr="00B30A29">
        <w:rPr>
          <w:color w:val="000000" w:themeColor="text1"/>
        </w:rPr>
        <w:t xml:space="preserve"> is a 43-item measure of repetitive behaviors associated with autism, originally designed for caregivers to report on the behaviors of their children. Items are scored on a four-point Likert scale from </w:t>
      </w:r>
      <w:r w:rsidRPr="00B30A29">
        <w:rPr>
          <w:i/>
          <w:iCs/>
          <w:color w:val="000000" w:themeColor="text1"/>
        </w:rPr>
        <w:t>Behavior does not occur</w:t>
      </w:r>
      <w:r w:rsidRPr="00B30A29">
        <w:rPr>
          <w:color w:val="000000" w:themeColor="text1"/>
        </w:rPr>
        <w:t xml:space="preserve"> to </w:t>
      </w:r>
      <w:r w:rsidRPr="00B30A29">
        <w:rPr>
          <w:i/>
          <w:iCs/>
          <w:color w:val="000000" w:themeColor="text1"/>
        </w:rPr>
        <w:t>Behavior occurs and is a severe problem</w:t>
      </w:r>
      <w:r w:rsidRPr="00B30A29">
        <w:rPr>
          <w:color w:val="000000" w:themeColor="text1"/>
        </w:rPr>
        <w:t xml:space="preserve">. When deciding on a score for each item, respondents are directed to how frequently the behavior occurs, how difficult the behavior is to interrupt, and how much the behavior interferes with ongoing events, resulting in a global severity rating for each listed behavior. Recently, this form has been adapted for self-report by cognitively-able adolescents and adults on the autism spectrum, and preliminary psychometric work has supported the reliability and convergent validity of self-reported </w:t>
      </w:r>
      <w:r w:rsidRPr="00B30A29">
        <w:rPr>
          <w:i/>
          <w:iCs/>
          <w:color w:val="000000" w:themeColor="text1"/>
        </w:rPr>
        <w:t xml:space="preserve">Sensory </w:t>
      </w:r>
      <w:r w:rsidRPr="00B30A29">
        <w:rPr>
          <w:i/>
          <w:iCs/>
          <w:color w:val="000000" w:themeColor="text1"/>
        </w:rPr>
        <w:lastRenderedPageBreak/>
        <w:t>Motor</w:t>
      </w:r>
      <w:r w:rsidRPr="00B30A29">
        <w:rPr>
          <w:color w:val="000000" w:themeColor="text1"/>
        </w:rPr>
        <w:t> (SM; 7 items) and </w:t>
      </w:r>
      <w:r w:rsidRPr="00B30A29">
        <w:rPr>
          <w:i/>
          <w:iCs/>
          <w:color w:val="000000" w:themeColor="text1"/>
        </w:rPr>
        <w:t>Ritualistic/Sameness</w:t>
      </w:r>
      <w:r w:rsidRPr="00B30A29">
        <w:rPr>
          <w:color w:val="000000" w:themeColor="text1"/>
        </w:rPr>
        <w:t xml:space="preserve"> (RS; 11 items) subscale scores </w:t>
      </w:r>
      <w:r w:rsidRPr="00B30A29">
        <w:rPr>
          <w:color w:val="000000" w:themeColor="text1"/>
        </w:rPr>
        <w:fldChar w:fldCharType="begin"/>
      </w:r>
      <w:r w:rsidR="00175DD7">
        <w:rPr>
          <w:color w:val="000000" w:themeColor="text1"/>
        </w:rPr>
        <w:instrText xml:space="preserve"> ADDIN ZOTERO_ITEM CSL_CITATION {"citationID":"yzNO06b5","properties":{"formattedCitation":"(Bishop et al., 2013)","plainCitation":"(Bishop et al., 2013)","noteIndex":0},"citationItems":[{"id":30411,"uris":["http://zotero.org/users/6494596/items/GTQ6SJED"],"uri":["http://zotero.org/users/6494596/items/GTQ6SJED"],"itemData":{"id":30411,"type":"article-journal","abstract":"Research suggests that restricted and repetitive behaviors (RRBs) can be subdivided into repetitive sensory motor (RSM) and insistence on sameness (IS) behaviors. However, because the majority of previous studies have used the autism diagnostic interview-revised (ADI-R), it is not clear whether these subcategories reflect the actual organization of RRBs in ASD. Using data from the Simons simplex collection (n = 1,825), we examined the association between scores on the ADI-R and the repetitive behavior scale-revised. Analyses supported the construct validity of RSM and IS subcategories. As in previous studies, IS behaviors showed no relationship with IQ. These findings support the continued use of RRB subcategories, particularly IS behaviors, as a means of creating more behaviorally homogeneous subgroups of children with ASD.","container-title":"Journal of Autism and Developmental Disorders","DOI":"10.1007/s10803-012-1671-0","ISSN":"0162-3257, 1573-3432","issue":"6","journalAbbreviation":"J Autism Dev Disord","language":"en","page":"1287-1297","source":"DOI.org (Crossref)","title":"Subcategories of restricted and repetitive behaviors in children with autism spectrum disorders.","volume":"43","author":[{"family":"Bishop","given":"Somer L."},{"family":"Hus","given":"Vanessa"},{"family":"Duncan","given":"Amie"},{"family":"Huerta","given":"Marisela"},{"family":"Gotham","given":"Katherine"},{"family":"Pickles","given":"Andrew"},{"family":"Kreiger","given":"Abba"},{"family":"Buja","given":"Andreas"},{"family":"Lund","given":"Sabata"},{"family":"Lord","given":"Catherine"}],"issued":{"date-parts":[["2013",6]]}}}],"schema":"https://github.com/citation-style-language/schema/raw/master/csl-citation.json"} </w:instrText>
      </w:r>
      <w:r w:rsidRPr="00B30A29">
        <w:rPr>
          <w:color w:val="000000" w:themeColor="text1"/>
        </w:rPr>
        <w:fldChar w:fldCharType="separate"/>
      </w:r>
      <w:r w:rsidR="00175DD7">
        <w:rPr>
          <w:noProof/>
          <w:color w:val="000000" w:themeColor="text1"/>
        </w:rPr>
        <w:t>(Bishop et al., 2013)</w:t>
      </w:r>
      <w:r w:rsidRPr="00B30A29">
        <w:rPr>
          <w:color w:val="000000" w:themeColor="text1"/>
        </w:rPr>
        <w:fldChar w:fldCharType="end"/>
      </w:r>
      <w:r w:rsidRPr="00B30A29">
        <w:rPr>
          <w:color w:val="000000" w:themeColor="text1"/>
        </w:rPr>
        <w:t xml:space="preserve"> as indicators of “lower-order” and “higher-order” repetitive behaviors, respectively </w:t>
      </w:r>
      <w:r w:rsidRPr="00B30A29">
        <w:rPr>
          <w:color w:val="000000" w:themeColor="text1"/>
        </w:rPr>
        <w:fldChar w:fldCharType="begin"/>
      </w:r>
      <w:r w:rsidR="00175DD7">
        <w:rPr>
          <w:color w:val="000000" w:themeColor="text1"/>
        </w:rPr>
        <w:instrText xml:space="preserve"> ADDIN ZOTERO_ITEM CSL_CITATION {"citationID":"cBwlqg6V","properties":{"formattedCitation":"(McDermott et al., 2020)","plainCitation":"(McDermott et al., 2020)","noteIndex":0},"citationItems":[{"id":31341,"uris":["http://zotero.org/users/6494596/items/63D2IVEA"],"uri":["http://zotero.org/users/6494596/items/63D2IVEA"],"itemData":{"id":31341,"type":"article-journal","abstract":"Background: Restricted and repetitive behaviors (RRBs) are core features of autism. Factor-analytic studies composed primarily of children have provided evidence for two domains of RRBs: Repetitive Sensory Motor (RSM) and Insistence on Sameness (IS) behaviors. The present study explores the validity of the Autism Diagnostic Interview-Revised (ADI-R) and the Repetitive Behavior Scale-Revised (RBS-R) for assessing these RRB subtypes in autistic adolescents and adults.Methods: The sample included 293 participants (Mage = 19.89 years, SDage = 4.88 years) whose RRBs were assessed via ADI-R, RBS-R Caregiver Report or RBS-R Self-Report. Confirmatory factor analysis (CFA) was conducted to assess the validity of the two-factor structure for each instrument. Cronbach's alpha was computed to assess subscale reliability. Correlations were examined between instrument subscales and nonverbal intelligence quotient (NVIQ) and age.Results: Exploratory correlations were modest and provided weak evidence in favor of the utility of a CFA for the ADI-R. The RBS-R Caregiver and Self-Report CFA and internal consistencies supported the two-factor RSM and IS model tested. Consistent with previous literature, NVIQ was negatively correlated with the RBS-R Caregiver RSM subscale, but not meaningfully associated with IS. Neither RBS-R Self-Report subscale was meaningfully correlated with NVIQ. Across instruments, RSM subscales were correlated, but associations between IS were minimal.Conclusions: The present study provides initial support for the use of the RBS-R Caregiver and Self-Report to measure dimensions of RSM and IS behaviors in autistic adolescents and adults. The present data did not support the use of the ADI-R to assess these RRB subtypes in older individuals. Conclusions must be interpreted cautiously in light of the present study's sample limitations. Additional research is needed to understand differences in caregiver-reported and self-reported RRBs. Further research on RRBs in autistic adolescents and adults, particularly in samples with more gender and racial/ethnic diversity, is critical to inform community understanding and knowledge of autism in adulthood.Lay summaryWhy was this study done?Restricted and repetitive behaviors (RRBs) are features necessary for the diagnosis of autism spectrum disorder and are assessed at all ages. It cannot be assumed, however, that instruments designed for assessing children are appropriate for use with older individuals. Therefore, we explored whether the Autism Diagnostic Interview-Revised (ADI-R) and the Repetitive Behavior Scale-Revised (RBS-R) questionnaire, instruments used to evaluate RRBs in children, can be used to assess adolescents and adults. This information is important to inform clinicians and researchers about the best ways to assess RRBs in older individuals.What was the purpose of this study?The purpose of this study was to determine if the ADI-R and RBS-R are appropriate to assess RRBs in autistic adults. Since RRBs are broad, we focused on how well these instruments measure two categories of RRBs: Repetitive Sensory Motor (RSM) and Insistence on Sameness (IS) behaviors. RSM includes behaviors such as hand flapping and lining up objects. IS includes behaviors such as negative responses to change and adherence to specific routines. Research supports the ADI-R and RBS-R for assessing these categories in children; however, little is known about their use in older samples. This study aimed to address this research gap.What did the researchers do?We used existing data from autistic adolescent and adults assessed using ADI-R, RBS-R Caregiver, or RBS-R Self-Report. We assessed the relationships between items on each instrument, whether items were meaningfully related to support categories of RSM and IS, and whether instrument subscales were related to age and nonverbal intelligence.What were the results of the study?Results provided support for use of the RBS-R Caregiver and Self-Report, but not the ADI-R, for assessing RSM and IS behaviors in adults. Scores on the RBS-R forms were not strongly related, suggesting that caregiver report and self-report may reflect different behaviors. This could be explained by caregivers not being aware of some behaviors their adult son or daughter exhibit. This would be consistent with previous research suggesting that autistic adults may hide or mask certain behaviors; however, this was not tested in this study.What do these findings add to what was already known?Findings demonstrate that the RBS-R Caregiver, commonly used to assess RRBs in children, can also be used to measure RSM and IS behaviors in autistic adolescents and adults. Results also provide initial evidence for the use of the RBS-R Self-Report to assess these behaviors in adults.What are potential weaknesses in the study?The sample was small and did not include equal representation of females and nonbinary identities, non-White or non-Hispanic ethnicities, individuals with intellectual disability, or older adults. Also, participants did not have data from all three instruments.How will these findings help autistic adults now or in the future?Findings inform clinicians and researchers about methods available to assess RRBs in adults. While further research is needed, especially in samples with more gender and racial/ethnic diversity, these results will contribute to more appropriate assessment of adults in clinical practice and research.","container-title":"Autism in Adulthood","DOI":"10.1089/aut.2019.0056","ISSN":"2573-9581","issue":"1","note":"publisher: Mary Ann Liebert, Inc., publishers","page":"48-60","source":"liebertpub.com (Atypon)","title":"Measurement of subcategories of repetitive behaviors in autistic adolescents and adults","volume":"2","author":[{"family":"McDermott","given":"Courtney R."},{"family":"Farmer","given":"Cristan"},{"family":"Gotham","given":"Katherine O."},{"family":"Bal","given":"Vanessa H."}],"issued":{"date-parts":[["2020",3,1]]}}}],"schema":"https://github.com/citation-style-language/schema/raw/master/csl-citation.json"} </w:instrText>
      </w:r>
      <w:r w:rsidRPr="00B30A29">
        <w:rPr>
          <w:color w:val="000000" w:themeColor="text1"/>
        </w:rPr>
        <w:fldChar w:fldCharType="separate"/>
      </w:r>
      <w:r w:rsidR="00175DD7">
        <w:rPr>
          <w:noProof/>
          <w:color w:val="000000" w:themeColor="text1"/>
        </w:rPr>
        <w:t>(McDermott et al., 2020)</w:t>
      </w:r>
      <w:r w:rsidRPr="00B30A29">
        <w:rPr>
          <w:color w:val="000000" w:themeColor="text1"/>
        </w:rPr>
        <w:fldChar w:fldCharType="end"/>
      </w:r>
      <w:r w:rsidRPr="00B30A29">
        <w:rPr>
          <w:color w:val="000000" w:themeColor="text1"/>
        </w:rPr>
        <w:t>. Although the RBS-R contains additional subscales, we constrained our analyses to these two scores given that the other scores have not been validated in the self-report format. In the SPARK sample, model-based reliability coefficients based on a two-factor oblique solution were adequate for both the self-reported SM and RS subscales (</w:t>
      </w:r>
      <w:r w:rsidRPr="00B30A29">
        <w:rPr>
          <w:color w:val="000000" w:themeColor="text1"/>
        </w:rPr>
        <w:sym w:font="Symbol" w:char="F077"/>
      </w:r>
      <w:r w:rsidRPr="00B30A29">
        <w:rPr>
          <w:color w:val="000000" w:themeColor="text1"/>
          <w:vertAlign w:val="subscript"/>
        </w:rPr>
        <w:t>S</w:t>
      </w:r>
      <w:r w:rsidRPr="00B30A29">
        <w:rPr>
          <w:color w:val="000000" w:themeColor="text1"/>
        </w:rPr>
        <w:t xml:space="preserve"> = 0.811 and 0.903, respectively).</w:t>
      </w:r>
    </w:p>
    <w:p w14:paraId="5BA1A32C" w14:textId="77777777" w:rsidR="00B30A29" w:rsidRPr="00B30A29" w:rsidRDefault="00B30A29" w:rsidP="00B30A29">
      <w:pPr>
        <w:pStyle w:val="Heading3"/>
        <w:spacing w:line="480" w:lineRule="auto"/>
        <w:rPr>
          <w:rFonts w:ascii="Times New Roman" w:hAnsi="Times New Roman" w:cs="Times New Roman"/>
          <w:b/>
          <w:bCs/>
          <w:i/>
          <w:iCs/>
          <w:color w:val="000000" w:themeColor="text1"/>
        </w:rPr>
      </w:pPr>
      <w:bookmarkStart w:id="4" w:name="_Toc53212451"/>
      <w:r w:rsidRPr="00B30A29">
        <w:rPr>
          <w:rFonts w:ascii="Times New Roman" w:hAnsi="Times New Roman" w:cs="Times New Roman"/>
          <w:b/>
          <w:bCs/>
          <w:i/>
          <w:iCs/>
          <w:color w:val="000000" w:themeColor="text1"/>
        </w:rPr>
        <w:t>Beck Depression Inventory–II (BDI-II)</w:t>
      </w:r>
      <w:bookmarkEnd w:id="4"/>
      <w:r w:rsidRPr="00B30A29">
        <w:rPr>
          <w:rFonts w:ascii="Times New Roman" w:hAnsi="Times New Roman" w:cs="Times New Roman"/>
          <w:b/>
          <w:bCs/>
          <w:i/>
          <w:iCs/>
          <w:color w:val="000000" w:themeColor="text1"/>
        </w:rPr>
        <w:t xml:space="preserve"> </w:t>
      </w:r>
    </w:p>
    <w:p w14:paraId="62FDAFA4" w14:textId="1B326B33" w:rsidR="00B30A29" w:rsidRPr="00B30A29" w:rsidRDefault="00B30A29" w:rsidP="00B30A29">
      <w:pPr>
        <w:spacing w:line="480" w:lineRule="auto"/>
        <w:ind w:firstLine="720"/>
        <w:rPr>
          <w:i/>
          <w:iCs/>
          <w:color w:val="000000" w:themeColor="text1"/>
        </w:rPr>
      </w:pPr>
      <w:r w:rsidRPr="00B30A29">
        <w:rPr>
          <w:color w:val="000000" w:themeColor="text1"/>
        </w:rPr>
        <w:t xml:space="preserve">The BDI-II </w:t>
      </w:r>
      <w:r w:rsidRPr="00B30A29">
        <w:rPr>
          <w:color w:val="000000" w:themeColor="text1"/>
        </w:rPr>
        <w:fldChar w:fldCharType="begin"/>
      </w:r>
      <w:r w:rsidR="00175DD7">
        <w:rPr>
          <w:color w:val="000000" w:themeColor="text1"/>
        </w:rPr>
        <w:instrText xml:space="preserve"> ADDIN ZOTERO_ITEM CSL_CITATION {"citationID":"nNh77Jke","properties":{"formattedCitation":"(Beck et al., 1996)","plainCitation":"(Beck et al., 1996)","noteIndex":0},"citationItems":[{"id":29706,"uris":["http://zotero.org/users/6494596/items/ENQ9X9MF"],"uri":["http://zotero.org/users/6494596/items/ENQ9X9MF"],"itemData":{"id":29706,"type":"book","call-number":"RC537 .B39 1996","edition":"2nd ed","event-place":"San Antonio, TX","ISBN":"978-0-15-801838-6","number-of-pages":"38","publisher":"Psychological Corporation","publisher-place":"San Antonio, TX","source":"Library of Congress ISBN","title":"BDI-II, Beck Depression Inventory: Manual","title-short":"BDI-II, Beck depression inventory","author":[{"family":"Beck","given":"Aaron T."},{"family":"Steer","given":"Robert A."},{"family":"Brown","given":"Gregory K."}],"issued":{"date-parts":[["1996"]]}}}],"schema":"https://github.com/citation-style-language/schema/raw/master/csl-citation.json"} </w:instrText>
      </w:r>
      <w:r w:rsidRPr="00B30A29">
        <w:rPr>
          <w:color w:val="000000" w:themeColor="text1"/>
        </w:rPr>
        <w:fldChar w:fldCharType="separate"/>
      </w:r>
      <w:r w:rsidR="00175DD7">
        <w:rPr>
          <w:noProof/>
          <w:color w:val="000000" w:themeColor="text1"/>
        </w:rPr>
        <w:t>(Beck et al., 1996)</w:t>
      </w:r>
      <w:r w:rsidRPr="00B30A29">
        <w:rPr>
          <w:color w:val="000000" w:themeColor="text1"/>
        </w:rPr>
        <w:fldChar w:fldCharType="end"/>
      </w:r>
      <w:r w:rsidRPr="00B30A29">
        <w:rPr>
          <w:color w:val="000000" w:themeColor="text1"/>
        </w:rPr>
        <w:t xml:space="preserve"> is a widely used 21-item self-report measure of depressive symptoms experienced over the past two weeks. The severity of each symptom is rated on a four-point Likert scale with unique anchors for each question. This measure is typically modeled as a bifactor structure, with two specific factors representing “cognitive-affective” and “somatic-vegetative” symptoms of depression, although almost all reliable variance is attributable to the general depression factor </w:t>
      </w:r>
      <w:r w:rsidRPr="00B30A29">
        <w:rPr>
          <w:color w:val="000000" w:themeColor="text1"/>
        </w:rPr>
        <w:fldChar w:fldCharType="begin"/>
      </w:r>
      <w:r w:rsidR="00175DD7">
        <w:rPr>
          <w:color w:val="000000" w:themeColor="text1"/>
        </w:rPr>
        <w:instrText xml:space="preserve"> ADDIN ZOTERO_ITEM CSL_CITATION {"citationID":"R82f3qQO","properties":{"formattedCitation":"(Brouwer et al., 2013; Williams et al., 2020)","plainCitation":"(Brouwer et al., 2013; Williams et al., 2020)","noteIndex":0},"citationItems":[{"id":31308,"uris":["http://zotero.org/users/6494596/items/LM9RQZFJ"],"uri":["http://zotero.org/users/6494596/items/LM9RQZFJ"],"itemData":{"id":31308,"type":"article-journal","abstract":"Depressive disorders are common in autistic adults, but few studies have examined the extent to which common depression questionnaires are psychometrically appropriate for use in this population. Using item response theory, this study examined the psychometric properties of the Beck Depression Inventory–II (BDI-II) in a sample of 947 autistic adults. BDI-II latent trait scores exhibited strong reliability, construct validity, and moderate ability to discriminate between depressed and nondepressed adults on the autism spectrum (area under the receiver operating characteristic curve = 0.796 [0.763, 0.826], sensitivity = 0.820 [0.785, 0.852], specificity = 0.653 [0.601, 0.699]). These results collectively indicate that the BDI-II is a valid measure of depressive symptoms in autistic adults, appropriate for quantifying depression severity in research studies or screening for depressive disorders in clinical settings. A free online score calculator has been created to facilitate the use of BDI-II latent trait scores for clinical and research applications (available at https://asdmeasures.shinyapps.io/bdi_score/ ).","container-title":"Assessment","DOI":"10.1177/1073191120952889","ISSN":"1073-1911, 1552-3489","journalAbbreviation":"Assessment","language":"en","page":"107319112095288","source":"DOI.org (Crossref)","title":"Measuring Depression in Autistic Adults: Psychometric Validation of the Beck Depression Inventory–II","title-short":"Measuring Depression in Autistic Adults","author":[{"family":"Williams","given":"Zachary J."},{"family":"Everaert","given":"Jonas"},{"family":"Gotham","given":"Katherine O."}],"issued":{"date-parts":[["2020",8,29]]}}},{"id":14552,"uris":["http://zotero.org/users/6494596/items/VR4KCIIS"],"uri":["http://zotero.org/users/6494596/items/VR4KCIIS"],"itemData":{"id":14552,"type":"article-journal","abstract":"The Beck Depression Inventory-II (BDI-II; Beck, Steer, &amp; Brown, 1996) is intended to measure severity of depression, and because items represent a broad range of depressive symptoms, some multidimensionality exists. In recent factor-analytic studies, there has been a debate about whether the BDI-II can be considered as one scale or whether subscales should be distinguished. In the present study, we applied a bifactor model to evaluate the extent to which scores reflect a single variable in a large sample of 1,530 clinical outpatients. We found that total scale score variation reflected some multidimensionality, but not enough to justify the scoring of subscales. We conclude that the BDI-II total scale score reflects a single construct and that reporting and interpreting subscale scores may result in misleading conclusions.","container-title":"Psychological Assessment","DOI":"10.1037/a0029228","issue":"1","page":"136-145","title":"On the factor structure of the Beck Depression Inventory-II: G is the key.","volume":"25","author":[{"family":"Brouwer","given":"Danny"},{"family":"Meijer","given":"Rob R"},{"family":"Zevalkink","given":"Jolien"}],"issued":{"date-parts":[["2013"]]}}}],"schema":"https://github.com/citation-style-language/schema/raw/master/csl-citation.json"} </w:instrText>
      </w:r>
      <w:r w:rsidRPr="00B30A29">
        <w:rPr>
          <w:color w:val="000000" w:themeColor="text1"/>
        </w:rPr>
        <w:fldChar w:fldCharType="separate"/>
      </w:r>
      <w:r w:rsidR="00175DD7">
        <w:rPr>
          <w:noProof/>
          <w:color w:val="000000" w:themeColor="text1"/>
        </w:rPr>
        <w:t>(Brouwer et al., 2013; Williams et al., 2020)</w:t>
      </w:r>
      <w:r w:rsidRPr="00B30A29">
        <w:rPr>
          <w:color w:val="000000" w:themeColor="text1"/>
        </w:rPr>
        <w:fldChar w:fldCharType="end"/>
      </w:r>
      <w:r w:rsidRPr="00B30A29">
        <w:rPr>
          <w:color w:val="000000" w:themeColor="text1"/>
        </w:rPr>
        <w:t xml:space="preserve">. The BDI-II is a reliable and valid measure of depression symptom severity in the autistic adult population, and normed latent trait scores on the general depression factor have been derived specifically to quantify general depression symptomatology in autistic adults </w:t>
      </w:r>
      <w:r w:rsidRPr="00B30A29">
        <w:rPr>
          <w:color w:val="000000" w:themeColor="text1"/>
        </w:rPr>
        <w:fldChar w:fldCharType="begin"/>
      </w:r>
      <w:r w:rsidR="00175DD7">
        <w:rPr>
          <w:color w:val="000000" w:themeColor="text1"/>
        </w:rPr>
        <w:instrText xml:space="preserve"> ADDIN ZOTERO_ITEM CSL_CITATION {"citationID":"IxOEF2ue","properties":{"formattedCitation":"(Williams et al., 2020)","plainCitation":"(Williams et al., 2020)","noteIndex":0},"citationItems":[{"id":31308,"uris":["http://zotero.org/users/6494596/items/LM9RQZFJ"],"uri":["http://zotero.org/users/6494596/items/LM9RQZFJ"],"itemData":{"id":31308,"type":"article-journal","abstract":"Depressive disorders are common in autistic adults, but few studies have examined the extent to which common depression questionnaires are psychometrically appropriate for use in this population. Using item response theory, this study examined the psychometric properties of the Beck Depression Inventory–II (BDI-II) in a sample of 947 autistic adults. BDI-II latent trait scores exhibited strong reliability, construct validity, and moderate ability to discriminate between depressed and nondepressed adults on the autism spectrum (area under the receiver operating characteristic curve = 0.796 [0.763, 0.826], sensitivity = 0.820 [0.785, 0.852], specificity = 0.653 [0.601, 0.699]). These results collectively indicate that the BDI-II is a valid measure of depressive symptoms in autistic adults, appropriate for quantifying depression severity in research studies or screening for depressive disorders in clinical settings. A free online score calculator has been created to facilitate the use of BDI-II latent trait scores for clinical and research applications (available at https://asdmeasures.shinyapps.io/bdi_score/ ).","container-title":"Assessment","DOI":"10.1177/1073191120952889","ISSN":"1073-1911, 1552-3489","journalAbbreviation":"Assessment","language":"en","page":"107319112095288","source":"DOI.org (Crossref)","title":"Measuring Depression in Autistic Adults: Psychometric Validation of the Beck Depression Inventory–II","title-short":"Measuring Depression in Autistic Adults","author":[{"family":"Williams","given":"Zachary J."},{"family":"Everaert","given":"Jonas"},{"family":"Gotham","given":"Katherine O."}],"issued":{"date-parts":[["2020",8,29]]}}}],"schema":"https://github.com/citation-style-language/schema/raw/master/csl-citation.json"} </w:instrText>
      </w:r>
      <w:r w:rsidRPr="00B30A29">
        <w:rPr>
          <w:color w:val="000000" w:themeColor="text1"/>
        </w:rPr>
        <w:fldChar w:fldCharType="separate"/>
      </w:r>
      <w:r w:rsidR="00175DD7">
        <w:rPr>
          <w:noProof/>
          <w:color w:val="000000" w:themeColor="text1"/>
        </w:rPr>
        <w:t>(Williams et al., 2020)</w:t>
      </w:r>
      <w:r w:rsidRPr="00B30A29">
        <w:rPr>
          <w:color w:val="000000" w:themeColor="text1"/>
        </w:rPr>
        <w:fldChar w:fldCharType="end"/>
      </w:r>
      <w:r w:rsidRPr="00B30A29">
        <w:rPr>
          <w:color w:val="000000" w:themeColor="text1"/>
        </w:rPr>
        <w:t>. Using the online BDI-II scoring tool developed previously by our research group (</w:t>
      </w:r>
      <w:hyperlink r:id="rId8" w:history="1">
        <w:r w:rsidRPr="0002421A">
          <w:rPr>
            <w:rStyle w:val="Hyperlink"/>
          </w:rPr>
          <w:t>https://asdmeasures.shinyapps.io/bdi_score/</w:t>
        </w:r>
      </w:hyperlink>
      <w:r w:rsidRPr="00B30A29">
        <w:rPr>
          <w:color w:val="000000" w:themeColor="text1"/>
        </w:rPr>
        <w:t xml:space="preserve">), we calculated autism-specific latent depression scores for this measure to be used in the current study. These scores exhibited excellent reliability in our SPARK sample (median </w:t>
      </w:r>
      <w:proofErr w:type="spellStart"/>
      <w:r w:rsidRPr="00B30A29">
        <w:rPr>
          <w:i/>
          <w:iCs/>
          <w:color w:val="000000" w:themeColor="text1"/>
        </w:rPr>
        <w:t>r</w:t>
      </w:r>
      <w:r w:rsidRPr="00B30A29">
        <w:rPr>
          <w:color w:val="000000" w:themeColor="text1"/>
          <w:vertAlign w:val="subscript"/>
        </w:rPr>
        <w:t>xx</w:t>
      </w:r>
      <w:proofErr w:type="spellEnd"/>
      <w:r w:rsidRPr="00B30A29">
        <w:rPr>
          <w:color w:val="000000" w:themeColor="text1"/>
        </w:rPr>
        <w:t xml:space="preserve"> =</w:t>
      </w:r>
      <w:r w:rsidRPr="00B30A29">
        <w:rPr>
          <w:i/>
          <w:iCs/>
          <w:color w:val="000000" w:themeColor="text1"/>
        </w:rPr>
        <w:t xml:space="preserve"> </w:t>
      </w:r>
      <w:r w:rsidRPr="00B30A29">
        <w:rPr>
          <w:color w:val="000000" w:themeColor="text1"/>
        </w:rPr>
        <w:t>0.915, inter-quartile range [0.839, 0.970]). In addition to the BDI-II latent trait score, we also extracted item-level scores on BDI-II item 9 (</w:t>
      </w:r>
      <w:r w:rsidRPr="00B30A29">
        <w:rPr>
          <w:i/>
          <w:iCs/>
          <w:color w:val="000000" w:themeColor="text1"/>
        </w:rPr>
        <w:t>Suicidal Thoughts or Wishes</w:t>
      </w:r>
      <w:r w:rsidRPr="00B30A29">
        <w:rPr>
          <w:color w:val="000000" w:themeColor="text1"/>
        </w:rPr>
        <w:t>), which we used to measure the current degree of suicidality.</w:t>
      </w:r>
    </w:p>
    <w:p w14:paraId="39480C8E" w14:textId="6DD9F524" w:rsidR="00B30A29" w:rsidRPr="00B30A29" w:rsidRDefault="00B30A29" w:rsidP="00B30A29">
      <w:pPr>
        <w:pStyle w:val="Heading3"/>
        <w:spacing w:line="480" w:lineRule="auto"/>
        <w:rPr>
          <w:rFonts w:ascii="Times New Roman" w:hAnsi="Times New Roman" w:cs="Times New Roman"/>
          <w:b/>
          <w:bCs/>
          <w:i/>
          <w:iCs/>
          <w:color w:val="000000" w:themeColor="text1"/>
        </w:rPr>
      </w:pPr>
      <w:bookmarkStart w:id="5" w:name="_Toc53212452"/>
      <w:r w:rsidRPr="00B30A29">
        <w:rPr>
          <w:rFonts w:ascii="Times New Roman" w:hAnsi="Times New Roman" w:cs="Times New Roman"/>
          <w:b/>
          <w:bCs/>
          <w:i/>
          <w:iCs/>
          <w:color w:val="000000" w:themeColor="text1"/>
        </w:rPr>
        <w:lastRenderedPageBreak/>
        <w:t>Generalized Anxiety Disorder–7 (GAD-7)</w:t>
      </w:r>
      <w:bookmarkEnd w:id="5"/>
      <w:r w:rsidRPr="00B30A29">
        <w:rPr>
          <w:rFonts w:ascii="Times New Roman" w:hAnsi="Times New Roman" w:cs="Times New Roman"/>
          <w:b/>
          <w:bCs/>
          <w:i/>
          <w:iCs/>
          <w:color w:val="000000" w:themeColor="text1"/>
        </w:rPr>
        <w:t xml:space="preserve"> </w:t>
      </w:r>
    </w:p>
    <w:p w14:paraId="1C168598" w14:textId="267A5335" w:rsidR="00B30A29" w:rsidRPr="00B30A29" w:rsidRDefault="00B30A29" w:rsidP="00B30A29">
      <w:pPr>
        <w:spacing w:line="480" w:lineRule="auto"/>
        <w:ind w:firstLine="720"/>
        <w:rPr>
          <w:color w:val="000000" w:themeColor="text1"/>
        </w:rPr>
      </w:pPr>
      <w:r w:rsidRPr="00B30A29">
        <w:rPr>
          <w:color w:val="000000" w:themeColor="text1"/>
        </w:rPr>
        <w:t xml:space="preserve">The GAD-7 </w:t>
      </w:r>
      <w:r w:rsidRPr="00B30A29">
        <w:rPr>
          <w:color w:val="000000" w:themeColor="text1"/>
        </w:rPr>
        <w:fldChar w:fldCharType="begin"/>
      </w:r>
      <w:r w:rsidR="00175DD7">
        <w:rPr>
          <w:color w:val="000000" w:themeColor="text1"/>
        </w:rPr>
        <w:instrText xml:space="preserve"> ADDIN ZOTERO_ITEM CSL_CITATION {"citationID":"o8E8obcC","properties":{"formattedCitation":"(Spitzer et al., 2006)","plainCitation":"(Spitzer et al., 2006)","noteIndex":0},"citationItems":[{"id":24339,"uris":["http://zotero.org/users/6494596/items/H9HMZXQ5"],"uri":["http://zotero.org/users/6494596/items/H9HMZXQ5"],"itemData":{"id":24339,"type":"article-journal","abstract":"BACKGROUND:Generalized anxiety disorder (GAD) is one of the most common mental disorders; however, there is no brief clinical measure for assessing GAD. The objective of this study was to develop a brief self-report scale to identify probable cases of GAD and evaluate its reliability and validity. METHODS:A criterion-standard study was performed in 15 primary care clinics in the United States from November 2004 through June 2005. Of a total of 2740 adult patients completing a study questionnaire, 965 patients had a telephone interview with a mental health professional within 1 week. For criterion and construct validity, GAD self-report scale diagnoses were compared with independent diagnoses made by mental health professionals; functional status measures; disability days; and health care use. RESULTS:A 7-item anxiety scale (GAD-7) had good reliability, as well as criterion, construct, factorial, and procedural validity. A cut point was identified that optimized sensitivity (89%) and specificity (82%). Increasing scores on the scale were strongly associated with multiple domains of functional impairment (all 6 Medical Outcomes Study Short-Form General Health Survey scales and disability days). Although GAD and depression symptoms frequently co-occurred, factor analysis confirmed them as distinct dimensions. Moreover, GAD and depression symptoms had differing but independent effects on functional impairment and disability. There was good agreement between self-report and interviewer-administered versions of the scale. CONCLUSION:The GAD-7 is a valid and efficient tool for screening for GAD and assessing its severity in clinical practice and research.","container-title":"Archives of Internal Medicine","DOI":"10.1001/archinte.166.10.1092","issue":"10","page":"1092-1097","title":"A brief measure for assessing generalized anxiety disorder: the GAD-7.","volume":"166","author":[{"family":"Spitzer","given":"Robert L"},{"family":"Kroenke","given":"Kurt"},{"family":"Williams","given":"Janet B W"},{"family":"Löwe","given":"Bernd"}],"issued":{"date-parts":[["2006"]]}}}],"schema":"https://github.com/citation-style-language/schema/raw/master/csl-citation.json"} </w:instrText>
      </w:r>
      <w:r w:rsidRPr="00B30A29">
        <w:rPr>
          <w:color w:val="000000" w:themeColor="text1"/>
        </w:rPr>
        <w:fldChar w:fldCharType="separate"/>
      </w:r>
      <w:r w:rsidR="00175DD7">
        <w:rPr>
          <w:noProof/>
          <w:color w:val="000000" w:themeColor="text1"/>
        </w:rPr>
        <w:t>(Spitzer et al., 2006)</w:t>
      </w:r>
      <w:r w:rsidRPr="00B30A29">
        <w:rPr>
          <w:color w:val="000000" w:themeColor="text1"/>
        </w:rPr>
        <w:fldChar w:fldCharType="end"/>
      </w:r>
      <w:r w:rsidRPr="00B30A29">
        <w:rPr>
          <w:color w:val="000000" w:themeColor="text1"/>
        </w:rPr>
        <w:t xml:space="preserve"> is a self-report measure of generalized anxiety disorder experienced over the previous two weeks. Items are rated on a four-point Likert scale ranging from </w:t>
      </w:r>
      <w:r w:rsidRPr="00B30A29">
        <w:rPr>
          <w:i/>
          <w:iCs/>
          <w:color w:val="000000" w:themeColor="text1"/>
        </w:rPr>
        <w:t>not at all</w:t>
      </w:r>
      <w:r w:rsidRPr="00B30A29">
        <w:rPr>
          <w:color w:val="000000" w:themeColor="text1"/>
        </w:rPr>
        <w:t xml:space="preserve"> to </w:t>
      </w:r>
      <w:r w:rsidRPr="00B30A29">
        <w:rPr>
          <w:i/>
          <w:iCs/>
          <w:color w:val="000000" w:themeColor="text1"/>
        </w:rPr>
        <w:t>nearly every day</w:t>
      </w:r>
      <w:r w:rsidRPr="00B30A29">
        <w:rPr>
          <w:color w:val="000000" w:themeColor="text1"/>
        </w:rPr>
        <w:t xml:space="preserve">. Scores range from 0 to 21, with scores of 10 or greater indicating clinically significant anxiety. This measure has not been formally validated in autistic adults, although prior studies have confirmed hypothesized relationships with related constructs in the autistic population, supporting its validity in the current sample </w:t>
      </w:r>
      <w:r w:rsidRPr="00B30A29">
        <w:rPr>
          <w:color w:val="000000" w:themeColor="text1"/>
        </w:rPr>
        <w:fldChar w:fldCharType="begin"/>
      </w:r>
      <w:r w:rsidR="00175DD7">
        <w:rPr>
          <w:color w:val="000000" w:themeColor="text1"/>
        </w:rPr>
        <w:instrText xml:space="preserve"> ADDIN ZOTERO_ITEM CSL_CITATION {"citationID":"NB8abph6","properties":{"formattedCitation":"(Hull et al., 2019; Russell et al., 2020; Williams et al., 2020)","plainCitation":"(Hull et al., 2019; Russell et al., 2020; Williams et al., 2020)","noteIndex":0},"citationItems":[{"id":31308,"uris":["http://zotero.org/users/6494596/items/LM9RQZFJ"],"uri":["http://zotero.org/users/6494596/items/LM9RQZFJ"],"itemData":{"id":31308,"type":"article-journal","abstract":"Depressive disorders are common in autistic adults, but few studies have examined the extent to which common depression questionnaires are psychometrically appropriate for use in this population. Using item response theory, this study examined the psychometric properties of the Beck Depression Inventory–II (BDI-II) in a sample of 947 autistic adults. BDI-II latent trait scores exhibited strong reliability, construct validity, and moderate ability to discriminate between depressed and nondepressed adults on the autism spectrum (area under the receiver operating characteristic curve = 0.796 [0.763, 0.826], sensitivity = 0.820 [0.785, 0.852], specificity = 0.653 [0.601, 0.699]). These results collectively indicate that the BDI-II is a valid measure of depressive symptoms in autistic adults, appropriate for quantifying depression severity in research studies or screening for depressive disorders in clinical settings. A free online score calculator has been created to facilitate the use of BDI-II latent trait scores for clinical and research applications (available at https://asdmeasures.shinyapps.io/bdi_score/ ).","container-title":"Assessment","DOI":"10.1177/1073191120952889","ISSN":"1073-1911, 1552-3489","journalAbbreviation":"Assessment","language":"en","page":"107319112095288","source":"DOI.org (Crossref)","title":"Measuring Depression in Autistic Adults: Psychometric Validation of the Beck Depression Inventory–II","title-short":"Measuring Depression in Autistic Adults","author":[{"family":"Williams","given":"Zachary J."},{"family":"Everaert","given":"Jonas"},{"family":"Gotham","given":"Katherine O."}],"issued":{"date-parts":[["2020",8,29]]}}},{"id":31354,"uris":["http://zotero.org/users/6494596/items/LEDEAKD2"],"uri":["http://zotero.org/users/6494596/items/LEDEAKD2"],"itemData":{"id":31354,"type":"article-journal","abstract":"Low-intensity cognitive behaviour therapy including behavioural activation is an evidence-based treatment for depression, a condition frequently co-occurring with autism. The feasibility of adapting low-intensity cognitive behaviour therapy for depression to meet the needs of autistic adults via a randomised controlled trial was investigated. The adapted intervention (guided self-help) comprised materials for nine individual sessions with a low-intensity psychological therapist. Autistic adults (n = 70) with depression (Patient Health Questionnaire-9 score </w:instrText>
      </w:r>
      <w:r w:rsidR="00175DD7">
        <w:rPr>
          <w:rFonts w:ascii="Cambria Math" w:hAnsi="Cambria Math" w:cs="Cambria Math"/>
          <w:color w:val="000000" w:themeColor="text1"/>
        </w:rPr>
        <w:instrText>⩾</w:instrText>
      </w:r>
      <w:r w:rsidR="00175DD7">
        <w:rPr>
          <w:color w:val="000000" w:themeColor="text1"/>
        </w:rPr>
        <w:instrText xml:space="preserve">10) recruited from National Health Service adult autism services and research cohorts were randomly allocated to guided self-help or treatment as usual. Outcomes at 10-, 16- and 24-weeks post-randomisation were blind to treatment group. Rates of retention in the study differed by treatment group with more participants attending follow-up in the guided self-help group than treatment as usual. The adapted intervention was well-received, 86% (n = 30/35) of participants attended the pre-defined ‘dose’ of five sessions of treatment and 71% (25/35) attended all treatment sessions. The findings of this pilot randomised controlled trial indicate that low-intensity cognitive behaviour therapy informed by behavioural activation can be successfully adapted to meet the needs of autistic people. Evaluation of the effectiveness of this intervention in a full scale randomised controlled trial is now warranted.","container-title":"Autism","DOI":"10.1177/1362361319889272","ISSN":"1362-3613","issue":"6","journalAbbreviation":"Autism","language":"en","note":"publisher: SAGE Publications Ltd","page":"1360-1372","source":"SAGE Journals","title":"The feasibility of low-intensity psychological therapy for depression co-occurring with autism in adults: The Autism Depression Trial (ADEPT) – a pilot randomised controlled trial","title-short":"The feasibility of low-intensity psychological therapy for depression co-occurring with autism in adults","volume":"24","author":[{"family":"Russell","given":"Ailsa"},{"family":"Gaunt","given":"Daisy M"},{"family":"Cooper","given":"Kate"},{"family":"Barton","given":"Stephen"},{"family":"Horwood","given":"Jeremy"},{"family":"Kessler","given":"David"},{"family":"Metcalfe","given":"Chris"},{"family":"Ensum","given":"Ian"},{"family":"Ingham","given":"Barry"},{"family":"Parr","given":"Jeremy R"},{"family":"Rai","given":"Dheeraj"},{"family":"Wiles","given":"Nicola"}],"issued":{"date-parts":[["2020",8,1]]}}},{"id":31356,"uris":["http://zotero.org/users/6494596/items/YSM7NJ9F"],"uri":["http://zotero.org/users/6494596/items/YSM7NJ9F"],"itemData":{"id":31356,"type":"article-journal","abstract":"There currently exist no self-report measures of social camouflaging behaviours (strategies used to compensate for or mask autistic characteristics during social interactions). The Camouflaging Autistic Traits Questionnaire (CAT-Q) was developed from autistic adults’ experiences of camouflaging, and was administered online to 354 autistic and 478 non-autistic adults. Exploratory factor analysis suggested three factors, comprising of 25 items in total. Good model fit was demonstrated through confirmatory factor analysis, with measurement invariance analyses demonstrating equivalent factor structures across gender and diagnostic group. Internal consistency (α = 0.94) and preliminary test–retest reliability (r = 0.77) were acceptable. Convergent validity was demonstrated through comparison with measures of autistic traits, wellbeing, anxiety, and depression. The present study provides robust psychometric support for the CAT-Q.","container-title":"Journal of Autism and Developmental Disorders","DOI":"10.1007/s10803-018-3792-6","ISSN":"1573-3432","issue":"3","journalAbbreviation":"J Autism Dev Disord","language":"en","page":"819-833","source":"Springer Link","title":"Development and validation of the Camouflaging Autistic Traits Questionnaire (CAT-Q)","volume":"49","author":[{"family":"Hull","given":"Laura"},{"family":"Mandy","given":"William"},{"family":"Lai","given":"Meng-Chuan"},{"family":"Baron-Cohen","given":"Simon"},{"family":"Allison","given":"Carrie"},{"family":"Smith","given":"Paula"},{"family":"Petrides","given":"K. V."}],"issued":{"date-parts":[["2019",3,1]]}}}],"schema":"https://github.com/citation-style-language/schema/raw/master/csl-citation.json"} </w:instrText>
      </w:r>
      <w:r w:rsidRPr="00B30A29">
        <w:rPr>
          <w:color w:val="000000" w:themeColor="text1"/>
        </w:rPr>
        <w:fldChar w:fldCharType="separate"/>
      </w:r>
      <w:r w:rsidR="00175DD7">
        <w:rPr>
          <w:noProof/>
          <w:color w:val="000000" w:themeColor="text1"/>
        </w:rPr>
        <w:t>(Hull et al., 2019; Russell et al., 2020; Williams et al., 2020)</w:t>
      </w:r>
      <w:r w:rsidRPr="00B30A29">
        <w:rPr>
          <w:color w:val="000000" w:themeColor="text1"/>
        </w:rPr>
        <w:fldChar w:fldCharType="end"/>
      </w:r>
      <w:r w:rsidRPr="00B30A29">
        <w:rPr>
          <w:color w:val="000000" w:themeColor="text1"/>
        </w:rPr>
        <w:t>. In our SPARK sample, the GAD-7 total score exhibited strong reliability based on a unidimensional model (</w:t>
      </w:r>
      <w:r w:rsidRPr="00B30A29">
        <w:rPr>
          <w:color w:val="000000" w:themeColor="text1"/>
        </w:rPr>
        <w:sym w:font="Symbol" w:char="F077"/>
      </w:r>
      <w:r w:rsidRPr="00B30A29">
        <w:rPr>
          <w:color w:val="000000" w:themeColor="text1"/>
        </w:rPr>
        <w:t xml:space="preserve"> = 0.912).</w:t>
      </w:r>
    </w:p>
    <w:p w14:paraId="270FE22D" w14:textId="77777777" w:rsidR="00B30A29" w:rsidRPr="00B30A29" w:rsidRDefault="00B30A29" w:rsidP="00B30A29">
      <w:pPr>
        <w:pStyle w:val="Heading3"/>
        <w:spacing w:line="480" w:lineRule="auto"/>
        <w:rPr>
          <w:rFonts w:ascii="Times New Roman" w:hAnsi="Times New Roman" w:cs="Times New Roman"/>
          <w:b/>
          <w:bCs/>
          <w:i/>
          <w:iCs/>
          <w:color w:val="000000" w:themeColor="text1"/>
        </w:rPr>
      </w:pPr>
      <w:bookmarkStart w:id="6" w:name="_Toc53212453"/>
      <w:r w:rsidRPr="00B30A29">
        <w:rPr>
          <w:rFonts w:ascii="Times New Roman" w:hAnsi="Times New Roman" w:cs="Times New Roman"/>
          <w:b/>
          <w:bCs/>
          <w:i/>
          <w:iCs/>
          <w:color w:val="000000" w:themeColor="text1"/>
        </w:rPr>
        <w:t>Brief Fear of Negative Evaluation Scale–Short (BFNE-S)</w:t>
      </w:r>
      <w:bookmarkEnd w:id="6"/>
    </w:p>
    <w:p w14:paraId="2764968A" w14:textId="574123A4" w:rsidR="00B30A29" w:rsidRPr="00B30A29" w:rsidRDefault="00B30A29" w:rsidP="00B30A29">
      <w:pPr>
        <w:spacing w:line="480" w:lineRule="auto"/>
        <w:rPr>
          <w:color w:val="000000" w:themeColor="text1"/>
        </w:rPr>
      </w:pPr>
      <w:r w:rsidRPr="00B30A29">
        <w:rPr>
          <w:color w:val="000000" w:themeColor="text1"/>
        </w:rPr>
        <w:tab/>
        <w:t xml:space="preserve">The BFNE </w:t>
      </w:r>
      <w:r w:rsidRPr="00B30A29">
        <w:rPr>
          <w:color w:val="000000" w:themeColor="text1"/>
        </w:rPr>
        <w:fldChar w:fldCharType="begin"/>
      </w:r>
      <w:r w:rsidR="00175DD7">
        <w:rPr>
          <w:color w:val="000000" w:themeColor="text1"/>
        </w:rPr>
        <w:instrText xml:space="preserve"> ADDIN ZOTERO_ITEM CSL_CITATION {"citationID":"tsPeSi59","properties":{"formattedCitation":"(Leary, 1983)","plainCitation":"(Leary, 1983)","noteIndex":0},"citationItems":[{"id":31358,"uris":["http://zotero.org/users/6494596/items/6WMERX7M"],"uri":["http://zotero.org/users/6494596/items/6WMERX7M"],"itemData":{"id":31358,"type":"article-journal","abstract":"Although the Fear of Negative Evaluation (FNE) Scale has widespread applicability to many areas of research in personality and social psychology, its utility is sometimes limited by its length. This article presents a brief, 12-item version of the FNE that correlates very highly (f96) with the original scale and that demonstrates psychometric properties that are nearly identical to those of the full-length scale.","container-title":"Personality and Social Psychology Bulletin","DOI":"10.1177/0146167283093007","ISSN":"0146-1672","issue":"3","journalAbbreviation":"Pers Soc Psychol Bull","language":"en","note":"publisher: SAGE Publications Inc","page":"371-375","source":"SAGE Journals","title":"A brief version of the Fear of Negative Evaluation Scale","volume":"9","author":[{"family":"Leary","given":"Mark R."}],"issued":{"date-parts":[["1983",9,1]]}}}],"schema":"https://github.com/citation-style-language/schema/raw/master/csl-citation.json"} </w:instrText>
      </w:r>
      <w:r w:rsidRPr="00B30A29">
        <w:rPr>
          <w:color w:val="000000" w:themeColor="text1"/>
        </w:rPr>
        <w:fldChar w:fldCharType="separate"/>
      </w:r>
      <w:r w:rsidR="00175DD7">
        <w:rPr>
          <w:noProof/>
          <w:color w:val="000000" w:themeColor="text1"/>
        </w:rPr>
        <w:t>(Leary, 1983)</w:t>
      </w:r>
      <w:r w:rsidRPr="00B30A29">
        <w:rPr>
          <w:color w:val="000000" w:themeColor="text1"/>
        </w:rPr>
        <w:fldChar w:fldCharType="end"/>
      </w:r>
      <w:r w:rsidRPr="00B30A29">
        <w:rPr>
          <w:color w:val="000000" w:themeColor="text1"/>
        </w:rPr>
        <w:t xml:space="preserve"> is a 12-item short-form of the 30-item Fear of Negative Evaluation Scale </w:t>
      </w:r>
      <w:r w:rsidRPr="00B30A29">
        <w:rPr>
          <w:color w:val="000000" w:themeColor="text1"/>
        </w:rPr>
        <w:fldChar w:fldCharType="begin"/>
      </w:r>
      <w:r w:rsidR="00175DD7">
        <w:rPr>
          <w:color w:val="000000" w:themeColor="text1"/>
        </w:rPr>
        <w:instrText xml:space="preserve"> ADDIN ZOTERO_ITEM CSL_CITATION {"citationID":"KmfAZXHc","properties":{"formattedCitation":"(Watson &amp; Friend, 1969)","plainCitation":"(Watson &amp; Friend, 1969)","noteIndex":0},"citationItems":[{"id":31359,"uris":["http://zotero.org/users/6494596/items/TJQP8GT6"],"uri":["http://zotero.org/users/6494596/items/TJQP8GT6"],"itemData":{"id":31359,"type":"article-journal","container-title":"Journal of Consulting and Clinical Psychology","DOI":"10.1037/h0027806","ISSN":"0022-006X","issue":"4","journalAbbreviation":"J Consult Clin Psychol","language":"eng","note":"PMID: 5810590","page":"448-457","source":"PubMed","title":"Measurement of social-evaluative anxiety","volume":"33","author":[{"family":"Watson","given":"D."},{"family":"Friend","given":"R."}],"issued":{"date-parts":[["1969",8]]}}}],"schema":"https://github.com/citation-style-language/schema/raw/master/csl-citation.json"} </w:instrText>
      </w:r>
      <w:r w:rsidRPr="00B30A29">
        <w:rPr>
          <w:color w:val="000000" w:themeColor="text1"/>
        </w:rPr>
        <w:fldChar w:fldCharType="separate"/>
      </w:r>
      <w:r w:rsidR="00175DD7">
        <w:rPr>
          <w:noProof/>
          <w:color w:val="000000" w:themeColor="text1"/>
        </w:rPr>
        <w:t>(Watson &amp; Friend, 1969)</w:t>
      </w:r>
      <w:r w:rsidRPr="00B30A29">
        <w:rPr>
          <w:color w:val="000000" w:themeColor="text1"/>
        </w:rPr>
        <w:fldChar w:fldCharType="end"/>
      </w:r>
      <w:r w:rsidRPr="00B30A29">
        <w:rPr>
          <w:color w:val="000000" w:themeColor="text1"/>
        </w:rPr>
        <w:t xml:space="preserve"> and a commonly used self-report measure of social anxiety. Items are rated on a 5-point Likert scale from </w:t>
      </w:r>
      <w:r w:rsidRPr="00B30A29">
        <w:rPr>
          <w:i/>
          <w:iCs/>
          <w:color w:val="000000" w:themeColor="text1"/>
        </w:rPr>
        <w:t>not at all</w:t>
      </w:r>
      <w:r w:rsidRPr="00B30A29">
        <w:rPr>
          <w:color w:val="000000" w:themeColor="text1"/>
        </w:rPr>
        <w:t xml:space="preserve"> to </w:t>
      </w:r>
      <w:r w:rsidRPr="00B30A29">
        <w:rPr>
          <w:i/>
          <w:iCs/>
          <w:color w:val="000000" w:themeColor="text1"/>
        </w:rPr>
        <w:t>extremely</w:t>
      </w:r>
      <w:r w:rsidRPr="00B30A29">
        <w:rPr>
          <w:color w:val="000000" w:themeColor="text1"/>
        </w:rPr>
        <w:t xml:space="preserve">. A commonly variant, the BFNE-S </w:t>
      </w:r>
      <w:r w:rsidRPr="00B30A29">
        <w:rPr>
          <w:color w:val="000000" w:themeColor="text1"/>
        </w:rPr>
        <w:fldChar w:fldCharType="begin"/>
      </w:r>
      <w:r w:rsidR="00175DD7">
        <w:rPr>
          <w:color w:val="000000" w:themeColor="text1"/>
        </w:rPr>
        <w:instrText xml:space="preserve"> ADDIN ZOTERO_ITEM CSL_CITATION {"citationID":"5a4Zw5vy","properties":{"formattedCitation":"(Carleton et al., 2011)","plainCitation":"(Carleton et al., 2011)","noteIndex":0},"citationItems":[{"id":31368,"uris":["http://zotero.org/users/6494596/items/DE3EYILM"],"uri":["http://zotero.org/users/6494596/items/DE3EYILM"],"itemData":{"id":31368,"type":"article-journal","abstract":"The fear of negative evaluation (FNE) represents a fundamental component of social anxiety and social anxiety disorder (SAD) within modern cognitive-behavioral models (Clark and Wells, 1995, Rapee and Heimberg, 1997). As such, access to comprehensive psychometrics for measures of FNE is an important component of thorough clinical and research efforts. Among the most popular measures of FNE have been variations of the 12-item Brief Fear of Negative Evaluation (BFNE) scale (Leary, 1983). There are currently three versions of the BFNE based on two psychometric studies (i.e., two 8-item variants and a 12-item variant). There is still substantial debate regarding which of the three alternatives should be used by researchers and clinicians. Normative data for each of the three alternatives are not available across samples of individuals with diagnosed anxiety and mood disorders; moreover, there has been no comparative assessment of responses for such samples. The present investigation was to provide more definitive recommendations about the three alternatives, to provide normative clinical data, and to explore differences in FNE endorsement across anxiety and mood disorders. Clinical participants included 381 individuals (60% women; age M=35.61, SD=12.49) from an established anxiety treatment and research center. Diagnoses included those with a principal diagnosis of SAD (32%), those with a diagnosis of SAD as an additional disorder (24%), those without a diagnosis of SAD (41%), and those with features of SAD (3%). Results of descriptive analyses, factor analyses, analysis of variance, and receiver operating curves demonstrated that the 12-item variant of the BFNE was inferior or comparable to the two 8-item variants. FNE scores were consistently higher among all participants with a diagnosis of SAD (either principal or additional) relative to all other diagnostic groups (p&lt;.05). Accordingly, the current evidence, as well as parsimony and previous research, supports the utility of the 8-item variant that includes only the original straightforwardly worded items from the BFNE. Comprehensive findings, implications, and future research directions are discussed.","container-title":"Journal of Anxiety Disorders","DOI":"10.1016/j.janxdis.2011.04.002","ISSN":"0887-6185","issue":"6","journalAbbreviation":"Journal of Anxiety Disorders","language":"en","page":"822-828","source":"ScienceDirect","title":"Addressing revisions to the Brief Fear of Negative Evaluation scale: Measuring fear of negative evaluation across anxiety and mood disorders","title-short":"Addressing revisions to the Brief Fear of Negative Evaluation scale","volume":"25","author":[{"family":"Carleton","given":"R. Nicholas"},{"family":"Collimore","given":"Kelsey C."},{"family":"McCabe","given":"Randi E."},{"family":"Antony","given":"Martin M."}],"issued":{"date-parts":[["2011",8,1]]}}}],"schema":"https://github.com/citation-style-language/schema/raw/master/csl-citation.json"} </w:instrText>
      </w:r>
      <w:r w:rsidRPr="00B30A29">
        <w:rPr>
          <w:color w:val="000000" w:themeColor="text1"/>
        </w:rPr>
        <w:fldChar w:fldCharType="separate"/>
      </w:r>
      <w:r w:rsidR="00175DD7">
        <w:rPr>
          <w:noProof/>
          <w:color w:val="000000" w:themeColor="text1"/>
        </w:rPr>
        <w:t>(Carleton et al., 2011)</w:t>
      </w:r>
      <w:r w:rsidRPr="00B30A29">
        <w:rPr>
          <w:color w:val="000000" w:themeColor="text1"/>
        </w:rPr>
        <w:fldChar w:fldCharType="end"/>
      </w:r>
      <w:r w:rsidRPr="00B30A29">
        <w:rPr>
          <w:color w:val="000000" w:themeColor="text1"/>
        </w:rPr>
        <w:t xml:space="preserve">, eliminates the four reverse-coded items, improving the psychometric properties of the overall measure. The BFNE and its variations are frequently used to measure social anxiety in autistic adolescents and adults </w:t>
      </w:r>
      <w:r w:rsidRPr="00B30A29">
        <w:rPr>
          <w:color w:val="000000" w:themeColor="text1"/>
        </w:rPr>
        <w:fldChar w:fldCharType="begin"/>
      </w:r>
      <w:r w:rsidR="00175DD7">
        <w:rPr>
          <w:color w:val="000000" w:themeColor="text1"/>
        </w:rPr>
        <w:instrText xml:space="preserve"> ADDIN ZOTERO_ITEM CSL_CITATION {"citationID":"M7YU2ToP","properties":{"formattedCitation":"(Capriola et al., 2017; Maddox &amp; White, 2015; e.g., South et al., 2017; Spain et al., 2016)","plainCitation":"(Capriola et al., 2017; Maddox &amp; White, 2015; e.g., South et al., 2017; Spain et al., 2016)","noteIndex":0},"citationItems":[{"id":31381,"uris":["http://zotero.org/users/6494596/items/Z8HLHTVT"],"uri":["http://zotero.org/users/6494596/items/Z8HLHTVT"],"itemData":{"id":31381,"type":"article-journal","abstract":"Many people diagnosed with autism spectrum disorder (ASD) also experience significant symptoms of anxiety, while many people with anxiety disorders likewise experience social difficulties. These concerns can be difficult to tease apart in general clinical settings. The Social Responsiveness Scale (SRS) is one of the most frequently used measures of dimensional ASD symptoms. In order to investigate the overlap of autism and anxiety on the SRS, we compared three groups of adults (an ASD group, n = 40; a high anxious group, n = 56; and a typical comparison group, n = 29) using the new Adult Self Report version of the SRS-2nd Edition (SRS-2-ASR) alongside a battery of anxiety questionnaires. Based on previous research with children from the parent-report SRS (first edition), we hypothesized that the SRS-2-ASR would have difficulty discriminating between the ASD and high anxious groups. Results showed that both these clinical groups scored significantly higher on the SRS than a typical control group. Discriminant validity was poor, including sensitivity of 0.65 when including all participants and 0.48 when only the two clinical groups were included. In particular, the Social Motivation subscale of the SRS-ASR failed to distinguish between ASD and anxiety groups. As recommended in the SRS-2 manual, we highlight the need for caution when using the SRS-2-ASR to support diagnostic decision making, especially in clinical settings involving anxiety, ADHD, or other concerns that can affect reciprocal social communication and/or behavioral flexibility. Autism Res 2017. © 2017 International Society for Autism Research, Wiley Periodicals, Inc. Autism Res 2017, 10: 1215–1220. © 2017 International Society for Autism Research, Wiley Periodicals, Inc.","container-title":"Autism Research","DOI":"10.1002/aur.1764","ISSN":"1939-3806","issue":"7","language":"en","note":"_eprint: https://onlinelibrary.wiley.com/doi/pdf/10.1002/aur.1764","page":"1215-1220","source":"Wiley Online Library","title":"Symptom overlap on the SRS-2 adult self-report between adults with ASD and adults with high anxiety","volume":"10","author":[{"family":"South","given":"Mikle"},{"family":"Carr","given":"AnnaLisa W."},{"family":"Stephenson","given":"Kevin G."},{"family":"Maisel","given":"Max E."},{"family":"Cox","given":"Jonathan C."}],"issued":{"date-parts":[["2017"]]}},"prefix":"e.g., "},{"id":31373,"uris":["http://zotero.org/users/6494596/items/SGWDM2W3"],"uri":["http://zotero.org/users/6494596/items/SGWDM2W3"],"itemData":{"id":31373,"type":"article-journal","abstract":"Social anxiety disorder (SAD) is a common comorbidity for individuals with autism spectrum disorder (ASD). The present study examined the cardinal cognitive component of SAD, fear of negative evaluation (FNE), in adolescents and adults with ASD (n = 44; 59 % with social anxiety) and those without ASD (n = 69; 49 % with social anxiety). Group (ASD or non-ASD) significantly moderated the relationship between social disability, as well as social motivation impairment, and FNE, such that there was a stronger positive relationship for the adolescents and adults without ASD. Few differences emerged between those with and without ASD, with respect to specific indicators of FNE. Clinical implications are discussed, including the importance of assessing FNE among individuals with ASD.","container-title":"Journal of Autism and Developmental Disorders","DOI":"10.1007/s10803-016-2827-0","ISSN":"1573-3432","issue":"12","journalAbbreviation":"J Autism Dev Disord","language":"en","page":"3803-3813","source":"Springer Link","title":"No Offense Intended: Fear of Negative Evaluation in Adolescents and Adults with Autism Spectrum Disorder","title-short":"No Offense Intended","volume":"47","author":[{"family":"Capriola","given":"Nicole N."},{"family":"Maddox","given":"Brenna B."},{"family":"White","given":"Susan W."}],"issued":{"date-parts":[["2017",12,1]]}}},{"id":31361,"uris":["http://zotero.org/users/6494596/items/Y2V5JAZG"],"uri":["http://zotero.org/users/6494596/items/Y2V5JAZG"],"itemData":{"id":31361,"type":"article-journal","abstract":"Social anxiety symptoms are common among cognitively unimpaired youth with autism spectrum disorder (ASD). Few studies have investigated the co-occurrence of social anxiety disorder (SAD) in adults with ASD, although identification may aid access to effective treatments and inform our scientific efforts to parse heterogeneity. In this preliminary study, we examined the clinical presentation of SAD in adults with ASD (n = 28), relative to SAD uncomplicated by ASD (n = 26). A large subset (50 %) of the adults with ASD met diagnostic criteria for SAD. The adults with ASD plus SAD differed from those with ASD without SAD on several characteristics. Findings demonstrate that many adults with ASD are aware of their social difficulties and experience impairing social anxiety.","container-title":"Journal of Autism and Developmental Disorders","DOI":"10.1007/s10803-015-2531-5","ISSN":"1573-3432","issue":"12","journalAbbreviation":"J Autism Dev Disord","language":"en","page":"3949-3960","source":"Springer Link","title":"Comorbid social anxiety disorder in adults with autism spectrum disorder","volume":"45","author":[{"family":"Maddox","given":"Brenna B."},{"family":"White","given":"Susan W."}],"issued":{"date-parts":[["2015",12,1]]}}},{"id":31384,"uris":["http://zotero.org/users/6494596/items/24SLKWL3"],"uri":["http://zotero.org/users/6494596/items/24SLKWL3"],"itemData":{"id":31384,"type":"article-journal","abstract":"Background\nPsychiatric conditions, notably anxiety, commonly co-occur with autism spectrum disorders (ASD).\nMethod\nThis study investigated self-reported behavioural, cognitive and affective symptoms of social anxiety (SA) in 50 adult males with ASD. Associations between SA, core ASD symptoms and facets of neuropsychological functioning were also examined.\nResults\nTwenty-six participants (52%) endorsed levels of SA that exceeded the suggested caseness threshold for social anxiety disorder. Categorical and dimensional data analyses indicated that there were no relationships between SA symptoms, present-state or childhood ASD symptom-severity, or measures of socio-emotional processing in this sample.\nConclusions\nStudy findings suggest that severity of SA is not merely a reflection of ASD symptom-severity. Further research is needed to ascertain the prevalence of SA in adult ASD epidemiological samples, and identify causal and maintaining mechanisms for these co-morbid symptoms.","container-title":"Research in Autism Spectrum Disorders","DOI":"10.1016/j.rasd.2016.08.002","ISSN":"1750-9467","journalAbbreviation":"Research in Autism Spectrum Disorders","language":"en","page":"13-23","source":"ScienceDirect","title":"Social anxiety in adult males with autism spectrum disorders","volume":"32","author":[{"family":"Spain","given":"Debbie"},{"family":"Happé","given":"Francesca"},{"family":"Johnston","given":"Patrick"},{"family":"Campbell","given":"Malcolm"},{"family":"Sin","given":"Jacqueline"},{"family":"Daly","given":"Eileen"},{"family":"Ecker","given":"Christine"},{"family":"Anson","given":"Martin"},{"family":"Chaplin","given":"Eddie"},{"family":"Glaser","given":"Karen"},{"family":"Mendez","given":"Andreina"},{"family":"Lovell","given":"Karina"},{"family":"Murphy","given":"Declan G."}],"issued":{"date-parts":[["2016",12,1]]}}}],"schema":"https://github.com/citation-style-language/schema/raw/master/csl-citation.json"} </w:instrText>
      </w:r>
      <w:r w:rsidRPr="00B30A29">
        <w:rPr>
          <w:color w:val="000000" w:themeColor="text1"/>
        </w:rPr>
        <w:fldChar w:fldCharType="separate"/>
      </w:r>
      <w:r w:rsidR="00175DD7">
        <w:rPr>
          <w:color w:val="000000" w:themeColor="text1"/>
        </w:rPr>
        <w:t>(Capriola et al., 2017; Maddox &amp; White, 2015; e.g., South et al., 2017; Spain et al., 2016)</w:t>
      </w:r>
      <w:r w:rsidRPr="00B30A29">
        <w:rPr>
          <w:color w:val="000000" w:themeColor="text1"/>
        </w:rPr>
        <w:fldChar w:fldCharType="end"/>
      </w:r>
      <w:r w:rsidRPr="00B30A29">
        <w:rPr>
          <w:color w:val="000000" w:themeColor="text1"/>
        </w:rPr>
        <w:t xml:space="preserve">, and preliminary psychometric work has supported the reliability and validity of both the BFNE and BFNE-S in this population </w:t>
      </w:r>
      <w:r w:rsidRPr="00B30A29">
        <w:rPr>
          <w:color w:val="000000" w:themeColor="text1"/>
        </w:rPr>
        <w:fldChar w:fldCharType="begin"/>
      </w:r>
      <w:r w:rsidR="00175DD7">
        <w:rPr>
          <w:color w:val="000000" w:themeColor="text1"/>
        </w:rPr>
        <w:instrText xml:space="preserve"> ADDIN ZOTERO_ITEM CSL_CITATION {"citationID":"I9dxgJWa","properties":{"formattedCitation":"(Boulton &amp; Guastella, 2020)","plainCitation":"(Boulton &amp; Guastella, 2020)","noteIndex":0},"citationItems":[{"id":31387,"uris":["http://zotero.org/users/6494596/items/3G8C63BN"],"uri":["http://zotero.org/users/6494596/items/3G8C63BN"],"itemData":{"id":31387,"type":"article-journal","abstract":"Adults with autism spectrum disorder (ASD) are at elevated risk for social anxiety disorder (SAD). Limited information exists on the appropriateness of using social anxiety instruments with these adults. This study examines psychometric properties of self-report social anxiety instruments in autistic adults without intellectual disability, compared to adults with SAD. Additionally, we compared instrument scores between autistic adults with a dual diagnosis of SAD and adults with SAD only. Adults diagnosed with SAD (N=316) or ASD (N=102) were recruited from the Brain and Mind Centre in New South Wales, Australia. Sixty autistic participants received a diagnosis of SAD. Participants completed the Liebowitz Social Anxiety Scale-self-report, the Social Interaction Anxiety Scale, the Social Phobia Scale, and the Brief Fear of Negative Evaluation Scale. All instruments showed excellent internal consistency in autistic adults. Summary scores across instruments were strongly correlated within both groups, and the strength of these correlations were equivalent between ASD and SAD. For all instruments, the performance of autistic adults with a dual diagnosis of SAD was comparable to adults diagnosed with SAD only. Findings suggest that these instruments display adequate psychometric properties in autistic adults without intellectual disability, supporting the use of these instruments in clinical services.","container-title":"PsyArXiv","DOI":"10.31234/osf.io/wakrb","note":"DOI: 10.31234/osf.io/wakrb","source":"DOI.org (Crossref)","title":"Measuring social anxiety in adults with autism spectrum disorder: Psychometric properties of self-report instruments","title-short":"Measuring Social Anxiety in Adults with Autism Spectrum Disorder","URL":"https://osf.io/wakrb","author":[{"family":"Boulton","given":"Kelsie"},{"family":"Guastella","given":"Adam"}],"accessed":{"date-parts":[["2020",9,26]]},"issued":{"date-parts":[["2020",6,10]]}}}],"schema":"https://github.com/citation-style-language/schema/raw/master/csl-citation.json"} </w:instrText>
      </w:r>
      <w:r w:rsidRPr="00B30A29">
        <w:rPr>
          <w:color w:val="000000" w:themeColor="text1"/>
        </w:rPr>
        <w:fldChar w:fldCharType="separate"/>
      </w:r>
      <w:r w:rsidR="00175DD7">
        <w:rPr>
          <w:noProof/>
          <w:color w:val="000000" w:themeColor="text1"/>
        </w:rPr>
        <w:t>(Boulton &amp; Guastella, 2020)</w:t>
      </w:r>
      <w:r w:rsidRPr="00B30A29">
        <w:rPr>
          <w:color w:val="000000" w:themeColor="text1"/>
        </w:rPr>
        <w:fldChar w:fldCharType="end"/>
      </w:r>
      <w:r w:rsidRPr="00B30A29">
        <w:rPr>
          <w:color w:val="000000" w:themeColor="text1"/>
        </w:rPr>
        <w:t>. The full BFNE was administered as part of the current study, and from this form, we calculated scores on the eight-item BFNE-S. In the current SPARK sample, reliability of the BFNE-S composite score was excellent based on a unidimensional model (</w:t>
      </w:r>
      <w:r w:rsidRPr="00B30A29">
        <w:rPr>
          <w:color w:val="000000" w:themeColor="text1"/>
        </w:rPr>
        <w:sym w:font="Symbol" w:char="F077"/>
      </w:r>
      <w:r w:rsidRPr="00B30A29">
        <w:rPr>
          <w:color w:val="000000" w:themeColor="text1"/>
        </w:rPr>
        <w:t xml:space="preserve"> = 0.951).</w:t>
      </w:r>
    </w:p>
    <w:p w14:paraId="58EFFCD4" w14:textId="1E48869E" w:rsidR="00B30A29" w:rsidRPr="00B30A29" w:rsidRDefault="00B30A29" w:rsidP="00B30A29">
      <w:pPr>
        <w:pStyle w:val="Heading3"/>
        <w:spacing w:line="480" w:lineRule="auto"/>
        <w:rPr>
          <w:rFonts w:ascii="Times New Roman" w:hAnsi="Times New Roman" w:cs="Times New Roman"/>
          <w:b/>
          <w:bCs/>
          <w:i/>
          <w:iCs/>
          <w:color w:val="000000" w:themeColor="text1"/>
        </w:rPr>
      </w:pPr>
      <w:bookmarkStart w:id="7" w:name="_Toc53212454"/>
      <w:r w:rsidRPr="00B30A29">
        <w:rPr>
          <w:rFonts w:ascii="Times New Roman" w:hAnsi="Times New Roman" w:cs="Times New Roman"/>
          <w:b/>
          <w:bCs/>
          <w:i/>
          <w:iCs/>
          <w:color w:val="000000" w:themeColor="text1"/>
        </w:rPr>
        <w:lastRenderedPageBreak/>
        <w:t>Modified Patient Health Questionnaire–15 (PHQ-15)</w:t>
      </w:r>
      <w:bookmarkEnd w:id="7"/>
    </w:p>
    <w:p w14:paraId="09C342E9" w14:textId="30688523" w:rsidR="00B30A29" w:rsidRPr="00B30A29" w:rsidRDefault="00B30A29" w:rsidP="00B30A29">
      <w:pPr>
        <w:spacing w:line="480" w:lineRule="auto"/>
        <w:ind w:firstLine="720"/>
        <w:rPr>
          <w:color w:val="000000" w:themeColor="text1"/>
        </w:rPr>
      </w:pPr>
      <w:r w:rsidRPr="00B30A29">
        <w:rPr>
          <w:color w:val="000000" w:themeColor="text1"/>
        </w:rPr>
        <w:t xml:space="preserve">The PHQ-15 </w:t>
      </w:r>
      <w:r w:rsidRPr="00B30A29">
        <w:rPr>
          <w:color w:val="000000" w:themeColor="text1"/>
        </w:rPr>
        <w:fldChar w:fldCharType="begin"/>
      </w:r>
      <w:r w:rsidR="00175DD7">
        <w:rPr>
          <w:color w:val="000000" w:themeColor="text1"/>
        </w:rPr>
        <w:instrText xml:space="preserve"> ADDIN ZOTERO_ITEM CSL_CITATION {"citationID":"E9mD3hz0","properties":{"formattedCitation":"(Kroenke et al., 2002)","plainCitation":"(Kroenke et al., 2002)","noteIndex":0},"citationItems":[{"id":31389,"uris":["http://zotero.org/users/6494596/items/3TP2NYZ9"],"uri":["http://zotero.org/users/6494596/items/3TP2NYZ9"],"itemData":{"id":31389,"type":"article-journal","abstract":"Objective \n        Somatization is prevalent in primary care and is associated with substantial functional impairment and healthcare utilization. However, instruments for identifying and monitoring somatic symptoms are few in number and not widely used. Therefore, we examined the validity of a brief measure of the severity of somatic symptoms.\n        Methods \n        The Patient Health Questionnaire (PHQ) is a self-administered version of the PRIME-MD diagnostic instrument for common mental disorders. The PHQ-15 comprises 15 somatic symptoms from the PHQ, each symptom scored from 0 (“not bothered at all”) to 2 (“bothered a lot”). The PHQ-15 was administered to 6000 patients in eight general internal medicine and family practice clinics and seven obstetrics-gynecology clinics. Outcomes included functional status as assessed by the 20-item Short-Form General Health Survey (SF-20), self-reported sick days and clinic visits, and symptom-related difficulty.\n        Results \n        As PHQ-15 somatic symptom severity increased, there was a substantial stepwise decrement in functional status on all six SF-20 subscales. Also, symptom-related difficulty, sick days, and healthcare utilization increased. PHQ-15 scores of 5, 10, 15, represented cutoff points for low, medium, and high somatic symptom severity, respectively. Somatic and depressive symptom severity had differential effects on outcomes. Results were similar in the primary care and obstetrics-gynecology samples.\n        Conclusions \n        The PHQ-15 is a brief, self-administered questionnaire that may be useful in screening for somatization and in monitoring somatic symptom severity in clinical practice and research.","container-title":"Psychosomatic Medicine","ISSN":"0033-3174","issue":"2","language":"en-US","page":"258–266","source":"journals.lww.com","title":"The PHQ-15: Validity of a new measure for evaluating the severity of somatic symptoms.","title-short":"The PHQ-15","volume":"64","author":[{"family":"Kroenke","given":"Kurt"},{"family":"Spitzer","given":"Robert L."},{"family":"Williams","given":"Janet B. W."}],"issued":{"date-parts":[["2002",4]]}}}],"schema":"https://github.com/citation-style-language/schema/raw/master/csl-citation.json"} </w:instrText>
      </w:r>
      <w:r w:rsidRPr="00B30A29">
        <w:rPr>
          <w:color w:val="000000" w:themeColor="text1"/>
        </w:rPr>
        <w:fldChar w:fldCharType="separate"/>
      </w:r>
      <w:r w:rsidR="00175DD7">
        <w:rPr>
          <w:noProof/>
          <w:color w:val="000000" w:themeColor="text1"/>
        </w:rPr>
        <w:t>(Kroenke et al., 2002)</w:t>
      </w:r>
      <w:r w:rsidRPr="00B30A29">
        <w:rPr>
          <w:color w:val="000000" w:themeColor="text1"/>
        </w:rPr>
        <w:fldChar w:fldCharType="end"/>
      </w:r>
      <w:r w:rsidRPr="00B30A29">
        <w:rPr>
          <w:color w:val="000000" w:themeColor="text1"/>
        </w:rPr>
        <w:t xml:space="preserve"> is a self-administered screening measure assessing the impact of 15 commonly-reported somatic symptoms (e.g., joint pain, dizziness, fatigue) over the past four weeks. Each item is rated on a three-point Likert scale from </w:t>
      </w:r>
      <w:r w:rsidRPr="00B30A29">
        <w:rPr>
          <w:i/>
          <w:iCs/>
          <w:color w:val="000000" w:themeColor="text1"/>
        </w:rPr>
        <w:t>Not bothered at all</w:t>
      </w:r>
      <w:r w:rsidRPr="00B30A29">
        <w:rPr>
          <w:color w:val="000000" w:themeColor="text1"/>
        </w:rPr>
        <w:t xml:space="preserve"> to </w:t>
      </w:r>
      <w:r w:rsidRPr="00B30A29">
        <w:rPr>
          <w:i/>
          <w:iCs/>
          <w:color w:val="000000" w:themeColor="text1"/>
        </w:rPr>
        <w:t>Bothered a lot</w:t>
      </w:r>
      <w:r w:rsidRPr="00B30A29">
        <w:rPr>
          <w:color w:val="000000" w:themeColor="text1"/>
        </w:rPr>
        <w:t xml:space="preserve">. The PHQ-15 has been extensively used in medical, psychiatric, and general population samples </w:t>
      </w:r>
      <w:r w:rsidRPr="00B30A29">
        <w:rPr>
          <w:color w:val="000000" w:themeColor="text1"/>
        </w:rPr>
        <w:fldChar w:fldCharType="begin"/>
      </w:r>
      <w:r w:rsidR="00175DD7">
        <w:rPr>
          <w:color w:val="000000" w:themeColor="text1"/>
        </w:rPr>
        <w:instrText xml:space="preserve"> ADDIN ZOTERO_ITEM CSL_CITATION {"citationID":"q8f82wgz","properties":{"formattedCitation":"(Kroenke et al., 2010)","plainCitation":"(Kroenke et al., 2010)","noteIndex":0},"citationItems":[{"id":7642,"uris":["http://zotero.org/users/6494596/items/XW6QFRXV"],"uri":["http://zotero.org/users/6494596/items/XW6QFRXV"],"itemData":{"id":7642,"type":"article-journal","abstract":"BACKGROUND:Depression, anxiety and somatization are the most common mental disorders in primary care as well as medical specialty populations; each is present in at least 5-10% of patients and frequently comorbid with one another. An efficient means for measuring and monitoring all three conditions would be desirable. METHODS:Evidence regarding the psychometric and pragmatic characteristics of the Patient Health Questionnaire (PHQ)-9 depression, generalized anxiety disorder (GAD)-7 anxiety and PHQ-15 somatic symptom scales are synthesized from two sources: (1) four multisite cross-sectional studies (three conducted in primary care and one in obstetric-gynecology practices) comprising 9740 patients, and (2) key studies from the literature that have studied these scales. RESULTS:The PHQ-9 and its abbreviated eight-item (PHQ-8) and two-item (PHQ-2) versions have good sensitivity and specificity for detecting depressive disorders. Likewise, the GAD-7 and its abbreviated two-item (GAD-2) version have good operating characteristics for detecting generalized anxiety, panic, social anxiety and post-traumatic stress disorder. The optimal cutpoint is &gt; or = 10 on the parent scales (PHQ-9 and GAD-7) and &gt; or = 3 on the ultra-brief versions (PHQ-2 and GAD-2). The PHQ-15 is equal or superior to other brief measures for assessing somatic symptoms and screening for somatoform disorders. Cutpoints of 5, 10 and 15 represent mild, moderate and severe symptom levels on all three scales. Sensitivity to change is well-established for the PHQ-9 and emerging albeit not yet definitive for the GAD-7 and PHQ-15. CONCLUSIONS:The PHQ-9, GAD-7 and PHQ-15 are brief well-validated measures for detecting and monitoring depression, anxiety and somatization.","container-title":"General Hospital Psychiatry","DOI":"10.1016/j.genhosppsych.2010.03.006","issue":"4","page":"345-359","title":"The Patient Health Questionnaire somatic, anxiety, and depressive symptom scales: A systematic review.","volume":"32","author":[{"family":"Kroenke","given":"Kurt"},{"family":"Spitzer","given":"Robert L"},{"family":"Williams","given":"Janet B W"},{"family":"Löwe","given":"Bernd"}],"issued":{"date-parts":[["2010"]]}}}],"schema":"https://github.com/citation-style-language/schema/raw/master/csl-citation.json"} </w:instrText>
      </w:r>
      <w:r w:rsidRPr="00B30A29">
        <w:rPr>
          <w:color w:val="000000" w:themeColor="text1"/>
        </w:rPr>
        <w:fldChar w:fldCharType="separate"/>
      </w:r>
      <w:r w:rsidR="00175DD7">
        <w:rPr>
          <w:noProof/>
          <w:color w:val="000000" w:themeColor="text1"/>
        </w:rPr>
        <w:t>(Kroenke et al., 2010)</w:t>
      </w:r>
      <w:r w:rsidRPr="00B30A29">
        <w:rPr>
          <w:color w:val="000000" w:themeColor="text1"/>
        </w:rPr>
        <w:fldChar w:fldCharType="end"/>
      </w:r>
      <w:r w:rsidRPr="00B30A29">
        <w:rPr>
          <w:color w:val="000000" w:themeColor="text1"/>
        </w:rPr>
        <w:t xml:space="preserve">. Although this measure is used routinely in psychiatric research, we are unaware of any study that has previously utilized it in a sample of autistic adults. The current study used a slightly modified version of the PHQ-15 that omitted the item assessing pain or problems during sexual intercourse and assessed the burden of somatic symptoms over a three-month time period. The female-specific item on menstrual cramps was also excluded from all analyses to allow for scores to be based on the same items for individuals of all genders. Using a bifactor model with specific factors for cardiopulmonary symptoms and gastrointestinal symptoms (based on </w:t>
      </w:r>
      <w:r w:rsidRPr="00B30A29">
        <w:rPr>
          <w:color w:val="000000" w:themeColor="text1"/>
        </w:rPr>
        <w:fldChar w:fldCharType="begin"/>
      </w:r>
      <w:r w:rsidR="00175DD7">
        <w:rPr>
          <w:color w:val="000000" w:themeColor="text1"/>
        </w:rPr>
        <w:instrText xml:space="preserve"> ADDIN ZOTERO_ITEM CSL_CITATION {"citationID":"DMZXvN0a","properties":{"formattedCitation":"(Witth\\uc0\\u246{}ft et al., 2016)","plainCitation":"(Witthöft et al., 2016)","noteIndex":0},"citationItems":[{"id":31391,"uris":["http://zotero.org/users/6494596/items/DXXX8SXF"],"uri":["http://zotero.org/users/6494596/items/DXXX8SXF"],"itemData":{"id":31391,"type":"article-journal","abstract":"Distressing somatic symptoms are ubiquitous both in mental disorders and medical diseases. From a psychometric perspective, the structure of somatic symptom distress is unclear, and little is known about the strengths of associations to related constructs, such as health anxiety and somatosensory amplification. To clarify the structure of somatic symptom distress and to explore associations to health anxiety, somatosensory amplification, and functional somatic syndromes, data sets of 2 samples of college students from Germany (N = 1,520) and Switzerland (N = 3,053) were investigated with confirmatory factor analysis with robust estimation. A bifactor model (with 1 general and 4 orthogonal specific symptom factors-gastrointestinal, fatigue, cardio-pulmonary, and pain symptoms) revealed the best model fit. Medium-sized associations were found among latent factors of general somatic symptom distress, health anxiety, and depression. First evidence for the construct validity of the latent variables within the proposed bifactor structure was gained by observing (a) strong associations between the general somatic symptom distress factor and somatosensory amplification and (b) significant associations between both the general somatic symptom factor as well as the symptom-specific factors with functional somatic syndromes. The results offer a theoretically and psychometrically plausible model for the structure of somatic symptom distress and suggest a distinction between cognitive-affective and sensory aspects of symptom perception. The findings are compatible with current cognitive psychological and neuropsychological approaches to symptom perception and imply that somatic symptom distress is a multidimensional phenomenon that is both strongly linked to but also clearly separable from related constructs.","container-title":"Psychological Assessment","DOI":"10.1037/pas0000150","ISSN":"1939-134X, 1040-3590","issue":"1","journalAbbreviation":"Psychological Assessment","language":"en","page":"109-115","source":"DOI.org (Crossref)","title":"Clarifying the latent structure and correlates of somatic symptom distress: A bifactor model approach.","title-short":"Clarifying the latent structure and correlates of somatic symptom distress","volume":"28","author":[{"family":"Witthöft","given":"Michael"},{"family":"Fischer","given":"Susanne"},{"family":"Jasper","given":"Fabian"},{"family":"Rist","given":"Fred"},{"family":"Nater","given":"Urs M."}],"issued":{"date-parts":[["2016"]]}}}],"schema":"https://github.com/citation-style-language/schema/raw/master/csl-citation.json"} </w:instrText>
      </w:r>
      <w:r w:rsidRPr="00B30A29">
        <w:rPr>
          <w:color w:val="000000" w:themeColor="text1"/>
        </w:rPr>
        <w:fldChar w:fldCharType="separate"/>
      </w:r>
      <w:r w:rsidR="00175DD7" w:rsidRPr="00175DD7">
        <w:rPr>
          <w:color w:val="000000"/>
        </w:rPr>
        <w:t>(Witthöft et al., 2016)</w:t>
      </w:r>
      <w:r w:rsidRPr="00B30A29">
        <w:rPr>
          <w:color w:val="000000" w:themeColor="text1"/>
        </w:rPr>
        <w:fldChar w:fldCharType="end"/>
      </w:r>
      <w:r w:rsidRPr="00B30A29">
        <w:rPr>
          <w:color w:val="000000" w:themeColor="text1"/>
        </w:rPr>
        <w:t>), this modified form of the PHQ-15 displayed adequate model-based reliability and general factor saturation in the current SPARK sample (</w:t>
      </w:r>
      <w:r w:rsidRPr="00B30A29">
        <w:rPr>
          <w:color w:val="000000" w:themeColor="text1"/>
        </w:rPr>
        <w:sym w:font="Symbol" w:char="F077"/>
      </w:r>
      <w:r w:rsidRPr="00B30A29">
        <w:rPr>
          <w:color w:val="000000" w:themeColor="text1"/>
          <w:vertAlign w:val="subscript"/>
        </w:rPr>
        <w:t>T</w:t>
      </w:r>
      <w:r w:rsidRPr="00B30A29">
        <w:rPr>
          <w:color w:val="000000" w:themeColor="text1"/>
        </w:rPr>
        <w:t xml:space="preserve"> = 0.872, </w:t>
      </w:r>
      <w:r w:rsidRPr="00B30A29">
        <w:rPr>
          <w:color w:val="000000" w:themeColor="text1"/>
        </w:rPr>
        <w:sym w:font="Symbol" w:char="F077"/>
      </w:r>
      <w:r w:rsidRPr="00B30A29">
        <w:rPr>
          <w:color w:val="000000" w:themeColor="text1"/>
          <w:vertAlign w:val="subscript"/>
        </w:rPr>
        <w:t>H</w:t>
      </w:r>
      <w:r w:rsidRPr="00B30A29">
        <w:rPr>
          <w:color w:val="000000" w:themeColor="text1"/>
        </w:rPr>
        <w:t xml:space="preserve"> = 0.774).</w:t>
      </w:r>
    </w:p>
    <w:p w14:paraId="22EA9BB8" w14:textId="5F610F8C" w:rsidR="00B30A29" w:rsidRPr="00B30A29" w:rsidRDefault="00B30A29" w:rsidP="00B30A29">
      <w:pPr>
        <w:pStyle w:val="Heading3"/>
        <w:spacing w:line="480" w:lineRule="auto"/>
        <w:rPr>
          <w:rFonts w:ascii="Times New Roman" w:hAnsi="Times New Roman" w:cs="Times New Roman"/>
          <w:b/>
          <w:bCs/>
          <w:i/>
          <w:iCs/>
          <w:color w:val="000000" w:themeColor="text1"/>
        </w:rPr>
      </w:pPr>
      <w:bookmarkStart w:id="8" w:name="_Toc53212455"/>
      <w:r w:rsidRPr="00B30A29">
        <w:rPr>
          <w:rFonts w:ascii="Times New Roman" w:hAnsi="Times New Roman" w:cs="Times New Roman"/>
          <w:b/>
          <w:bCs/>
          <w:i/>
          <w:iCs/>
          <w:color w:val="000000" w:themeColor="text1"/>
        </w:rPr>
        <w:t>International Personality Item Pool 10-item Neuroticism Scale (IPIP-N10)</w:t>
      </w:r>
      <w:bookmarkEnd w:id="8"/>
      <w:r w:rsidRPr="00B30A29">
        <w:rPr>
          <w:rFonts w:ascii="Times New Roman" w:hAnsi="Times New Roman" w:cs="Times New Roman"/>
          <w:b/>
          <w:bCs/>
          <w:i/>
          <w:iCs/>
          <w:color w:val="000000" w:themeColor="text1"/>
        </w:rPr>
        <w:t xml:space="preserve"> </w:t>
      </w:r>
    </w:p>
    <w:p w14:paraId="1D64A8BA" w14:textId="76C0AC20" w:rsidR="00B30A29" w:rsidRPr="00B30A29" w:rsidRDefault="00B30A29" w:rsidP="00B30A29">
      <w:pPr>
        <w:spacing w:line="480" w:lineRule="auto"/>
        <w:rPr>
          <w:color w:val="000000" w:themeColor="text1"/>
        </w:rPr>
      </w:pPr>
      <w:r w:rsidRPr="00B30A29">
        <w:rPr>
          <w:color w:val="000000" w:themeColor="text1"/>
        </w:rPr>
        <w:tab/>
        <w:t xml:space="preserve">Ten items from the international personality item pool </w:t>
      </w:r>
      <w:r w:rsidRPr="00B30A29">
        <w:rPr>
          <w:color w:val="000000" w:themeColor="text1"/>
        </w:rPr>
        <w:fldChar w:fldCharType="begin"/>
      </w:r>
      <w:r w:rsidR="00175DD7">
        <w:rPr>
          <w:color w:val="000000" w:themeColor="text1"/>
        </w:rPr>
        <w:instrText xml:space="preserve"> ADDIN ZOTERO_ITEM CSL_CITATION {"citationID":"YuS3xpYp","properties":{"formattedCitation":"(Goldberg et al., 2006)","plainCitation":"(Goldberg et al., 2006)","noteIndex":0},"citationItems":[{"id":31332,"uris":["http://zotero.org/users/6494596/items/E2QMLVZN"],"uri":["http://zotero.org/users/6494596/items/E2QMLVZN"],"itemData":{"id":31332,"type":"article-journal","abstract":"Seven experts on personality measurement here discuss the viability of public-domain personality measures, focusing on the International Personality Item Pool (IPIP) as a prototype. Since its inception in 1996, the use of items and scales from the IPIP has increased dramatically. Items from the IPIP have been translated from English into more than 25 other languages. Currently over 80 publications using IPIP scales are listed at the IPIP Web site (http://ipip.ori.org), and the rate of IPIP-related publications has been increasing rapidly. The growing popularity of the IPIP can be attributed to five factors: (1) It is cost free; (2) its items can be obtained instantaneously via the Internet; (3) it includes over 2000 items, all easily available for inspection; (4) scoring keys for IPIP scales are provided; and (5) its items can be presented in any order, interspersed with other items, reworded, translated into other languages, and administered on the World Wide Web without asking permission of anyone. The unrestricted availability of the IPIP raises concerns about possible misuse by unqualified persons, and the freedom of researchers to use the IPIP in idiosyncratic ways raises the possibility of fragmentation rather than scientific unification in personality research.","collection-title":"Proceedings of the 2005 Meeting of the Association of Research in Personality","container-title":"Journal of Research in Personality","DOI":"10.1016/j.jrp.2005.08.007","ISSN":"0092-6566","issue":"1","journalAbbreviation":"Journal of Research in Personality","language":"en","page":"84-96","source":"ScienceDirect","title":"The international personality item pool and the future of public-domain personality measures","volume":"40","author":[{"family":"Goldberg","given":"Lewis R."},{"family":"Johnson","given":"John A."},{"family":"Eber","given":"Herbert W."},{"family":"Hogan","given":"Robert"},{"family":"Ashton","given":"Michael C."},{"family":"Cloninger","given":"C. Robert"},{"family":"Gough","given":"Harrison G."}],"issued":{"date-parts":[["2006",2,1]]}}}],"schema":"https://github.com/citation-style-language/schema/raw/master/csl-citation.json"} </w:instrText>
      </w:r>
      <w:r w:rsidRPr="00B30A29">
        <w:rPr>
          <w:color w:val="000000" w:themeColor="text1"/>
        </w:rPr>
        <w:fldChar w:fldCharType="separate"/>
      </w:r>
      <w:r w:rsidR="00175DD7">
        <w:rPr>
          <w:noProof/>
          <w:color w:val="000000" w:themeColor="text1"/>
        </w:rPr>
        <w:t>(Goldberg et al., 2006)</w:t>
      </w:r>
      <w:r w:rsidRPr="00B30A29">
        <w:rPr>
          <w:color w:val="000000" w:themeColor="text1"/>
        </w:rPr>
        <w:fldChar w:fldCharType="end"/>
      </w:r>
      <w:r w:rsidRPr="00B30A29">
        <w:rPr>
          <w:color w:val="000000" w:themeColor="text1"/>
        </w:rPr>
        <w:t xml:space="preserve">, originally from the Multidimensional Personality Questionnaire’s “Stress Reaction” subscale </w:t>
      </w:r>
      <w:r w:rsidRPr="00B30A29">
        <w:rPr>
          <w:color w:val="000000" w:themeColor="text1"/>
        </w:rPr>
        <w:fldChar w:fldCharType="begin"/>
      </w:r>
      <w:r w:rsidR="00175DD7">
        <w:rPr>
          <w:color w:val="000000" w:themeColor="text1"/>
        </w:rPr>
        <w:instrText xml:space="preserve"> ADDIN ZOTERO_ITEM CSL_CITATION {"citationID":"eE9mbE4K","properties":{"formattedCitation":"(Tellegen &amp; Waller, 2008)","plainCitation":"(Tellegen &amp; Waller, 2008)","noteIndex":0},"citationItems":[{"id":31330,"uris":["http://zotero.org/users/6494596/items/8R4Y3UYG"],"uri":["http://zotero.org/users/6494596/items/8R4Y3UYG"],"itemData":{"id":31330,"type":"chapter","abstract":"A definitive, authoritative and up-to-date resource for anyone interested in the theories, models and assessment methods used for understanding the many factes of Human personality and individual differences  This brand new Handbook of Personality Theory and Assessment 2-Volume Set constitutes an essential resource for shaping the future of the scientific foundation of personality research, measurement, and practice. There is need for an up-to-date and international Handbook that reviews the major contemporary personality models Vol. 1 and associated psychometric measurement instruments Vol. 2 that underpin the scientific study of this important area of individual differences psychology, and in these two Handbooks this is very much achieved.   Made unique by its depth and breadth the Handbooks are internationally edited and authored by Professors Gregory J. Boyle, Gerald Matthews, and Donald H. Saklofske and authored by internationally known academics, this work will be an important reference work for a host of researchers and practitioners in the fields of individual differences and personality assessment, clinical psychology, educational psychology, work and organizational psychology, health psychology and other applied fields as well.  Volume 2: Personality Measurement and Assessment. Covers psychometric measurement of personality and has coverage of the following broad topics, listed by section heading: \" General Methodological Issues \" Multidimensional Personality Instruments \" Assessment of Biologically-Based Traits \" Assessment of Self-Regulative Traits \" Implicit, Projective And Objective Measures Of Personality \" Abnormal Personality Trait Instruments \" Applications of Psychological Testing","container-title":"The SAGE Handbook of Personality Theory and Assessment: Personality Measurement and Testing","event-place":"Thousand Oaks, CA","ISBN":"978-1-4462-0703-1","language":"en","note":"Google-Books-ID: sdD41qBTJSUC","page":"261-292","publisher":"SAGE","publisher-place":"Thousand Oaks, CA","source":"Google Books","title":"Exploring personality through test construction: Development of the Multidimensional Personality Questionnaire","volume":"2","editor":[{"family":"Boyle","given":"Gregory J."},{"family":"Matthews","given":"Gerald"},{"family":"Saklofske","given":"Donald H."}],"author":[{"family":"Tellegen","given":"Auke"},{"family":"Waller","given":"Niels G."}],"issued":{"date-parts":[["2008",6,24]]}}}],"schema":"https://github.com/citation-style-language/schema/raw/master/csl-citation.json"} </w:instrText>
      </w:r>
      <w:r w:rsidRPr="00B30A29">
        <w:rPr>
          <w:color w:val="000000" w:themeColor="text1"/>
        </w:rPr>
        <w:fldChar w:fldCharType="separate"/>
      </w:r>
      <w:r w:rsidR="00175DD7">
        <w:rPr>
          <w:noProof/>
          <w:color w:val="000000" w:themeColor="text1"/>
        </w:rPr>
        <w:t>(Tellegen &amp; Waller, 2008)</w:t>
      </w:r>
      <w:r w:rsidRPr="00B30A29">
        <w:rPr>
          <w:color w:val="000000" w:themeColor="text1"/>
        </w:rPr>
        <w:fldChar w:fldCharType="end"/>
      </w:r>
      <w:r w:rsidRPr="00B30A29">
        <w:rPr>
          <w:color w:val="000000" w:themeColor="text1"/>
        </w:rPr>
        <w:t xml:space="preserve"> were utilized to form a measure of neuroticism (IPIP-N10) for use in this study. Items were rated on a five-point Likert scale from </w:t>
      </w:r>
      <w:r w:rsidRPr="00B30A29">
        <w:rPr>
          <w:i/>
          <w:iCs/>
          <w:color w:val="000000" w:themeColor="text1"/>
        </w:rPr>
        <w:t>Strongly Disagree</w:t>
      </w:r>
      <w:r w:rsidRPr="00B30A29">
        <w:rPr>
          <w:color w:val="000000" w:themeColor="text1"/>
        </w:rPr>
        <w:t xml:space="preserve"> to </w:t>
      </w:r>
      <w:r w:rsidRPr="00B30A29">
        <w:rPr>
          <w:i/>
          <w:iCs/>
          <w:color w:val="000000" w:themeColor="text1"/>
        </w:rPr>
        <w:t>Strongly Agree</w:t>
      </w:r>
      <w:r w:rsidRPr="00B30A29">
        <w:rPr>
          <w:color w:val="000000" w:themeColor="text1"/>
        </w:rPr>
        <w:t>, and half of the items were reverse-coded. In the current SPARK sample, model-based coefficients of reliability and general factor saturation were found to be acceptable (</w:t>
      </w:r>
      <w:r w:rsidRPr="00B30A29">
        <w:rPr>
          <w:color w:val="000000" w:themeColor="text1"/>
        </w:rPr>
        <w:sym w:font="Symbol" w:char="F077"/>
      </w:r>
      <w:r w:rsidRPr="00B30A29">
        <w:rPr>
          <w:color w:val="000000" w:themeColor="text1"/>
          <w:vertAlign w:val="subscript"/>
        </w:rPr>
        <w:t>T</w:t>
      </w:r>
      <w:r w:rsidRPr="00B30A29">
        <w:rPr>
          <w:color w:val="000000" w:themeColor="text1"/>
        </w:rPr>
        <w:t xml:space="preserve"> = 0.891, </w:t>
      </w:r>
      <w:r w:rsidRPr="00B30A29">
        <w:rPr>
          <w:color w:val="000000" w:themeColor="text1"/>
        </w:rPr>
        <w:sym w:font="Symbol" w:char="F077"/>
      </w:r>
      <w:r w:rsidRPr="00B30A29">
        <w:rPr>
          <w:color w:val="000000" w:themeColor="text1"/>
          <w:vertAlign w:val="subscript"/>
        </w:rPr>
        <w:t>H</w:t>
      </w:r>
      <w:r w:rsidRPr="00B30A29">
        <w:rPr>
          <w:color w:val="000000" w:themeColor="text1"/>
        </w:rPr>
        <w:t xml:space="preserve"> = 0.838) when derived from a bifactor model with a common method factor for the reverse-coded items.</w:t>
      </w:r>
    </w:p>
    <w:p w14:paraId="39A9BAF7" w14:textId="77777777" w:rsidR="00B30A29" w:rsidRPr="00B30A29" w:rsidRDefault="00B30A29" w:rsidP="00B30A29">
      <w:pPr>
        <w:pStyle w:val="Heading3"/>
        <w:spacing w:line="480" w:lineRule="auto"/>
        <w:rPr>
          <w:rFonts w:ascii="Times New Roman" w:hAnsi="Times New Roman" w:cs="Times New Roman"/>
          <w:b/>
          <w:bCs/>
          <w:i/>
          <w:iCs/>
          <w:color w:val="000000" w:themeColor="text1"/>
        </w:rPr>
      </w:pPr>
      <w:bookmarkStart w:id="9" w:name="_Toc53212456"/>
      <w:r w:rsidRPr="00B30A29">
        <w:rPr>
          <w:rFonts w:ascii="Times New Roman" w:hAnsi="Times New Roman" w:cs="Times New Roman"/>
          <w:b/>
          <w:bCs/>
          <w:i/>
          <w:iCs/>
          <w:color w:val="000000" w:themeColor="text1"/>
        </w:rPr>
        <w:lastRenderedPageBreak/>
        <w:t>Autism Spectrum Quality of Life (</w:t>
      </w:r>
      <w:proofErr w:type="spellStart"/>
      <w:r w:rsidRPr="00B30A29">
        <w:rPr>
          <w:rFonts w:ascii="Times New Roman" w:hAnsi="Times New Roman" w:cs="Times New Roman"/>
          <w:b/>
          <w:bCs/>
          <w:i/>
          <w:iCs/>
          <w:color w:val="000000" w:themeColor="text1"/>
        </w:rPr>
        <w:t>ASQoL</w:t>
      </w:r>
      <w:proofErr w:type="spellEnd"/>
      <w:r w:rsidRPr="00B30A29">
        <w:rPr>
          <w:rFonts w:ascii="Times New Roman" w:hAnsi="Times New Roman" w:cs="Times New Roman"/>
          <w:b/>
          <w:bCs/>
          <w:i/>
          <w:iCs/>
          <w:color w:val="000000" w:themeColor="text1"/>
        </w:rPr>
        <w:t>)</w:t>
      </w:r>
      <w:bookmarkEnd w:id="9"/>
      <w:r w:rsidRPr="00B30A29">
        <w:rPr>
          <w:rFonts w:ascii="Times New Roman" w:hAnsi="Times New Roman" w:cs="Times New Roman"/>
          <w:b/>
          <w:bCs/>
          <w:i/>
          <w:iCs/>
          <w:color w:val="000000" w:themeColor="text1"/>
        </w:rPr>
        <w:t xml:space="preserve"> </w:t>
      </w:r>
    </w:p>
    <w:p w14:paraId="5D9C90B8" w14:textId="3F3750CE" w:rsidR="00B30A29" w:rsidRPr="00B30A29" w:rsidRDefault="00B30A29" w:rsidP="00B30A29">
      <w:pPr>
        <w:spacing w:line="480" w:lineRule="auto"/>
        <w:ind w:firstLine="720"/>
        <w:rPr>
          <w:color w:val="000000" w:themeColor="text1"/>
        </w:rPr>
      </w:pPr>
      <w:r w:rsidRPr="00B30A29">
        <w:rPr>
          <w:color w:val="000000" w:themeColor="text1"/>
        </w:rPr>
        <w:t xml:space="preserve">The </w:t>
      </w:r>
      <w:proofErr w:type="spellStart"/>
      <w:r w:rsidRPr="00B30A29">
        <w:rPr>
          <w:color w:val="000000" w:themeColor="text1"/>
        </w:rPr>
        <w:t>ASQoL</w:t>
      </w:r>
      <w:proofErr w:type="spellEnd"/>
      <w:r w:rsidRPr="00B30A29">
        <w:rPr>
          <w:color w:val="000000" w:themeColor="text1"/>
        </w:rPr>
        <w:t xml:space="preserve"> is a 9-item measure of self-reported quality of life (QoL) designed specifically for use in autistic adults </w:t>
      </w:r>
      <w:r w:rsidRPr="00B30A29">
        <w:rPr>
          <w:color w:val="000000" w:themeColor="text1"/>
        </w:rPr>
        <w:fldChar w:fldCharType="begin"/>
      </w:r>
      <w:r w:rsidR="00175DD7">
        <w:rPr>
          <w:color w:val="000000" w:themeColor="text1"/>
        </w:rPr>
        <w:instrText xml:space="preserve"> ADDIN ZOTERO_ITEM CSL_CITATION {"citationID":"XPchRL0F","properties":{"formattedCitation":"(McConachie et al., 2018)","plainCitation":"(McConachie et al., 2018)","noteIndex":0},"citationItems":[{"id":17167,"uris":["http://zotero.org/users/6494596/items/FR4PMGAZ"],"uri":["http://zotero.org/users/6494596/items/FR4PMGAZ"],"itemData":{"id":17167,"type":"article-journal","abstract":"Accurate measurement of quality of life (QoL) is important for evaluation of autism services and trials of interventions. We undertook psychometric validation of the World Health Organisation measure-WHOQoL-BREF, examined construct validity of the WHO Disabilities module and developed nine additional autism-specific items (ASQoL) from extensive consultation with the autism community. The sample of 309 autistic people was recruited from the Adult Autism Spectrum Cohort-UK. The WHOQoL-BREF had good psychometric properties, including criterion, convergent, divergent and discriminant validity. The WHO Disabilities module showed adequate construct validity and reliability. The ASQoL items form a unitary factor of QoL, with one global item. Future studies can use the WHO measures alongside the ASQoL items to measure QoL of autistic people.","container-title":"Journal of Autism and Developmental Disorders","DOI":"10.1007/s10803-017-3402-z","issue":"5","page":"1596-1611","title":"Enhancing the validity of a quality of life measure for autistic people.","volume":"48","author":[{"family":"McConachie","given":"Helen"},{"family":"Mason","given":"David"},{"family":"Parr","given":"Jeremy R"},{"family":"Garland","given":"Deborah"},{"family":"Wilson","given":"Colin"},{"family":"Rodgers","given":"Jacqui"}],"issued":{"date-parts":[["2018"]]}}}],"schema":"https://github.com/citation-style-language/schema/raw/master/csl-citation.json"} </w:instrText>
      </w:r>
      <w:r w:rsidRPr="00B30A29">
        <w:rPr>
          <w:color w:val="000000" w:themeColor="text1"/>
        </w:rPr>
        <w:fldChar w:fldCharType="separate"/>
      </w:r>
      <w:r w:rsidR="00175DD7">
        <w:rPr>
          <w:noProof/>
          <w:color w:val="000000" w:themeColor="text1"/>
        </w:rPr>
        <w:t>(McConachie et al., 2018)</w:t>
      </w:r>
      <w:r w:rsidRPr="00B30A29">
        <w:rPr>
          <w:color w:val="000000" w:themeColor="text1"/>
        </w:rPr>
        <w:fldChar w:fldCharType="end"/>
      </w:r>
      <w:r w:rsidRPr="00B30A29">
        <w:rPr>
          <w:color w:val="000000" w:themeColor="text1"/>
        </w:rPr>
        <w:t>. The measure consists of one “Global QoL” item (</w:t>
      </w:r>
      <w:r w:rsidRPr="00B30A29">
        <w:rPr>
          <w:i/>
          <w:iCs/>
          <w:color w:val="000000" w:themeColor="text1"/>
        </w:rPr>
        <w:t>Are you at ease (OK) with ‘Autism’ as an aspect of your identity?</w:t>
      </w:r>
      <w:r w:rsidRPr="00B30A29">
        <w:rPr>
          <w:color w:val="000000" w:themeColor="text1"/>
        </w:rPr>
        <w:t xml:space="preserve">), as well as eight items addressing specific facets of QoL, including barriers to accessing services, friendships, sources of support, and sensory issues. Items are rated on a 5-point Likert scale with varying response options, and three of the items are reverse scored. The eight-item composite score (excluding the “Global” item, which correlates poorly with the remainder of the items) has demonstrated sound psychometric properties in this population, including convergence with other measures of health-related QoL </w:t>
      </w:r>
      <w:r w:rsidRPr="00B30A29">
        <w:rPr>
          <w:color w:val="000000" w:themeColor="text1"/>
        </w:rPr>
        <w:fldChar w:fldCharType="begin"/>
      </w:r>
      <w:r w:rsidR="00175DD7">
        <w:rPr>
          <w:color w:val="000000" w:themeColor="text1"/>
        </w:rPr>
        <w:instrText xml:space="preserve"> ADDIN ZOTERO_ITEM CSL_CITATION {"citationID":"zslG0n5K","properties":{"formattedCitation":"(McConachie et al., 2018)","plainCitation":"(McConachie et al., 2018)","noteIndex":0},"citationItems":[{"id":17167,"uris":["http://zotero.org/users/6494596/items/FR4PMGAZ"],"uri":["http://zotero.org/users/6494596/items/FR4PMGAZ"],"itemData":{"id":17167,"type":"article-journal","abstract":"Accurate measurement of quality of life (QoL) is important for evaluation of autism services and trials of interventions. We undertook psychometric validation of the World Health Organisation measure-WHOQoL-BREF, examined construct validity of the WHO Disabilities module and developed nine additional autism-specific items (ASQoL) from extensive consultation with the autism community. The sample of 309 autistic people was recruited from the Adult Autism Spectrum Cohort-UK. The WHOQoL-BREF had good psychometric properties, including criterion, convergent, divergent and discriminant validity. The WHO Disabilities module showed adequate construct validity and reliability. The ASQoL items form a unitary factor of QoL, with one global item. Future studies can use the WHO measures alongside the ASQoL items to measure QoL of autistic people.","container-title":"Journal of Autism and Developmental Disorders","DOI":"10.1007/s10803-017-3402-z","issue":"5","page":"1596-1611","title":"Enhancing the validity of a quality of life measure for autistic people.","volume":"48","author":[{"family":"McConachie","given":"Helen"},{"family":"Mason","given":"David"},{"family":"Parr","given":"Jeremy R"},{"family":"Garland","given":"Deborah"},{"family":"Wilson","given":"Colin"},{"family":"Rodgers","given":"Jacqui"}],"issued":{"date-parts":[["2018"]]}}}],"schema":"https://github.com/citation-style-language/schema/raw/master/csl-citation.json"} </w:instrText>
      </w:r>
      <w:r w:rsidRPr="00B30A29">
        <w:rPr>
          <w:color w:val="000000" w:themeColor="text1"/>
        </w:rPr>
        <w:fldChar w:fldCharType="separate"/>
      </w:r>
      <w:r w:rsidR="00175DD7">
        <w:rPr>
          <w:noProof/>
          <w:color w:val="000000" w:themeColor="text1"/>
        </w:rPr>
        <w:t>(McConachie et al., 2018)</w:t>
      </w:r>
      <w:r w:rsidRPr="00B30A29">
        <w:rPr>
          <w:color w:val="000000" w:themeColor="text1"/>
        </w:rPr>
        <w:fldChar w:fldCharType="end"/>
      </w:r>
      <w:r w:rsidRPr="00B30A29">
        <w:rPr>
          <w:color w:val="000000" w:themeColor="text1"/>
        </w:rPr>
        <w:t>. In the current SPARK sample, model-based coefficients of reliability and general factor saturation were found to be acceptable (</w:t>
      </w:r>
      <w:r w:rsidRPr="00B30A29">
        <w:rPr>
          <w:color w:val="000000" w:themeColor="text1"/>
        </w:rPr>
        <w:sym w:font="Symbol" w:char="F077"/>
      </w:r>
      <w:r w:rsidRPr="00B30A29">
        <w:rPr>
          <w:color w:val="000000" w:themeColor="text1"/>
          <w:vertAlign w:val="subscript"/>
        </w:rPr>
        <w:t>T</w:t>
      </w:r>
      <w:r w:rsidRPr="00B30A29">
        <w:rPr>
          <w:color w:val="000000" w:themeColor="text1"/>
        </w:rPr>
        <w:t xml:space="preserve"> = 0.836, </w:t>
      </w:r>
      <w:r w:rsidRPr="00B30A29">
        <w:rPr>
          <w:color w:val="000000" w:themeColor="text1"/>
        </w:rPr>
        <w:sym w:font="Symbol" w:char="F077"/>
      </w:r>
      <w:r w:rsidRPr="00B30A29">
        <w:rPr>
          <w:color w:val="000000" w:themeColor="text1"/>
          <w:vertAlign w:val="subscript"/>
        </w:rPr>
        <w:t>H</w:t>
      </w:r>
      <w:r w:rsidRPr="00B30A29">
        <w:rPr>
          <w:color w:val="000000" w:themeColor="text1"/>
        </w:rPr>
        <w:t xml:space="preserve"> = 0.729) when derived from a bifactor model with a common method factor for the reverse-coded items.</w:t>
      </w:r>
    </w:p>
    <w:p w14:paraId="6570D435" w14:textId="299E57E2" w:rsidR="0077760B" w:rsidRDefault="0077760B" w:rsidP="00CD7217">
      <w:pPr>
        <w:pStyle w:val="Heading2"/>
        <w:spacing w:line="480" w:lineRule="auto"/>
        <w:rPr>
          <w:rFonts w:ascii="Times New Roman" w:hAnsi="Times New Roman" w:cs="Times New Roman"/>
          <w:b/>
          <w:bCs/>
          <w:color w:val="000000" w:themeColor="text1"/>
          <w:sz w:val="24"/>
          <w:szCs w:val="24"/>
        </w:rPr>
      </w:pPr>
      <w:bookmarkStart w:id="10" w:name="_Toc53212457"/>
      <w:r w:rsidRPr="00B30A29">
        <w:rPr>
          <w:rFonts w:ascii="Times New Roman" w:hAnsi="Times New Roman" w:cs="Times New Roman"/>
          <w:b/>
          <w:bCs/>
          <w:color w:val="000000" w:themeColor="text1"/>
          <w:sz w:val="24"/>
          <w:szCs w:val="24"/>
        </w:rPr>
        <w:t>Bayesian Model Estimation</w:t>
      </w:r>
      <w:bookmarkEnd w:id="10"/>
    </w:p>
    <w:p w14:paraId="3A9E53C4" w14:textId="00AA3C4A" w:rsidR="00B30A29" w:rsidRPr="00CD7217" w:rsidRDefault="00CD7217" w:rsidP="00CD7217">
      <w:pPr>
        <w:pStyle w:val="Heading3"/>
        <w:spacing w:line="480" w:lineRule="auto"/>
        <w:rPr>
          <w:rFonts w:ascii="Times New Roman" w:hAnsi="Times New Roman" w:cs="Times New Roman"/>
          <w:b/>
          <w:bCs/>
          <w:i/>
          <w:iCs/>
          <w:color w:val="000000" w:themeColor="text1"/>
        </w:rPr>
      </w:pPr>
      <w:bookmarkStart w:id="11" w:name="_Toc53212458"/>
      <w:r w:rsidRPr="00CD7217">
        <w:rPr>
          <w:rFonts w:ascii="Times New Roman" w:hAnsi="Times New Roman" w:cs="Times New Roman"/>
          <w:b/>
          <w:bCs/>
          <w:i/>
          <w:iCs/>
          <w:color w:val="000000" w:themeColor="text1"/>
        </w:rPr>
        <w:t xml:space="preserve">Linear and Polyserial </w:t>
      </w:r>
      <w:r w:rsidR="00B30A29" w:rsidRPr="00CD7217">
        <w:rPr>
          <w:rFonts w:ascii="Times New Roman" w:hAnsi="Times New Roman" w:cs="Times New Roman"/>
          <w:b/>
          <w:bCs/>
          <w:i/>
          <w:iCs/>
          <w:color w:val="000000" w:themeColor="text1"/>
        </w:rPr>
        <w:t>Correlation</w:t>
      </w:r>
      <w:r w:rsidRPr="00CD7217">
        <w:rPr>
          <w:rFonts w:ascii="Times New Roman" w:hAnsi="Times New Roman" w:cs="Times New Roman"/>
          <w:b/>
          <w:bCs/>
          <w:i/>
          <w:iCs/>
          <w:color w:val="000000" w:themeColor="text1"/>
        </w:rPr>
        <w:t>s</w:t>
      </w:r>
      <w:bookmarkEnd w:id="11"/>
    </w:p>
    <w:p w14:paraId="31144D97" w14:textId="7EC5DAF4" w:rsidR="008010FC" w:rsidRPr="00B30A29" w:rsidRDefault="008010FC" w:rsidP="00CD7217">
      <w:pPr>
        <w:spacing w:line="480" w:lineRule="auto"/>
        <w:ind w:firstLine="720"/>
        <w:jc w:val="both"/>
        <w:rPr>
          <w:color w:val="000000" w:themeColor="text1"/>
        </w:rPr>
      </w:pPr>
      <w:r w:rsidRPr="00B30A29">
        <w:rPr>
          <w:color w:val="000000" w:themeColor="text1"/>
        </w:rPr>
        <w:t xml:space="preserve">Robust bivariate correlations </w:t>
      </w:r>
      <w:r w:rsidR="00B11507" w:rsidRPr="00B30A29">
        <w:rPr>
          <w:color w:val="000000" w:themeColor="text1"/>
        </w:rPr>
        <w:t xml:space="preserve">between TAS scores and continuous variables </w:t>
      </w:r>
      <w:r w:rsidRPr="00B30A29">
        <w:rPr>
          <w:color w:val="000000" w:themeColor="text1"/>
        </w:rPr>
        <w:t>were estimated using an intercept-only multivariate Student-</w:t>
      </w:r>
      <w:r w:rsidRPr="00B30A29">
        <w:rPr>
          <w:i/>
          <w:iCs/>
          <w:color w:val="000000" w:themeColor="text1"/>
        </w:rPr>
        <w:t>t</w:t>
      </w:r>
      <w:r w:rsidRPr="00B30A29">
        <w:rPr>
          <w:color w:val="000000" w:themeColor="text1"/>
        </w:rPr>
        <w:t xml:space="preserve"> regression model, with the parameter of interest being the residual correlation coefficient </w:t>
      </w:r>
      <w:r w:rsidRPr="00B30A29">
        <w:rPr>
          <w:color w:val="000000" w:themeColor="text1"/>
        </w:rPr>
        <w:fldChar w:fldCharType="begin"/>
      </w:r>
      <w:r w:rsidR="00E44002" w:rsidRPr="00B30A29">
        <w:rPr>
          <w:color w:val="000000" w:themeColor="text1"/>
        </w:rPr>
        <w:instrText xml:space="preserve"> ADDIN ZOTERO_ITEM CSL_CITATION {"citationID":"cDoxiSkK","properties":{"formattedCitation":"(Kurz, 2019)","plainCitation":"(Kurz, 2019)","noteIndex":0},"citationItems":[{"id":31415,"uris":["http://zotero.org/users/6494596/items/I8CXECFP"],"uri":["http://zotero.org/users/6494596/items/I8CXECFP"],"itemData":{"id":31415,"type":"post-weblog","abstract":"[edited June 18, 2019]\nIn this post, we’ll show how Student’s \\(t\\)-distribution can produce better correlation estimates when your data have outliers. As is often the case, we’ll do so as Bayesians.\nThis post is a direct consequence of Adrian Baez-Ortega’s great blog, “Bayesian robust correlation with Stan in R (and why you should use Bayesian methods)”. Baez-Ortega worked out the approach and code for direct use with Stan computational environment.","container-title":"A. Solomon Kurz","language":"en-us","title":"Bayesian robust correlations with brms (and why you should love Student’s t)","title-short":"Bayesian robust correlations with brms","URL":"https://solomonkurz.netlify.app/post/bayesian-robust-correlations-with-brms-and-why-you-should-love-student-s-t/","author":[{"family":"Kurz","given":"A. Solomon"}],"accessed":{"date-parts":[["2020",9,27]]},"issued":{"date-parts":[["2019",2,10]]}}}],"schema":"https://github.com/citation-style-language/schema/raw/master/csl-citation.json"} </w:instrText>
      </w:r>
      <w:r w:rsidRPr="00B30A29">
        <w:rPr>
          <w:color w:val="000000" w:themeColor="text1"/>
        </w:rPr>
        <w:fldChar w:fldCharType="separate"/>
      </w:r>
      <w:r w:rsidR="00E44002" w:rsidRPr="00B30A29">
        <w:rPr>
          <w:noProof/>
          <w:color w:val="000000" w:themeColor="text1"/>
        </w:rPr>
        <w:t>(Kurz, 2019)</w:t>
      </w:r>
      <w:r w:rsidRPr="00B30A29">
        <w:rPr>
          <w:color w:val="000000" w:themeColor="text1"/>
        </w:rPr>
        <w:fldChar w:fldCharType="end"/>
      </w:r>
      <w:r w:rsidRPr="00B30A29">
        <w:rPr>
          <w:color w:val="000000" w:themeColor="text1"/>
        </w:rPr>
        <w:t xml:space="preserve">. This model was estimated in Stan using the </w:t>
      </w:r>
      <w:r w:rsidRPr="00B30A29">
        <w:rPr>
          <w:i/>
          <w:iCs/>
          <w:color w:val="000000" w:themeColor="text1"/>
        </w:rPr>
        <w:t>brms</w:t>
      </w:r>
      <w:r w:rsidRPr="00B30A29">
        <w:rPr>
          <w:color w:val="000000" w:themeColor="text1"/>
        </w:rPr>
        <w:t xml:space="preserve"> R package </w:t>
      </w:r>
      <w:r w:rsidRPr="00B30A29">
        <w:rPr>
          <w:color w:val="000000" w:themeColor="text1"/>
        </w:rPr>
        <w:fldChar w:fldCharType="begin"/>
      </w:r>
      <w:r w:rsidR="00E44002" w:rsidRPr="00B30A29">
        <w:rPr>
          <w:color w:val="000000" w:themeColor="text1"/>
        </w:rPr>
        <w:instrText xml:space="preserve"> ADDIN ZOTERO_ITEM CSL_CITATION {"citationID":"mYDhlJn1","properties":{"formattedCitation":"(B\\uc0\\u252{}rkner, 2017)","plainCitation":"(Bürkner, 2017)","noteIndex":0},"citationItems":[{"id":22460,"uris":["http://zotero.org/users/6494596/items/6QQK6AUC"],"uri":["http://zotero.org/users/6494596/items/6QQK6AUC"],"itemData":{"id":22460,"type":"article-journal","container-title":"Journal of Statistical Software","DOI":"10.18637/jss.v080.i01","issue":"1","journalAbbreviation":"J Stat Soft","title":"brms: An R package for Bayesian multilevel models using Stan","volume":"80","author":[{"family":"Bürkner","given":"Paul-Christian"}],"issued":{"date-parts":[["2017"]]}}}],"schema":"https://github.com/citation-style-language/schema/raw/master/csl-citation.json"} </w:instrText>
      </w:r>
      <w:r w:rsidRPr="00B30A29">
        <w:rPr>
          <w:color w:val="000000" w:themeColor="text1"/>
        </w:rPr>
        <w:fldChar w:fldCharType="separate"/>
      </w:r>
      <w:r w:rsidR="00E44002" w:rsidRPr="00B30A29">
        <w:rPr>
          <w:color w:val="000000" w:themeColor="text1"/>
        </w:rPr>
        <w:t>(Bürkner, 2017)</w:t>
      </w:r>
      <w:r w:rsidRPr="00B30A29">
        <w:rPr>
          <w:color w:val="000000" w:themeColor="text1"/>
        </w:rPr>
        <w:fldChar w:fldCharType="end"/>
      </w:r>
      <w:r w:rsidRPr="00B30A29">
        <w:rPr>
          <w:color w:val="000000" w:themeColor="text1"/>
        </w:rPr>
        <w:t xml:space="preserve"> with weakly informative priors, including default scaled Student</w:t>
      </w:r>
      <w:r w:rsidRPr="00B30A29">
        <w:rPr>
          <w:color w:val="000000" w:themeColor="text1"/>
        </w:rPr>
        <w:softHyphen/>
        <w:t>-</w:t>
      </w:r>
      <w:r w:rsidRPr="00B30A29">
        <w:rPr>
          <w:i/>
          <w:iCs/>
          <w:color w:val="000000" w:themeColor="text1"/>
        </w:rPr>
        <w:t>t</w:t>
      </w:r>
      <w:r w:rsidRPr="00B30A29">
        <w:rPr>
          <w:color w:val="000000" w:themeColor="text1"/>
          <w:vertAlign w:val="subscript"/>
        </w:rPr>
        <w:t>3</w:t>
      </w:r>
      <w:r w:rsidRPr="00B30A29">
        <w:rPr>
          <w:color w:val="000000" w:themeColor="text1"/>
        </w:rPr>
        <w:t xml:space="preserve"> priors on parameters </w:t>
      </w:r>
      <w:r w:rsidRPr="00B30A29">
        <w:rPr>
          <w:color w:val="000000" w:themeColor="text1"/>
        </w:rPr>
        <w:sym w:font="Symbol" w:char="F06D"/>
      </w:r>
      <w:r w:rsidRPr="00B30A29">
        <w:rPr>
          <w:color w:val="000000" w:themeColor="text1"/>
        </w:rPr>
        <w:t xml:space="preserve"> and log(</w:t>
      </w:r>
      <w:r w:rsidRPr="00B30A29">
        <w:rPr>
          <w:color w:val="000000" w:themeColor="text1"/>
        </w:rPr>
        <w:sym w:font="Symbol" w:char="F073"/>
      </w:r>
      <w:r w:rsidRPr="00B30A29">
        <w:rPr>
          <w:color w:val="000000" w:themeColor="text1"/>
        </w:rPr>
        <w:t xml:space="preserve">), a Gamma(2, 0.1) prior on </w:t>
      </w:r>
      <w:r w:rsidRPr="00B30A29">
        <w:rPr>
          <w:color w:val="000000" w:themeColor="text1"/>
        </w:rPr>
        <w:sym w:font="Symbol" w:char="F06E"/>
      </w:r>
      <w:r w:rsidRPr="00B30A29">
        <w:rPr>
          <w:color w:val="000000" w:themeColor="text1"/>
        </w:rPr>
        <w:t xml:space="preserve"> (degrees of freedom for the </w:t>
      </w:r>
      <w:r w:rsidRPr="00B30A29">
        <w:rPr>
          <w:i/>
          <w:iCs/>
          <w:color w:val="000000" w:themeColor="text1"/>
        </w:rPr>
        <w:t>t</w:t>
      </w:r>
      <w:r w:rsidRPr="00B30A29">
        <w:rPr>
          <w:color w:val="000000" w:themeColor="text1"/>
        </w:rPr>
        <w:t xml:space="preserve">-distribution), and a </w:t>
      </w:r>
      <w:proofErr w:type="spellStart"/>
      <w:r w:rsidRPr="00B30A29">
        <w:rPr>
          <w:color w:val="000000" w:themeColor="text1"/>
        </w:rPr>
        <w:t>Lerandowski</w:t>
      </w:r>
      <w:proofErr w:type="spellEnd"/>
      <w:r w:rsidRPr="00B30A29">
        <w:rPr>
          <w:color w:val="000000" w:themeColor="text1"/>
        </w:rPr>
        <w:t>-</w:t>
      </w:r>
      <w:proofErr w:type="spellStart"/>
      <w:r w:rsidRPr="00B30A29">
        <w:rPr>
          <w:color w:val="000000" w:themeColor="text1"/>
        </w:rPr>
        <w:t>Kurowicka</w:t>
      </w:r>
      <w:proofErr w:type="spellEnd"/>
      <w:r w:rsidRPr="00B30A29">
        <w:rPr>
          <w:color w:val="000000" w:themeColor="text1"/>
        </w:rPr>
        <w:t xml:space="preserve">-Joe (LKJ) prior on the residual correlation coefficient </w:t>
      </w:r>
      <w:r w:rsidRPr="00B30A29">
        <w:rPr>
          <w:color w:val="000000" w:themeColor="text1"/>
        </w:rPr>
        <w:fldChar w:fldCharType="begin"/>
      </w:r>
      <w:r w:rsidR="00E44002" w:rsidRPr="00B30A29">
        <w:rPr>
          <w:color w:val="000000" w:themeColor="text1"/>
        </w:rPr>
        <w:instrText xml:space="preserve"> ADDIN ZOTERO_ITEM CSL_CITATION {"citationID":"EQK6ZjD5","properties":{"formattedCitation":"(Lewandowski et al., 2009)","plainCitation":"(Lewandowski et al., 2009)","noteIndex":0},"citationItems":[{"id":31412,"uris":["http://zotero.org/users/6494596/items/NU9BKCR5"],"uri":["http://zotero.org/users/6494596/items/NU9BKCR5"],"itemData":{"id":31412,"type":"article-journal","abstract":"We extend and improve two existing methods of generating random correlation matrices, the onion method of Ghosh and Henderson [S. Ghosh, S.G. Henderson, Behavior of the norta method for correlated random vector generation as the dimension increases, ACM Transactions on Modeling and Computer Simulation (TOMACS) 13 (3) (2003) 276–294] and the recently proposed method of Joe [H. Joe, Generating random correlation matrices based on partial correlations, Journal of Multivariate Analysis 97 (2006) 2177–2189] based on partial correlations. The latter is based on the so-called D-vine. We extend the methodology to any regular vine and study the relationship between the multiple correlation and partial correlations on a regular vine. We explain the onion method in terms of elliptical distributions and extend it to allow generating random correlation matrices from the same joint distribution as the vine method. The methods are compared in terms of time necessary to generate 5000 random correlation matrices of given dimensions.","container-title":"Journal of Multivariate Analysis","DOI":"10.1016/j.jmva.2009.04.008","ISSN":"0047-259X","issue":"9","journalAbbreviation":"Journal of Multivariate Analysis","language":"en","page":"1989-2001","source":"ScienceDirect","title":"Generating random correlation matrices based on vines and extended onion method","volume":"100","author":[{"family":"Lewandowski","given":"Daniel"},{"family":"Kurowicka","given":"Dorota"},{"family":"Joe","given":"Harry"}],"issued":{"date-parts":[["2009",10,1]]}}}],"schema":"https://github.com/citation-style-language/schema/raw/master/csl-citation.json"} </w:instrText>
      </w:r>
      <w:r w:rsidRPr="00B30A29">
        <w:rPr>
          <w:color w:val="000000" w:themeColor="text1"/>
        </w:rPr>
        <w:fldChar w:fldCharType="separate"/>
      </w:r>
      <w:r w:rsidR="00E44002" w:rsidRPr="00B30A29">
        <w:rPr>
          <w:noProof/>
          <w:color w:val="000000" w:themeColor="text1"/>
        </w:rPr>
        <w:t>(Lewandowski et al., 2009)</w:t>
      </w:r>
      <w:r w:rsidRPr="00B30A29">
        <w:rPr>
          <w:color w:val="000000" w:themeColor="text1"/>
        </w:rPr>
        <w:fldChar w:fldCharType="end"/>
      </w:r>
      <w:r w:rsidRPr="00B30A29">
        <w:rPr>
          <w:color w:val="000000" w:themeColor="text1"/>
        </w:rPr>
        <w:t xml:space="preserve">, with parameter </w:t>
      </w:r>
      <w:r w:rsidRPr="00B30A29">
        <w:rPr>
          <w:color w:val="000000" w:themeColor="text1"/>
        </w:rPr>
        <w:sym w:font="Symbol" w:char="F068"/>
      </w:r>
      <w:r w:rsidRPr="00B30A29">
        <w:rPr>
          <w:color w:val="000000" w:themeColor="text1"/>
        </w:rPr>
        <w:t xml:space="preserve"> = 2 to reduce the prior probability of extreme correlations. </w:t>
      </w:r>
      <w:r w:rsidR="00B11507" w:rsidRPr="00B30A29">
        <w:rPr>
          <w:color w:val="000000" w:themeColor="text1"/>
        </w:rPr>
        <w:t xml:space="preserve">Robust partial correlations were calculated in a similar manner as bivariate </w:t>
      </w:r>
      <w:r w:rsidR="00B11507" w:rsidRPr="00B30A29">
        <w:rPr>
          <w:color w:val="000000" w:themeColor="text1"/>
        </w:rPr>
        <w:lastRenderedPageBreak/>
        <w:t xml:space="preserve">correlations, except a </w:t>
      </w:r>
      <w:proofErr w:type="spellStart"/>
      <w:r w:rsidR="00B11507" w:rsidRPr="00B30A29">
        <w:rPr>
          <w:color w:val="000000" w:themeColor="text1"/>
        </w:rPr>
        <w:t>trivariate</w:t>
      </w:r>
      <w:proofErr w:type="spellEnd"/>
      <w:r w:rsidR="00B11507" w:rsidRPr="00B30A29">
        <w:rPr>
          <w:color w:val="000000" w:themeColor="text1"/>
        </w:rPr>
        <w:t xml:space="preserve"> </w:t>
      </w:r>
      <w:r w:rsidR="00B11507" w:rsidRPr="00B30A29">
        <w:rPr>
          <w:i/>
          <w:iCs/>
          <w:color w:val="000000" w:themeColor="text1"/>
        </w:rPr>
        <w:t>t</w:t>
      </w:r>
      <w:r w:rsidR="00B11507" w:rsidRPr="00B30A29">
        <w:rPr>
          <w:color w:val="000000" w:themeColor="text1"/>
        </w:rPr>
        <w:t xml:space="preserve">-distribution was estimated, producing a 3 x 3 correlation matrix for all variables (i.e., alexithymia scores, scores on the correlate of interest, and neuroticism scores). We then calculated </w:t>
      </w:r>
      <w:proofErr w:type="spellStart"/>
      <w:r w:rsidR="00B11507" w:rsidRPr="00B30A29">
        <w:rPr>
          <w:i/>
          <w:iCs/>
          <w:color w:val="000000" w:themeColor="text1"/>
        </w:rPr>
        <w:t>r</w:t>
      </w:r>
      <w:r w:rsidR="00B11507" w:rsidRPr="00B30A29">
        <w:rPr>
          <w:color w:val="000000" w:themeColor="text1"/>
          <w:vertAlign w:val="subscript"/>
        </w:rPr>
        <w:t>xy,z</w:t>
      </w:r>
      <w:proofErr w:type="spellEnd"/>
      <w:r w:rsidR="00B11507" w:rsidRPr="00B30A29">
        <w:rPr>
          <w:color w:val="000000" w:themeColor="text1"/>
        </w:rPr>
        <w:t xml:space="preserve"> from </w:t>
      </w:r>
      <w:proofErr w:type="spellStart"/>
      <w:r w:rsidR="00B11507" w:rsidRPr="00B30A29">
        <w:rPr>
          <w:i/>
          <w:iCs/>
          <w:color w:val="000000" w:themeColor="text1"/>
        </w:rPr>
        <w:t>r</w:t>
      </w:r>
      <w:r w:rsidR="00B11507" w:rsidRPr="00B30A29">
        <w:rPr>
          <w:color w:val="000000" w:themeColor="text1"/>
          <w:vertAlign w:val="subscript"/>
        </w:rPr>
        <w:t>xy</w:t>
      </w:r>
      <w:proofErr w:type="spellEnd"/>
      <w:r w:rsidR="00B11507" w:rsidRPr="00B30A29">
        <w:rPr>
          <w:color w:val="000000" w:themeColor="text1"/>
        </w:rPr>
        <w:t xml:space="preserve">, </w:t>
      </w:r>
      <w:proofErr w:type="spellStart"/>
      <w:r w:rsidR="00B11507" w:rsidRPr="00B30A29">
        <w:rPr>
          <w:i/>
          <w:iCs/>
          <w:color w:val="000000" w:themeColor="text1"/>
        </w:rPr>
        <w:t>r</w:t>
      </w:r>
      <w:r w:rsidR="00B11507" w:rsidRPr="00B30A29">
        <w:rPr>
          <w:color w:val="000000" w:themeColor="text1"/>
          <w:vertAlign w:val="subscript"/>
        </w:rPr>
        <w:t>xz</w:t>
      </w:r>
      <w:proofErr w:type="spellEnd"/>
      <w:r w:rsidR="00B11507" w:rsidRPr="00B30A29">
        <w:rPr>
          <w:color w:val="000000" w:themeColor="text1"/>
        </w:rPr>
        <w:t xml:space="preserve">, and </w:t>
      </w:r>
      <w:proofErr w:type="spellStart"/>
      <w:r w:rsidR="00B11507" w:rsidRPr="00B30A29">
        <w:rPr>
          <w:i/>
          <w:iCs/>
          <w:color w:val="000000" w:themeColor="text1"/>
        </w:rPr>
        <w:t>r</w:t>
      </w:r>
      <w:r w:rsidR="00B11507" w:rsidRPr="00B30A29">
        <w:rPr>
          <w:color w:val="000000" w:themeColor="text1"/>
          <w:vertAlign w:val="subscript"/>
        </w:rPr>
        <w:t>yz</w:t>
      </w:r>
      <w:proofErr w:type="spellEnd"/>
      <w:r w:rsidR="00B11507" w:rsidRPr="00B30A29">
        <w:rPr>
          <w:color w:val="000000" w:themeColor="text1"/>
          <w:vertAlign w:val="subscript"/>
        </w:rPr>
        <w:softHyphen/>
      </w:r>
      <w:r w:rsidR="00B11507" w:rsidRPr="00B30A29">
        <w:rPr>
          <w:color w:val="000000" w:themeColor="text1"/>
        </w:rPr>
        <w:t xml:space="preserve"> for each posterior sample using the standard estimator based on bivariate correlations </w:t>
      </w:r>
      <w:r w:rsidR="00B11507" w:rsidRPr="00B30A29">
        <w:rPr>
          <w:color w:val="000000" w:themeColor="text1"/>
        </w:rPr>
        <w:fldChar w:fldCharType="begin"/>
      </w:r>
      <w:r w:rsidR="00B11507" w:rsidRPr="00B30A29">
        <w:rPr>
          <w:color w:val="000000" w:themeColor="text1"/>
        </w:rPr>
        <w:instrText xml:space="preserve"> ADDIN ZOTERO_ITEM CSL_CITATION {"citationID":"UgJBo6AY","properties":{"formattedCitation":"(see Wetzels &amp; Wagenmakers, 2012 for additional details)","plainCitation":"(see Wetzels &amp; Wagenmakers, 2012 for additional details)","noteIndex":0},"citationItems":[{"id":31420,"uris":["http://zotero.org/users/6494596/items/A5TR5RNV"],"uri":["http://zotero.org/users/6494596/items/A5TR5RNV"],"itemData":{"id":31420,"type":"article-journal","container-title":"Psychonomic Bulletin &amp; Review","DOI":"10.3758/s13423-012-0295-x","ISSN":"1069-9384, 1531-5320","issue":"6","journalAbbreviation":"Psychon Bull Rev","language":"en","page":"1057-1064","source":"DOI.org (Crossref)","title":"A default Bayesian hypothesis test for correlations and partial correlations","volume":"19","author":[{"family":"Wetzels","given":"Ruud"},{"family":"Wagenmakers","given":"Eric-Jan"}],"issued":{"date-parts":[["2012",12]]}},"prefix":"see ","suffix":"for additional details"}],"schema":"https://github.com/citation-style-language/schema/raw/master/csl-citation.json"} </w:instrText>
      </w:r>
      <w:r w:rsidR="00B11507" w:rsidRPr="00B30A29">
        <w:rPr>
          <w:color w:val="000000" w:themeColor="text1"/>
        </w:rPr>
        <w:fldChar w:fldCharType="separate"/>
      </w:r>
      <w:r w:rsidR="00B11507" w:rsidRPr="00B30A29">
        <w:rPr>
          <w:noProof/>
          <w:color w:val="000000" w:themeColor="text1"/>
        </w:rPr>
        <w:t>(see Wetzels &amp; Wagenmakers, 2012 for additional details)</w:t>
      </w:r>
      <w:r w:rsidR="00B11507" w:rsidRPr="00B30A29">
        <w:rPr>
          <w:color w:val="000000" w:themeColor="text1"/>
        </w:rPr>
        <w:fldChar w:fldCharType="end"/>
      </w:r>
      <w:r w:rsidR="00B11507" w:rsidRPr="00B30A29">
        <w:rPr>
          <w:color w:val="000000" w:themeColor="text1"/>
        </w:rPr>
        <w:t xml:space="preserve">, allowing us to estimate the posterior distribution of the partial correlation coefficient </w:t>
      </w:r>
      <w:r w:rsidR="00B11507" w:rsidRPr="00B30A29">
        <w:rPr>
          <w:i/>
          <w:iCs/>
          <w:color w:val="000000" w:themeColor="text1"/>
        </w:rPr>
        <w:t>r</w:t>
      </w:r>
      <w:r w:rsidR="00B11507" w:rsidRPr="00B30A29">
        <w:rPr>
          <w:color w:val="000000" w:themeColor="text1"/>
          <w:vertAlign w:val="subscript"/>
        </w:rPr>
        <w:t>p</w:t>
      </w:r>
      <w:r w:rsidR="00B11507" w:rsidRPr="00B30A29">
        <w:rPr>
          <w:color w:val="000000" w:themeColor="text1"/>
        </w:rPr>
        <w:t xml:space="preserve">. </w:t>
      </w:r>
      <w:r w:rsidRPr="00B30A29">
        <w:rPr>
          <w:color w:val="000000" w:themeColor="text1"/>
        </w:rPr>
        <w:t xml:space="preserve">Model parameters were estimated via Markov chain Monte Carlo (MCMC) using the No U-turn Sampler </w:t>
      </w:r>
      <w:r w:rsidRPr="00B30A29">
        <w:rPr>
          <w:color w:val="000000" w:themeColor="text1"/>
        </w:rPr>
        <w:fldChar w:fldCharType="begin"/>
      </w:r>
      <w:r w:rsidR="00E44002" w:rsidRPr="00B30A29">
        <w:rPr>
          <w:color w:val="000000" w:themeColor="text1"/>
        </w:rPr>
        <w:instrText xml:space="preserve"> ADDIN ZOTERO_ITEM CSL_CITATION {"citationID":"Riesii6k","properties":{"formattedCitation":"(Homan &amp; Gelman, 2014)","plainCitation":"(Homan &amp; Gelman, 2014)","noteIndex":0},"citationItems":[{"id":10815,"uris":["http://zotero.org/users/6494596/items/EU3PWX72"],"uri":["http://zotero.org/users/6494596/items/EU3PWX72"],"itemData":{"id":10815,"type":"article-journal","container-title":"The Journal of Machine Learning Research","DOI":"10.5555/2627435.2638586","issue":"1","page":"1593-1623","title":"The No-U-turn sampler: Adaptively setting path lengths in Hamiltonian Monte Carlo","volume":"15","author":[{"family":"Homan","given":"Matthew D"},{"family":"Gelman","given":"Andrew"}],"issued":{"date-parts":[["2014"]]}}}],"schema":"https://github.com/citation-style-language/schema/raw/master/csl-citation.json"} </w:instrText>
      </w:r>
      <w:r w:rsidRPr="00B30A29">
        <w:rPr>
          <w:color w:val="000000" w:themeColor="text1"/>
        </w:rPr>
        <w:fldChar w:fldCharType="separate"/>
      </w:r>
      <w:r w:rsidR="00E44002" w:rsidRPr="00B30A29">
        <w:rPr>
          <w:noProof/>
          <w:color w:val="000000" w:themeColor="text1"/>
        </w:rPr>
        <w:t>(Homan &amp; Gelman, 2014)</w:t>
      </w:r>
      <w:r w:rsidRPr="00B30A29">
        <w:rPr>
          <w:color w:val="000000" w:themeColor="text1"/>
        </w:rPr>
        <w:fldChar w:fldCharType="end"/>
      </w:r>
      <w:r w:rsidRPr="00B30A29">
        <w:rPr>
          <w:color w:val="000000" w:themeColor="text1"/>
        </w:rPr>
        <w:t xml:space="preserve">, with posterior distributions of each parameter estimated using 20,000 post-warmup MCMC draws from five Markov chains. Parameter summaries from these posterior distributions were operationalized as the posterior median and the 95% highest-density credible interval (CrI). </w:t>
      </w:r>
      <w:r w:rsidRPr="00534626">
        <w:rPr>
          <w:color w:val="000000" w:themeColor="text1"/>
        </w:rPr>
        <w:t xml:space="preserve">Convergence for each model was confirmed by examination of Markov chain trace plots, as well as values of the Gelman–Rubin </w:t>
      </w:r>
      <w:r w:rsidR="00E44002" w:rsidRPr="00B30A29">
        <w:rPr>
          <w:color w:val="000000" w:themeColor="text1"/>
        </w:rPr>
        <w:fldChar w:fldCharType="begin"/>
      </w:r>
      <w:r w:rsidR="00E44002" w:rsidRPr="00B30A29">
        <w:rPr>
          <w:color w:val="000000" w:themeColor="text1"/>
        </w:rPr>
        <w:instrText xml:space="preserve"> ADDIN ZOTERO_ITEM CSL_CITATION {"citationID":"Y1WRSIVC","properties":{"formattedCitation":"(1992)","plainCitation":"(1992)","noteIndex":0},"citationItems":[{"id":30509,"uris":["http://zotero.org/users/6494596/items/UL2A9P6R"],"uri":["http://zotero.org/users/6494596/items/UL2A9P6R"],"itemData":{"id":30509,"type":"article-journal","abstract":"The Gibbs sampler, the algorithm of Metropolis and similar iterative simulation methods are potentially very helpful for summarizing multivariate distributions. Used naively, however, iterative simulation can give misleading answers. Our methods are simple and generally applicable to the output of any iterative simulation; they are designed for researchers primarily interested in the science underlying the data and models they are analyzing, rather than for researchers interested in the probability theory underlying the iterative simulations themselves. Our recommended strategy is to use several independent sequences, with starting points sampled from an overdispersed distribution. At each step of the iterative simulation, we obtain, for each univariate estimand of interest, a distributional estimate and an estimate of how much sharper the distributional estimate might become if the simulations were continued indefinitely. Because our focus is on applied inference for Bayesian posterior distributions in real problems, which often tend toward normality after transformations and marginalization, we derive our results as normal-theory approximations to exact Bayesian inference, conditional on the observed simulations. The methods are illustrated on a random-effects mixture model applied to experimental measurements of reaction times of normal and schizophrenic patients.","container-title":"Statistical Science","DOI":"10.1214/ss/1177011136","ISSN":"0883-4237, 2168-8745","issue":"4","journalAbbreviation":"Statist. Sci.","language":"EN","note":"publisher: Institute of Mathematical Statistics\nZbl: 06853057","page":"457-472","source":"Project Euclid","title":"Inference from iterative simulation using multiple sequences","volume":"7","author":[{"family":"Gelman","given":"Andrew"},{"family":"Rubin","given":"Donald B."}],"issued":{"date-parts":[["1992",11]]}},"suppress-author":true}],"schema":"https://github.com/citation-style-language/schema/raw/master/csl-citation.json"} </w:instrText>
      </w:r>
      <w:r w:rsidR="00E44002" w:rsidRPr="00B30A29">
        <w:rPr>
          <w:color w:val="000000" w:themeColor="text1"/>
        </w:rPr>
        <w:fldChar w:fldCharType="separate"/>
      </w:r>
      <w:r w:rsidR="00E44002" w:rsidRPr="00B30A29">
        <w:rPr>
          <w:noProof/>
          <w:color w:val="000000" w:themeColor="text1"/>
        </w:rPr>
        <w:t>(1992)</w:t>
      </w:r>
      <w:r w:rsidR="00E44002" w:rsidRPr="00B30A29">
        <w:rPr>
          <w:color w:val="000000" w:themeColor="text1"/>
        </w:rPr>
        <w:fldChar w:fldCharType="end"/>
      </w:r>
      <w:r w:rsidRPr="00534626">
        <w:rPr>
          <w:color w:val="000000" w:themeColor="text1"/>
        </w:rPr>
        <w:t xml:space="preserve"> convergence diagnostic &lt; 1.01</w:t>
      </w:r>
      <w:r w:rsidRPr="00B30A29">
        <w:rPr>
          <w:color w:val="000000" w:themeColor="text1"/>
        </w:rPr>
        <w:t xml:space="preserve">. </w:t>
      </w:r>
    </w:p>
    <w:p w14:paraId="1CA20468" w14:textId="592B1AC7" w:rsidR="00B11507" w:rsidRDefault="00005C9C" w:rsidP="00CD7217">
      <w:pPr>
        <w:spacing w:line="480" w:lineRule="auto"/>
        <w:ind w:firstLine="720"/>
        <w:jc w:val="both"/>
        <w:rPr>
          <w:color w:val="000000" w:themeColor="text1"/>
        </w:rPr>
      </w:pPr>
      <w:r w:rsidRPr="00B30A29">
        <w:rPr>
          <w:color w:val="000000" w:themeColor="text1"/>
        </w:rPr>
        <w:t>Bivariate polyserial</w:t>
      </w:r>
      <w:r w:rsidR="00B11507" w:rsidRPr="00B30A29">
        <w:rPr>
          <w:color w:val="000000" w:themeColor="text1"/>
        </w:rPr>
        <w:t xml:space="preserve"> correlations </w:t>
      </w:r>
      <w:r w:rsidRPr="00B30A29">
        <w:rPr>
          <w:color w:val="000000" w:themeColor="text1"/>
        </w:rPr>
        <w:t xml:space="preserve">and partial polyserial correlations </w:t>
      </w:r>
      <w:r w:rsidR="00B11507" w:rsidRPr="00B30A29">
        <w:rPr>
          <w:color w:val="000000" w:themeColor="text1"/>
        </w:rPr>
        <w:t xml:space="preserve">between TAS scores and </w:t>
      </w:r>
      <w:r w:rsidRPr="00B30A29">
        <w:rPr>
          <w:color w:val="000000" w:themeColor="text1"/>
        </w:rPr>
        <w:t xml:space="preserve">ordinal variables (e.g., the BDI-II suicidality item) were estimated using a Bayesian ordered-probit regression model, with correlation coefficients calculated from the raw regression parameters and the standard deviation of the predictor variable (residualized on the covariate in the case of partial correlations) according to the methods described by Breen et al. </w:t>
      </w:r>
      <w:r w:rsidRPr="00B30A29">
        <w:rPr>
          <w:color w:val="000000" w:themeColor="text1"/>
        </w:rPr>
        <w:fldChar w:fldCharType="begin"/>
      </w:r>
      <w:r w:rsidRPr="00B30A29">
        <w:rPr>
          <w:color w:val="000000" w:themeColor="text1"/>
        </w:rPr>
        <w:instrText xml:space="preserve"> ADDIN ZOTERO_ITEM CSL_CITATION {"citationID":"ko2w7Oya","properties":{"formattedCitation":"(2014)","plainCitation":"(2014)","noteIndex":0},"citationItems":[{"id":31423,"uris":["http://zotero.org/users/6494596/items/5EXUMN7V"],"uri":["http://zotero.org/users/6494596/items/5EXUMN7V"],"itemData":{"id":31423,"type":"article-journal","abstract":"Although the parameters of logit and probit and other nonlinear probability models (NLPMs) are often explained and interpreted in relation to the regression coefficients of an underlying linear latent variable model, we argue that they may also be usefully interpreted in terms of the correlations between the dependent variable of the latent variable model and its predictor variables. We show how this correlation can be derived from the parameters of NLPMs, develop tests for the statistical significance of the derived correlation, and illustrate its usefulness in two applications. Under certain circumstances, which we explain, the derived correlation provides a way of overcoming the problems inherent in cross-sample comparisons of the parameters of NLPMs.","container-title":"Sociological Methods &amp; Research","DOI":"10.1177/0049124114544224","ISSN":"0049-1241","issue":"4","journalAbbreviation":"Sociological Methods &amp; Research","language":"en","note":"publisher: SAGE Publications Inc","page":"571-605","source":"SAGE Journals","title":"Correlations and nonlinear probability models","volume":"43","author":[{"family":"Breen","given":"Richard"},{"family":"Holm","given":"Anders"},{"family":"Karlson","given":"Kristian Bernt"}],"issued":{"date-parts":[["2014",11,1]]}},"suppress-author":true}],"schema":"https://github.com/citation-style-language/schema/raw/master/csl-citation.json"} </w:instrText>
      </w:r>
      <w:r w:rsidRPr="00B30A29">
        <w:rPr>
          <w:color w:val="000000" w:themeColor="text1"/>
        </w:rPr>
        <w:fldChar w:fldCharType="separate"/>
      </w:r>
      <w:r w:rsidRPr="00B30A29">
        <w:rPr>
          <w:noProof/>
          <w:color w:val="000000" w:themeColor="text1"/>
        </w:rPr>
        <w:t>(2014)</w:t>
      </w:r>
      <w:r w:rsidRPr="00B30A29">
        <w:rPr>
          <w:color w:val="000000" w:themeColor="text1"/>
        </w:rPr>
        <w:fldChar w:fldCharType="end"/>
      </w:r>
      <w:r w:rsidRPr="00B30A29">
        <w:rPr>
          <w:color w:val="000000" w:themeColor="text1"/>
        </w:rPr>
        <w:t xml:space="preserve">. The scale of the latent outcome variable was fixed to a standard normal distribution, and weakly-informative prior distributions were placed on all other model parameters, including a Student </w:t>
      </w:r>
      <w:r w:rsidRPr="00B30A29">
        <w:rPr>
          <w:i/>
          <w:iCs/>
          <w:color w:val="000000" w:themeColor="text1"/>
        </w:rPr>
        <w:t>t</w:t>
      </w:r>
      <w:r w:rsidRPr="00B30A29">
        <w:rPr>
          <w:color w:val="000000" w:themeColor="text1"/>
          <w:vertAlign w:val="subscript"/>
        </w:rPr>
        <w:t>3</w:t>
      </w:r>
      <w:r w:rsidRPr="00B30A29">
        <w:rPr>
          <w:color w:val="000000" w:themeColor="text1"/>
        </w:rPr>
        <w:t xml:space="preserve">(0, 2.5) prior on intercept terms and </w:t>
      </w:r>
      <w:proofErr w:type="gramStart"/>
      <w:r w:rsidRPr="00B30A29">
        <w:rPr>
          <w:color w:val="000000" w:themeColor="text1"/>
        </w:rPr>
        <w:t>Normal(</w:t>
      </w:r>
      <w:proofErr w:type="gramEnd"/>
      <w:r w:rsidRPr="00B30A29">
        <w:rPr>
          <w:color w:val="000000" w:themeColor="text1"/>
        </w:rPr>
        <w:t xml:space="preserve">0, 1) prior on all unstandardized slope parameters. </w:t>
      </w:r>
      <w:r w:rsidR="00683119" w:rsidRPr="00B30A29">
        <w:rPr>
          <w:color w:val="000000" w:themeColor="text1"/>
        </w:rPr>
        <w:t xml:space="preserve">Model estimation procedures and convergence checks were identical to those described above for the linear correlation coefficients. </w:t>
      </w:r>
    </w:p>
    <w:p w14:paraId="65AF24B9" w14:textId="11B3B8D6" w:rsidR="00CD7217" w:rsidRPr="00CD7217" w:rsidRDefault="00CD7217" w:rsidP="00CD7217">
      <w:pPr>
        <w:pStyle w:val="Heading3"/>
        <w:spacing w:line="480" w:lineRule="auto"/>
        <w:rPr>
          <w:rFonts w:ascii="Times New Roman" w:hAnsi="Times New Roman" w:cs="Times New Roman"/>
          <w:b/>
          <w:bCs/>
          <w:i/>
          <w:iCs/>
          <w:color w:val="000000" w:themeColor="text1"/>
        </w:rPr>
      </w:pPr>
      <w:bookmarkStart w:id="12" w:name="_Toc53212459"/>
      <w:r>
        <w:rPr>
          <w:rFonts w:ascii="Times New Roman" w:hAnsi="Times New Roman" w:cs="Times New Roman"/>
          <w:b/>
          <w:bCs/>
          <w:i/>
          <w:iCs/>
          <w:color w:val="000000" w:themeColor="text1"/>
        </w:rPr>
        <w:lastRenderedPageBreak/>
        <w:t>Bayesian Unequal-variance t-tests</w:t>
      </w:r>
      <w:bookmarkEnd w:id="12"/>
    </w:p>
    <w:p w14:paraId="167E213E" w14:textId="0C9EE52D" w:rsidR="00E44002" w:rsidRPr="00B30A29" w:rsidRDefault="00E44002" w:rsidP="00CD7217">
      <w:pPr>
        <w:spacing w:line="480" w:lineRule="auto"/>
        <w:ind w:firstLine="720"/>
        <w:rPr>
          <w:color w:val="000000" w:themeColor="text1"/>
        </w:rPr>
      </w:pPr>
      <w:r w:rsidRPr="00B30A29">
        <w:rPr>
          <w:color w:val="000000" w:themeColor="text1"/>
        </w:rPr>
        <w:t xml:space="preserve">When comparing </w:t>
      </w:r>
      <w:r w:rsidR="00B11507" w:rsidRPr="00B30A29">
        <w:rPr>
          <w:color w:val="000000" w:themeColor="text1"/>
        </w:rPr>
        <w:t>TAS latent trait scores</w:t>
      </w:r>
      <w:r w:rsidRPr="00B30A29">
        <w:rPr>
          <w:color w:val="000000" w:themeColor="text1"/>
        </w:rPr>
        <w:t xml:space="preserve"> between </w:t>
      </w:r>
      <w:r w:rsidR="00B11507" w:rsidRPr="00B30A29">
        <w:rPr>
          <w:color w:val="000000" w:themeColor="text1"/>
        </w:rPr>
        <w:t xml:space="preserve">categorical </w:t>
      </w:r>
      <w:r w:rsidRPr="00B30A29">
        <w:rPr>
          <w:color w:val="000000" w:themeColor="text1"/>
        </w:rPr>
        <w:t>groups</w:t>
      </w:r>
      <w:r w:rsidR="00B11507" w:rsidRPr="00B30A29">
        <w:rPr>
          <w:color w:val="000000" w:themeColor="text1"/>
        </w:rPr>
        <w:t xml:space="preserve"> (e.g., men and women)</w:t>
      </w:r>
      <w:r w:rsidRPr="00B30A29">
        <w:rPr>
          <w:color w:val="000000" w:themeColor="text1"/>
        </w:rPr>
        <w:t xml:space="preserve">, we utilized a Bayesian </w:t>
      </w:r>
      <w:r w:rsidRPr="00B30A29">
        <w:rPr>
          <w:i/>
          <w:iCs/>
          <w:color w:val="000000" w:themeColor="text1"/>
        </w:rPr>
        <w:t>t</w:t>
      </w:r>
      <w:r w:rsidRPr="00B30A29">
        <w:rPr>
          <w:color w:val="000000" w:themeColor="text1"/>
        </w:rPr>
        <w:t>-test</w:t>
      </w:r>
      <w:r w:rsidRPr="00B30A29">
        <w:rPr>
          <w:i/>
          <w:iCs/>
          <w:color w:val="000000" w:themeColor="text1"/>
        </w:rPr>
        <w:t xml:space="preserve"> </w:t>
      </w:r>
      <w:r w:rsidRPr="00B30A29">
        <w:rPr>
          <w:color w:val="000000" w:themeColor="text1"/>
        </w:rPr>
        <w:t xml:space="preserve">similar to the BEST procedure proposed by </w:t>
      </w:r>
      <w:proofErr w:type="spellStart"/>
      <w:r w:rsidRPr="00B30A29">
        <w:rPr>
          <w:color w:val="000000" w:themeColor="text1"/>
        </w:rPr>
        <w:t>Kruschke</w:t>
      </w:r>
      <w:proofErr w:type="spellEnd"/>
      <w:r w:rsidRPr="00B30A29">
        <w:rPr>
          <w:color w:val="000000" w:themeColor="text1"/>
        </w:rPr>
        <w:t xml:space="preserve"> </w:t>
      </w:r>
      <w:r w:rsidRPr="00B30A29">
        <w:rPr>
          <w:color w:val="000000" w:themeColor="text1"/>
        </w:rPr>
        <w:fldChar w:fldCharType="begin"/>
      </w:r>
      <w:r w:rsidRPr="00B30A29">
        <w:rPr>
          <w:color w:val="000000" w:themeColor="text1"/>
        </w:rPr>
        <w:instrText xml:space="preserve"> ADDIN ZOTERO_ITEM CSL_CITATION {"citationID":"ucQqH8lh","properties":{"formattedCitation":"(2013)","plainCitation":"(2013)","noteIndex":0},"citationItems":[{"id":31063,"uris":["http://zotero.org/users/6494596/items/QY9ZVE2A"],"uri":["http://zotero.org/users/6494596/items/QY9ZVE2A"],"itemData":{"id":31063,"type":"article-journal","abstract":"Bayesian estimation for 2 groups provides complete distributions of credible values for the effect size, group means and their difference, standard deviations and their difference, and the normality of the data. The method handles outliers. The decision rule can accept the null value (unlike traditi","container-title":"Journal of Experimental Psychology: General","DOI":"10.1037/a0029146","ISSN":"0096-3445","issue":"2","language":"ENGLISH","note":"PMID: 22774788","page":"573-603","source":"insights.ovid.com","title":"Bayesian estimation supersedes the t test.","volume":"142","author":[{"family":"Kruschke","given":"John K."}],"issued":{"date-parts":[["2013",5]]}},"suppress-author":true}],"schema":"https://github.com/citation-style-language/schema/raw/master/csl-citation.json"} </w:instrText>
      </w:r>
      <w:r w:rsidRPr="00B30A29">
        <w:rPr>
          <w:color w:val="000000" w:themeColor="text1"/>
        </w:rPr>
        <w:fldChar w:fldCharType="separate"/>
      </w:r>
      <w:r w:rsidRPr="00B30A29">
        <w:rPr>
          <w:noProof/>
          <w:color w:val="000000" w:themeColor="text1"/>
        </w:rPr>
        <w:t>(2013)</w:t>
      </w:r>
      <w:r w:rsidRPr="00B30A29">
        <w:rPr>
          <w:color w:val="000000" w:themeColor="text1"/>
        </w:rPr>
        <w:fldChar w:fldCharType="end"/>
      </w:r>
      <w:r w:rsidRPr="00B30A29">
        <w:rPr>
          <w:color w:val="000000" w:themeColor="text1"/>
        </w:rPr>
        <w:t>. However, a notable difference is that in our model, priors were not dependent on the data, dependent variables were standardized (</w:t>
      </w:r>
      <w:r w:rsidRPr="00B30A29">
        <w:rPr>
          <w:i/>
          <w:iCs/>
          <w:color w:val="000000" w:themeColor="text1"/>
        </w:rPr>
        <w:t>M</w:t>
      </w:r>
      <w:r w:rsidRPr="00B30A29">
        <w:rPr>
          <w:color w:val="000000" w:themeColor="text1"/>
        </w:rPr>
        <w:t xml:space="preserve"> = 0, </w:t>
      </w:r>
      <w:r w:rsidRPr="00B30A29">
        <w:rPr>
          <w:i/>
          <w:iCs/>
          <w:color w:val="000000" w:themeColor="text1"/>
        </w:rPr>
        <w:t>SD</w:t>
      </w:r>
      <w:r w:rsidRPr="00B30A29">
        <w:rPr>
          <w:color w:val="000000" w:themeColor="text1"/>
        </w:rPr>
        <w:t xml:space="preserve"> = 1). The standardized outcome was fit to an unequal-variances </w:t>
      </w:r>
      <w:r w:rsidRPr="00B30A29">
        <w:rPr>
          <w:i/>
          <w:iCs/>
          <w:color w:val="000000" w:themeColor="text1"/>
        </w:rPr>
        <w:t>t</w:t>
      </w:r>
      <w:r w:rsidRPr="00B30A29">
        <w:rPr>
          <w:color w:val="000000" w:themeColor="text1"/>
        </w:rPr>
        <w:t xml:space="preserve">-test model in </w:t>
      </w:r>
      <w:r w:rsidRPr="00B30A29">
        <w:rPr>
          <w:i/>
          <w:iCs/>
          <w:color w:val="000000" w:themeColor="text1"/>
        </w:rPr>
        <w:t>brms</w:t>
      </w:r>
      <w:r w:rsidRPr="00B30A29">
        <w:rPr>
          <w:color w:val="000000" w:themeColor="text1"/>
        </w:rPr>
        <w:t>, with a Normal(0, 1) prior on regression coefficients (i.e., the intercept term, mean difference between groups, and mean difference in log(</w:t>
      </w:r>
      <w:r w:rsidRPr="00B30A29">
        <w:rPr>
          <w:color w:val="000000" w:themeColor="text1"/>
        </w:rPr>
        <w:sym w:font="Symbol" w:char="F073"/>
      </w:r>
      <w:r w:rsidRPr="00B30A29">
        <w:rPr>
          <w:color w:val="000000" w:themeColor="text1"/>
        </w:rPr>
        <w:t xml:space="preserve">) between groups), a Normal(0, 1) prior on log-transformed standard deviation parameters for each group, and a Gamma(2, 0.1) prior on </w:t>
      </w:r>
      <w:r w:rsidRPr="00B30A29">
        <w:rPr>
          <w:color w:val="000000" w:themeColor="text1"/>
        </w:rPr>
        <w:sym w:font="Symbol" w:char="F06E"/>
      </w:r>
      <w:r w:rsidRPr="00B30A29">
        <w:rPr>
          <w:color w:val="000000" w:themeColor="text1"/>
        </w:rPr>
        <w:t xml:space="preserve">, the degrees of freedom of the </w:t>
      </w:r>
      <w:r w:rsidRPr="00B30A29">
        <w:rPr>
          <w:i/>
          <w:iCs/>
          <w:color w:val="000000" w:themeColor="text1"/>
        </w:rPr>
        <w:t>t-</w:t>
      </w:r>
      <w:r w:rsidRPr="00B30A29">
        <w:rPr>
          <w:color w:val="000000" w:themeColor="text1"/>
        </w:rPr>
        <w:t xml:space="preserve">distribution. Posterior distributions of the parameters were based on 40,000 post-warmup MCMC draws from five Markov chains. The primary parameter of interest was the standardized mean difference between groups (i.e., Cohen’s </w:t>
      </w:r>
      <w:r w:rsidRPr="00B30A29">
        <w:rPr>
          <w:i/>
          <w:iCs/>
          <w:color w:val="000000" w:themeColor="text1"/>
        </w:rPr>
        <w:t>d</w:t>
      </w:r>
      <w:r w:rsidRPr="00B30A29">
        <w:rPr>
          <w:color w:val="000000" w:themeColor="text1"/>
        </w:rPr>
        <w:t xml:space="preserve">, calculated as the difference in means divided by the square root of the pooled variance), which we summarized using the posterior median and 95% CrI. </w:t>
      </w:r>
    </w:p>
    <w:p w14:paraId="09A4E8A8" w14:textId="4445FA3E" w:rsidR="00E44002" w:rsidRDefault="00E44002" w:rsidP="00175DD7">
      <w:pPr>
        <w:spacing w:line="480" w:lineRule="auto"/>
        <w:rPr>
          <w:color w:val="000000" w:themeColor="text1"/>
        </w:rPr>
      </w:pPr>
    </w:p>
    <w:p w14:paraId="58EB6939" w14:textId="77777777" w:rsidR="009F408B" w:rsidRDefault="009F408B" w:rsidP="00175DD7">
      <w:pPr>
        <w:spacing w:line="480" w:lineRule="auto"/>
        <w:rPr>
          <w:color w:val="000000" w:themeColor="text1"/>
        </w:rPr>
        <w:sectPr w:rsidR="009F408B" w:rsidSect="00126A87">
          <w:headerReference w:type="default" r:id="rId9"/>
          <w:footerReference w:type="default" r:id="rId10"/>
          <w:pgSz w:w="12240" w:h="15840"/>
          <w:pgMar w:top="1440" w:right="1440" w:bottom="1440" w:left="1440" w:header="720" w:footer="720" w:gutter="0"/>
          <w:cols w:space="720"/>
          <w:docGrid w:linePitch="326"/>
        </w:sectPr>
      </w:pPr>
    </w:p>
    <w:p w14:paraId="4B9DEE0C" w14:textId="32D7D95E" w:rsidR="00175DD7" w:rsidRDefault="009F408B" w:rsidP="00F12A06">
      <w:pPr>
        <w:pStyle w:val="Heading1"/>
        <w:rPr>
          <w:rFonts w:ascii="Times New Roman" w:hAnsi="Times New Roman" w:cs="Times New Roman"/>
          <w:b/>
          <w:bCs/>
          <w:color w:val="000000" w:themeColor="text1"/>
          <w:sz w:val="24"/>
          <w:szCs w:val="24"/>
        </w:rPr>
      </w:pPr>
      <w:bookmarkStart w:id="13" w:name="_Toc53212460"/>
      <w:r w:rsidRPr="00F12A06">
        <w:rPr>
          <w:rFonts w:ascii="Times New Roman" w:hAnsi="Times New Roman" w:cs="Times New Roman"/>
          <w:b/>
          <w:bCs/>
          <w:color w:val="000000" w:themeColor="text1"/>
          <w:sz w:val="24"/>
          <w:szCs w:val="24"/>
        </w:rPr>
        <w:lastRenderedPageBreak/>
        <w:t>Supplemental Table S1.</w:t>
      </w:r>
      <w:bookmarkEnd w:id="13"/>
    </w:p>
    <w:p w14:paraId="1DBABFD2" w14:textId="77777777" w:rsidR="00F12A06" w:rsidRPr="00F12A06" w:rsidRDefault="00F12A06" w:rsidP="00F12A06"/>
    <w:p w14:paraId="4A451561" w14:textId="178374DC" w:rsidR="009F408B" w:rsidRPr="008247CF" w:rsidRDefault="008247CF" w:rsidP="00175DD7">
      <w:pPr>
        <w:spacing w:line="480" w:lineRule="auto"/>
        <w:rPr>
          <w:b/>
          <w:bCs/>
          <w:i/>
          <w:iCs/>
          <w:color w:val="000000" w:themeColor="text1"/>
        </w:rPr>
      </w:pPr>
      <w:r>
        <w:rPr>
          <w:b/>
          <w:bCs/>
          <w:i/>
          <w:iCs/>
          <w:color w:val="000000" w:themeColor="text1"/>
        </w:rPr>
        <w:t>TAS-20 Item Content and Factor Loadings for Confirmatory Bifactor Model in Autistic Adults</w:t>
      </w:r>
      <w:r w:rsidR="009B3535">
        <w:rPr>
          <w:b/>
          <w:bCs/>
          <w:i/>
          <w:iCs/>
          <w:color w:val="000000" w:themeColor="text1"/>
        </w:rPr>
        <w:t xml:space="preserve"> (N = 743)</w:t>
      </w:r>
    </w:p>
    <w:tbl>
      <w:tblPr>
        <w:tblW w:w="14740" w:type="dxa"/>
        <w:jc w:val="center"/>
        <w:tblLook w:val="04A0" w:firstRow="1" w:lastRow="0" w:firstColumn="1" w:lastColumn="0" w:noHBand="0" w:noVBand="1"/>
      </w:tblPr>
      <w:tblGrid>
        <w:gridCol w:w="620"/>
        <w:gridCol w:w="7570"/>
        <w:gridCol w:w="790"/>
        <w:gridCol w:w="960"/>
        <w:gridCol w:w="960"/>
        <w:gridCol w:w="960"/>
        <w:gridCol w:w="960"/>
        <w:gridCol w:w="960"/>
        <w:gridCol w:w="960"/>
      </w:tblGrid>
      <w:tr w:rsidR="009F408B" w14:paraId="70456C43" w14:textId="77777777" w:rsidTr="009F408B">
        <w:trPr>
          <w:trHeight w:val="260"/>
          <w:jc w:val="center"/>
        </w:trPr>
        <w:tc>
          <w:tcPr>
            <w:tcW w:w="620" w:type="dxa"/>
            <w:tcBorders>
              <w:top w:val="single" w:sz="4" w:space="0" w:color="auto"/>
              <w:left w:val="nil"/>
              <w:bottom w:val="single" w:sz="4" w:space="0" w:color="auto"/>
              <w:right w:val="nil"/>
            </w:tcBorders>
            <w:shd w:val="clear" w:color="auto" w:fill="auto"/>
            <w:noWrap/>
            <w:vAlign w:val="center"/>
            <w:hideMark/>
          </w:tcPr>
          <w:p w14:paraId="318208EB" w14:textId="77777777" w:rsidR="009F408B" w:rsidRDefault="009F408B">
            <w:pPr>
              <w:jc w:val="center"/>
              <w:rPr>
                <w:b/>
                <w:bCs/>
                <w:color w:val="000000"/>
                <w:sz w:val="20"/>
                <w:szCs w:val="20"/>
              </w:rPr>
            </w:pPr>
            <w:r>
              <w:rPr>
                <w:b/>
                <w:bCs/>
                <w:color w:val="000000"/>
                <w:sz w:val="20"/>
                <w:szCs w:val="20"/>
              </w:rPr>
              <w:t>Item</w:t>
            </w:r>
          </w:p>
        </w:tc>
        <w:tc>
          <w:tcPr>
            <w:tcW w:w="7570" w:type="dxa"/>
            <w:tcBorders>
              <w:top w:val="single" w:sz="4" w:space="0" w:color="auto"/>
              <w:left w:val="nil"/>
              <w:bottom w:val="single" w:sz="4" w:space="0" w:color="auto"/>
              <w:right w:val="nil"/>
            </w:tcBorders>
            <w:shd w:val="clear" w:color="auto" w:fill="auto"/>
            <w:noWrap/>
            <w:vAlign w:val="center"/>
            <w:hideMark/>
          </w:tcPr>
          <w:p w14:paraId="649CEEA5" w14:textId="77777777" w:rsidR="009F408B" w:rsidRDefault="009F408B">
            <w:pPr>
              <w:jc w:val="center"/>
              <w:rPr>
                <w:b/>
                <w:bCs/>
                <w:color w:val="000000"/>
                <w:sz w:val="20"/>
                <w:szCs w:val="20"/>
              </w:rPr>
            </w:pPr>
            <w:r>
              <w:rPr>
                <w:b/>
                <w:bCs/>
                <w:color w:val="000000"/>
                <w:sz w:val="20"/>
                <w:szCs w:val="20"/>
              </w:rPr>
              <w:t>Item Content</w:t>
            </w:r>
          </w:p>
        </w:tc>
        <w:tc>
          <w:tcPr>
            <w:tcW w:w="790" w:type="dxa"/>
            <w:tcBorders>
              <w:top w:val="single" w:sz="4" w:space="0" w:color="auto"/>
              <w:left w:val="nil"/>
              <w:bottom w:val="single" w:sz="4" w:space="0" w:color="auto"/>
              <w:right w:val="nil"/>
            </w:tcBorders>
            <w:shd w:val="clear" w:color="auto" w:fill="auto"/>
            <w:noWrap/>
            <w:vAlign w:val="center"/>
            <w:hideMark/>
          </w:tcPr>
          <w:p w14:paraId="737C1085" w14:textId="023232B1" w:rsidR="009F408B" w:rsidRDefault="008247CF">
            <w:pPr>
              <w:jc w:val="center"/>
              <w:rPr>
                <w:b/>
                <w:bCs/>
                <w:color w:val="000000"/>
                <w:sz w:val="20"/>
                <w:szCs w:val="20"/>
              </w:rPr>
            </w:pPr>
            <w:r>
              <w:rPr>
                <w:b/>
                <w:bCs/>
                <w:color w:val="000000"/>
                <w:sz w:val="20"/>
                <w:szCs w:val="20"/>
              </w:rPr>
              <w:sym w:font="Symbol" w:char="F06C"/>
            </w:r>
            <w:r w:rsidR="009F408B" w:rsidRPr="008247CF">
              <w:rPr>
                <w:b/>
                <w:bCs/>
                <w:color w:val="000000"/>
                <w:sz w:val="20"/>
                <w:szCs w:val="20"/>
                <w:vertAlign w:val="subscript"/>
              </w:rPr>
              <w:t>G</w:t>
            </w:r>
          </w:p>
        </w:tc>
        <w:tc>
          <w:tcPr>
            <w:tcW w:w="960" w:type="dxa"/>
            <w:tcBorders>
              <w:top w:val="single" w:sz="4" w:space="0" w:color="auto"/>
              <w:left w:val="nil"/>
              <w:bottom w:val="single" w:sz="4" w:space="0" w:color="auto"/>
              <w:right w:val="nil"/>
            </w:tcBorders>
            <w:shd w:val="clear" w:color="auto" w:fill="auto"/>
            <w:noWrap/>
            <w:vAlign w:val="center"/>
            <w:hideMark/>
          </w:tcPr>
          <w:p w14:paraId="7992C3B0" w14:textId="5E9E78B6" w:rsidR="009F408B" w:rsidRDefault="008247CF">
            <w:pPr>
              <w:jc w:val="center"/>
              <w:rPr>
                <w:b/>
                <w:bCs/>
                <w:color w:val="000000"/>
                <w:sz w:val="20"/>
                <w:szCs w:val="20"/>
              </w:rPr>
            </w:pPr>
            <w:r>
              <w:rPr>
                <w:b/>
                <w:bCs/>
                <w:color w:val="000000"/>
                <w:sz w:val="20"/>
                <w:szCs w:val="20"/>
              </w:rPr>
              <w:sym w:font="Symbol" w:char="F06C"/>
            </w:r>
            <w:r w:rsidR="009F408B" w:rsidRPr="008247CF">
              <w:rPr>
                <w:b/>
                <w:bCs/>
                <w:color w:val="000000"/>
                <w:sz w:val="20"/>
                <w:szCs w:val="20"/>
                <w:vertAlign w:val="subscript"/>
              </w:rPr>
              <w:t>DIF</w:t>
            </w:r>
          </w:p>
        </w:tc>
        <w:tc>
          <w:tcPr>
            <w:tcW w:w="960" w:type="dxa"/>
            <w:tcBorders>
              <w:top w:val="single" w:sz="4" w:space="0" w:color="auto"/>
              <w:left w:val="nil"/>
              <w:bottom w:val="single" w:sz="4" w:space="0" w:color="auto"/>
              <w:right w:val="nil"/>
            </w:tcBorders>
            <w:shd w:val="clear" w:color="auto" w:fill="auto"/>
            <w:noWrap/>
            <w:vAlign w:val="center"/>
            <w:hideMark/>
          </w:tcPr>
          <w:p w14:paraId="0E6A1D11" w14:textId="0089C346" w:rsidR="009F408B" w:rsidRDefault="008247CF">
            <w:pPr>
              <w:jc w:val="center"/>
              <w:rPr>
                <w:b/>
                <w:bCs/>
                <w:color w:val="000000"/>
                <w:sz w:val="20"/>
                <w:szCs w:val="20"/>
              </w:rPr>
            </w:pPr>
            <w:r>
              <w:rPr>
                <w:b/>
                <w:bCs/>
                <w:color w:val="000000"/>
                <w:sz w:val="20"/>
                <w:szCs w:val="20"/>
              </w:rPr>
              <w:sym w:font="Symbol" w:char="F06C"/>
            </w:r>
            <w:r w:rsidR="009F408B" w:rsidRPr="008247CF">
              <w:rPr>
                <w:b/>
                <w:bCs/>
                <w:color w:val="000000"/>
                <w:sz w:val="20"/>
                <w:szCs w:val="20"/>
                <w:vertAlign w:val="subscript"/>
              </w:rPr>
              <w:t>DDF</w:t>
            </w:r>
          </w:p>
        </w:tc>
        <w:tc>
          <w:tcPr>
            <w:tcW w:w="960" w:type="dxa"/>
            <w:tcBorders>
              <w:top w:val="single" w:sz="4" w:space="0" w:color="auto"/>
              <w:left w:val="nil"/>
              <w:bottom w:val="single" w:sz="4" w:space="0" w:color="auto"/>
              <w:right w:val="nil"/>
            </w:tcBorders>
            <w:shd w:val="clear" w:color="auto" w:fill="auto"/>
            <w:noWrap/>
            <w:vAlign w:val="center"/>
            <w:hideMark/>
          </w:tcPr>
          <w:p w14:paraId="17E9DED5" w14:textId="40151026" w:rsidR="009F408B" w:rsidRDefault="008247CF">
            <w:pPr>
              <w:jc w:val="center"/>
              <w:rPr>
                <w:b/>
                <w:bCs/>
                <w:color w:val="000000"/>
                <w:sz w:val="20"/>
                <w:szCs w:val="20"/>
              </w:rPr>
            </w:pPr>
            <w:r>
              <w:rPr>
                <w:b/>
                <w:bCs/>
                <w:color w:val="000000"/>
                <w:sz w:val="20"/>
                <w:szCs w:val="20"/>
              </w:rPr>
              <w:sym w:font="Symbol" w:char="F06C"/>
            </w:r>
            <w:r w:rsidR="009F408B" w:rsidRPr="008247CF">
              <w:rPr>
                <w:b/>
                <w:bCs/>
                <w:color w:val="000000"/>
                <w:sz w:val="20"/>
                <w:szCs w:val="20"/>
                <w:vertAlign w:val="subscript"/>
              </w:rPr>
              <w:t>EOT</w:t>
            </w:r>
          </w:p>
        </w:tc>
        <w:tc>
          <w:tcPr>
            <w:tcW w:w="960" w:type="dxa"/>
            <w:tcBorders>
              <w:top w:val="single" w:sz="4" w:space="0" w:color="auto"/>
              <w:left w:val="nil"/>
              <w:bottom w:val="single" w:sz="4" w:space="0" w:color="auto"/>
              <w:right w:val="nil"/>
            </w:tcBorders>
            <w:shd w:val="clear" w:color="auto" w:fill="auto"/>
            <w:noWrap/>
            <w:vAlign w:val="center"/>
            <w:hideMark/>
          </w:tcPr>
          <w:p w14:paraId="02165A10" w14:textId="031952BC" w:rsidR="009F408B" w:rsidRDefault="008247CF">
            <w:pPr>
              <w:jc w:val="center"/>
              <w:rPr>
                <w:b/>
                <w:bCs/>
                <w:color w:val="000000"/>
                <w:sz w:val="20"/>
                <w:szCs w:val="20"/>
              </w:rPr>
            </w:pPr>
            <w:r>
              <w:rPr>
                <w:b/>
                <w:bCs/>
                <w:color w:val="000000"/>
                <w:sz w:val="20"/>
                <w:szCs w:val="20"/>
              </w:rPr>
              <w:sym w:font="Symbol" w:char="F06C"/>
            </w:r>
            <w:r w:rsidR="009F408B" w:rsidRPr="008247CF">
              <w:rPr>
                <w:b/>
                <w:bCs/>
                <w:color w:val="000000"/>
                <w:sz w:val="20"/>
                <w:szCs w:val="20"/>
                <w:vertAlign w:val="subscript"/>
              </w:rPr>
              <w:t>REV</w:t>
            </w:r>
          </w:p>
        </w:tc>
        <w:tc>
          <w:tcPr>
            <w:tcW w:w="960" w:type="dxa"/>
            <w:tcBorders>
              <w:top w:val="single" w:sz="4" w:space="0" w:color="auto"/>
              <w:left w:val="nil"/>
              <w:bottom w:val="single" w:sz="4" w:space="0" w:color="auto"/>
              <w:right w:val="nil"/>
            </w:tcBorders>
            <w:shd w:val="clear" w:color="auto" w:fill="auto"/>
            <w:noWrap/>
            <w:vAlign w:val="center"/>
            <w:hideMark/>
          </w:tcPr>
          <w:p w14:paraId="2E89D2A2" w14:textId="77777777" w:rsidR="009F408B" w:rsidRDefault="009F408B">
            <w:pPr>
              <w:jc w:val="center"/>
              <w:rPr>
                <w:b/>
                <w:bCs/>
                <w:i/>
                <w:iCs/>
                <w:color w:val="000000"/>
                <w:sz w:val="20"/>
                <w:szCs w:val="20"/>
              </w:rPr>
            </w:pPr>
            <w:r>
              <w:rPr>
                <w:b/>
                <w:bCs/>
                <w:i/>
                <w:iCs/>
                <w:color w:val="000000"/>
                <w:sz w:val="20"/>
                <w:szCs w:val="20"/>
              </w:rPr>
              <w:t>h</w:t>
            </w:r>
            <w:r w:rsidRPr="008247CF">
              <w:rPr>
                <w:b/>
                <w:bCs/>
                <w:i/>
                <w:iCs/>
                <w:color w:val="000000"/>
                <w:sz w:val="20"/>
                <w:szCs w:val="20"/>
                <w:vertAlign w:val="superscript"/>
              </w:rPr>
              <w:t>2</w:t>
            </w:r>
          </w:p>
        </w:tc>
        <w:tc>
          <w:tcPr>
            <w:tcW w:w="960" w:type="dxa"/>
            <w:tcBorders>
              <w:top w:val="single" w:sz="4" w:space="0" w:color="auto"/>
              <w:left w:val="nil"/>
              <w:bottom w:val="single" w:sz="4" w:space="0" w:color="auto"/>
              <w:right w:val="nil"/>
            </w:tcBorders>
            <w:shd w:val="clear" w:color="auto" w:fill="auto"/>
            <w:noWrap/>
            <w:vAlign w:val="center"/>
            <w:hideMark/>
          </w:tcPr>
          <w:p w14:paraId="78625AE1" w14:textId="77777777" w:rsidR="009F408B" w:rsidRDefault="009F408B">
            <w:pPr>
              <w:jc w:val="center"/>
              <w:rPr>
                <w:b/>
                <w:bCs/>
                <w:i/>
                <w:iCs/>
                <w:color w:val="000000"/>
                <w:sz w:val="20"/>
                <w:szCs w:val="20"/>
              </w:rPr>
            </w:pPr>
            <w:r>
              <w:rPr>
                <w:b/>
                <w:bCs/>
                <w:i/>
                <w:iCs/>
                <w:color w:val="000000"/>
                <w:sz w:val="20"/>
                <w:szCs w:val="20"/>
              </w:rPr>
              <w:t>I-ECV</w:t>
            </w:r>
          </w:p>
        </w:tc>
      </w:tr>
      <w:tr w:rsidR="009F408B" w14:paraId="1A0FC7A0" w14:textId="77777777" w:rsidTr="009F408B">
        <w:trPr>
          <w:trHeight w:val="260"/>
          <w:jc w:val="center"/>
        </w:trPr>
        <w:tc>
          <w:tcPr>
            <w:tcW w:w="620" w:type="dxa"/>
            <w:tcBorders>
              <w:top w:val="nil"/>
              <w:left w:val="nil"/>
              <w:bottom w:val="nil"/>
              <w:right w:val="nil"/>
            </w:tcBorders>
            <w:shd w:val="clear" w:color="auto" w:fill="auto"/>
            <w:noWrap/>
            <w:vAlign w:val="center"/>
            <w:hideMark/>
          </w:tcPr>
          <w:p w14:paraId="3257305D" w14:textId="77777777" w:rsidR="009F408B" w:rsidRDefault="009F408B">
            <w:pPr>
              <w:jc w:val="center"/>
              <w:rPr>
                <w:color w:val="000000"/>
                <w:sz w:val="20"/>
                <w:szCs w:val="20"/>
              </w:rPr>
            </w:pPr>
            <w:r>
              <w:rPr>
                <w:color w:val="000000"/>
                <w:sz w:val="20"/>
                <w:szCs w:val="20"/>
              </w:rPr>
              <w:t>1</w:t>
            </w:r>
          </w:p>
        </w:tc>
        <w:tc>
          <w:tcPr>
            <w:tcW w:w="7570" w:type="dxa"/>
            <w:tcBorders>
              <w:top w:val="nil"/>
              <w:left w:val="nil"/>
              <w:bottom w:val="nil"/>
              <w:right w:val="nil"/>
            </w:tcBorders>
            <w:shd w:val="clear" w:color="auto" w:fill="auto"/>
            <w:noWrap/>
            <w:vAlign w:val="center"/>
            <w:hideMark/>
          </w:tcPr>
          <w:p w14:paraId="55E73A86" w14:textId="77777777" w:rsidR="009F408B" w:rsidRDefault="009F408B">
            <w:pPr>
              <w:rPr>
                <w:color w:val="000000"/>
                <w:sz w:val="20"/>
                <w:szCs w:val="20"/>
              </w:rPr>
            </w:pPr>
            <w:r>
              <w:rPr>
                <w:color w:val="000000"/>
                <w:sz w:val="20"/>
                <w:szCs w:val="20"/>
              </w:rPr>
              <w:t>I am often confused about what emotion I am feeling.</w:t>
            </w:r>
          </w:p>
        </w:tc>
        <w:tc>
          <w:tcPr>
            <w:tcW w:w="790" w:type="dxa"/>
            <w:tcBorders>
              <w:top w:val="nil"/>
              <w:left w:val="nil"/>
              <w:bottom w:val="nil"/>
              <w:right w:val="nil"/>
            </w:tcBorders>
            <w:shd w:val="clear" w:color="auto" w:fill="auto"/>
            <w:noWrap/>
            <w:vAlign w:val="center"/>
            <w:hideMark/>
          </w:tcPr>
          <w:p w14:paraId="22BCFF3F" w14:textId="77777777" w:rsidR="009F408B" w:rsidRDefault="009F408B">
            <w:pPr>
              <w:jc w:val="center"/>
              <w:rPr>
                <w:color w:val="000000"/>
                <w:sz w:val="20"/>
                <w:szCs w:val="20"/>
              </w:rPr>
            </w:pPr>
            <w:r>
              <w:rPr>
                <w:color w:val="000000"/>
                <w:sz w:val="20"/>
                <w:szCs w:val="20"/>
              </w:rPr>
              <w:t>0.841</w:t>
            </w:r>
          </w:p>
        </w:tc>
        <w:tc>
          <w:tcPr>
            <w:tcW w:w="960" w:type="dxa"/>
            <w:tcBorders>
              <w:top w:val="nil"/>
              <w:left w:val="nil"/>
              <w:bottom w:val="nil"/>
              <w:right w:val="nil"/>
            </w:tcBorders>
            <w:shd w:val="clear" w:color="auto" w:fill="auto"/>
            <w:noWrap/>
            <w:vAlign w:val="center"/>
            <w:hideMark/>
          </w:tcPr>
          <w:p w14:paraId="4798E230" w14:textId="77777777" w:rsidR="009F408B" w:rsidRDefault="009F408B">
            <w:pPr>
              <w:jc w:val="center"/>
              <w:rPr>
                <w:color w:val="000000"/>
                <w:sz w:val="20"/>
                <w:szCs w:val="20"/>
              </w:rPr>
            </w:pPr>
            <w:r>
              <w:rPr>
                <w:color w:val="000000"/>
                <w:sz w:val="20"/>
                <w:szCs w:val="20"/>
              </w:rPr>
              <w:t>0.174</w:t>
            </w:r>
          </w:p>
        </w:tc>
        <w:tc>
          <w:tcPr>
            <w:tcW w:w="960" w:type="dxa"/>
            <w:tcBorders>
              <w:top w:val="nil"/>
              <w:left w:val="nil"/>
              <w:bottom w:val="nil"/>
              <w:right w:val="nil"/>
            </w:tcBorders>
            <w:shd w:val="clear" w:color="auto" w:fill="auto"/>
            <w:noWrap/>
            <w:vAlign w:val="center"/>
            <w:hideMark/>
          </w:tcPr>
          <w:p w14:paraId="4F2A1E28"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1DD3D2C1"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6248F101"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2352AABA" w14:textId="77777777" w:rsidR="009F408B" w:rsidRDefault="009F408B">
            <w:pPr>
              <w:jc w:val="center"/>
              <w:rPr>
                <w:color w:val="000000"/>
                <w:sz w:val="20"/>
                <w:szCs w:val="20"/>
              </w:rPr>
            </w:pPr>
            <w:r>
              <w:rPr>
                <w:color w:val="000000"/>
                <w:sz w:val="20"/>
                <w:szCs w:val="20"/>
              </w:rPr>
              <w:t>0.737</w:t>
            </w:r>
          </w:p>
        </w:tc>
        <w:tc>
          <w:tcPr>
            <w:tcW w:w="960" w:type="dxa"/>
            <w:tcBorders>
              <w:top w:val="nil"/>
              <w:left w:val="nil"/>
              <w:bottom w:val="nil"/>
              <w:right w:val="nil"/>
            </w:tcBorders>
            <w:shd w:val="clear" w:color="auto" w:fill="auto"/>
            <w:noWrap/>
            <w:vAlign w:val="center"/>
            <w:hideMark/>
          </w:tcPr>
          <w:p w14:paraId="356C629C" w14:textId="77777777" w:rsidR="009F408B" w:rsidRDefault="009F408B">
            <w:pPr>
              <w:jc w:val="center"/>
              <w:rPr>
                <w:color w:val="000000"/>
                <w:sz w:val="20"/>
                <w:szCs w:val="20"/>
              </w:rPr>
            </w:pPr>
            <w:r>
              <w:rPr>
                <w:color w:val="000000"/>
                <w:sz w:val="20"/>
                <w:szCs w:val="20"/>
              </w:rPr>
              <w:t>0.959</w:t>
            </w:r>
          </w:p>
        </w:tc>
      </w:tr>
      <w:tr w:rsidR="009F408B" w14:paraId="5BE0D490" w14:textId="77777777" w:rsidTr="009F408B">
        <w:trPr>
          <w:trHeight w:val="260"/>
          <w:jc w:val="center"/>
        </w:trPr>
        <w:tc>
          <w:tcPr>
            <w:tcW w:w="620" w:type="dxa"/>
            <w:tcBorders>
              <w:top w:val="nil"/>
              <w:left w:val="nil"/>
              <w:bottom w:val="nil"/>
              <w:right w:val="nil"/>
            </w:tcBorders>
            <w:shd w:val="clear" w:color="auto" w:fill="auto"/>
            <w:noWrap/>
            <w:vAlign w:val="center"/>
            <w:hideMark/>
          </w:tcPr>
          <w:p w14:paraId="6A6A0D81" w14:textId="77777777" w:rsidR="009F408B" w:rsidRDefault="009F408B">
            <w:pPr>
              <w:jc w:val="center"/>
              <w:rPr>
                <w:color w:val="000000"/>
                <w:sz w:val="20"/>
                <w:szCs w:val="20"/>
              </w:rPr>
            </w:pPr>
            <w:r>
              <w:rPr>
                <w:color w:val="000000"/>
                <w:sz w:val="20"/>
                <w:szCs w:val="20"/>
              </w:rPr>
              <w:t>2</w:t>
            </w:r>
          </w:p>
        </w:tc>
        <w:tc>
          <w:tcPr>
            <w:tcW w:w="7570" w:type="dxa"/>
            <w:tcBorders>
              <w:top w:val="nil"/>
              <w:left w:val="nil"/>
              <w:bottom w:val="nil"/>
              <w:right w:val="nil"/>
            </w:tcBorders>
            <w:shd w:val="clear" w:color="auto" w:fill="auto"/>
            <w:noWrap/>
            <w:vAlign w:val="center"/>
            <w:hideMark/>
          </w:tcPr>
          <w:p w14:paraId="0194F98A" w14:textId="77777777" w:rsidR="009F408B" w:rsidRDefault="009F408B">
            <w:pPr>
              <w:rPr>
                <w:color w:val="000000"/>
                <w:sz w:val="20"/>
                <w:szCs w:val="20"/>
              </w:rPr>
            </w:pPr>
            <w:r>
              <w:rPr>
                <w:color w:val="000000"/>
                <w:sz w:val="20"/>
                <w:szCs w:val="20"/>
              </w:rPr>
              <w:t>It is difficult for me to find the right words for my feelings.</w:t>
            </w:r>
          </w:p>
        </w:tc>
        <w:tc>
          <w:tcPr>
            <w:tcW w:w="790" w:type="dxa"/>
            <w:tcBorders>
              <w:top w:val="nil"/>
              <w:left w:val="nil"/>
              <w:bottom w:val="nil"/>
              <w:right w:val="nil"/>
            </w:tcBorders>
            <w:shd w:val="clear" w:color="auto" w:fill="auto"/>
            <w:noWrap/>
            <w:vAlign w:val="center"/>
            <w:hideMark/>
          </w:tcPr>
          <w:p w14:paraId="4B35D748" w14:textId="77777777" w:rsidR="009F408B" w:rsidRDefault="009F408B">
            <w:pPr>
              <w:jc w:val="center"/>
              <w:rPr>
                <w:color w:val="000000"/>
                <w:sz w:val="20"/>
                <w:szCs w:val="20"/>
              </w:rPr>
            </w:pPr>
            <w:r>
              <w:rPr>
                <w:color w:val="000000"/>
                <w:sz w:val="20"/>
                <w:szCs w:val="20"/>
              </w:rPr>
              <w:t>0.821</w:t>
            </w:r>
          </w:p>
        </w:tc>
        <w:tc>
          <w:tcPr>
            <w:tcW w:w="960" w:type="dxa"/>
            <w:tcBorders>
              <w:top w:val="nil"/>
              <w:left w:val="nil"/>
              <w:bottom w:val="nil"/>
              <w:right w:val="nil"/>
            </w:tcBorders>
            <w:shd w:val="clear" w:color="auto" w:fill="auto"/>
            <w:noWrap/>
            <w:vAlign w:val="center"/>
            <w:hideMark/>
          </w:tcPr>
          <w:p w14:paraId="6B90CF2E"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2D68FDD7" w14:textId="77777777" w:rsidR="009F408B" w:rsidRDefault="009F408B">
            <w:pPr>
              <w:jc w:val="center"/>
              <w:rPr>
                <w:color w:val="000000"/>
                <w:sz w:val="20"/>
                <w:szCs w:val="20"/>
              </w:rPr>
            </w:pPr>
            <w:r>
              <w:rPr>
                <w:color w:val="000000"/>
                <w:sz w:val="20"/>
                <w:szCs w:val="20"/>
              </w:rPr>
              <w:t>0.302</w:t>
            </w:r>
          </w:p>
        </w:tc>
        <w:tc>
          <w:tcPr>
            <w:tcW w:w="960" w:type="dxa"/>
            <w:tcBorders>
              <w:top w:val="nil"/>
              <w:left w:val="nil"/>
              <w:bottom w:val="nil"/>
              <w:right w:val="nil"/>
            </w:tcBorders>
            <w:shd w:val="clear" w:color="auto" w:fill="auto"/>
            <w:noWrap/>
            <w:vAlign w:val="center"/>
            <w:hideMark/>
          </w:tcPr>
          <w:p w14:paraId="2FDEEAC3"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15E10386"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7450E67F" w14:textId="77777777" w:rsidR="009F408B" w:rsidRDefault="009F408B">
            <w:pPr>
              <w:jc w:val="center"/>
              <w:rPr>
                <w:color w:val="000000"/>
                <w:sz w:val="20"/>
                <w:szCs w:val="20"/>
              </w:rPr>
            </w:pPr>
            <w:r>
              <w:rPr>
                <w:color w:val="000000"/>
                <w:sz w:val="20"/>
                <w:szCs w:val="20"/>
              </w:rPr>
              <w:t>0.765</w:t>
            </w:r>
          </w:p>
        </w:tc>
        <w:tc>
          <w:tcPr>
            <w:tcW w:w="960" w:type="dxa"/>
            <w:tcBorders>
              <w:top w:val="nil"/>
              <w:left w:val="nil"/>
              <w:bottom w:val="nil"/>
              <w:right w:val="nil"/>
            </w:tcBorders>
            <w:shd w:val="clear" w:color="auto" w:fill="auto"/>
            <w:noWrap/>
            <w:vAlign w:val="center"/>
            <w:hideMark/>
          </w:tcPr>
          <w:p w14:paraId="5EA78687" w14:textId="77777777" w:rsidR="009F408B" w:rsidRDefault="009F408B">
            <w:pPr>
              <w:jc w:val="center"/>
              <w:rPr>
                <w:color w:val="000000"/>
                <w:sz w:val="20"/>
                <w:szCs w:val="20"/>
              </w:rPr>
            </w:pPr>
            <w:r>
              <w:rPr>
                <w:color w:val="000000"/>
                <w:sz w:val="20"/>
                <w:szCs w:val="20"/>
              </w:rPr>
              <w:t>0.881</w:t>
            </w:r>
          </w:p>
        </w:tc>
      </w:tr>
      <w:tr w:rsidR="009F408B" w14:paraId="14BC26E5" w14:textId="77777777" w:rsidTr="009F408B">
        <w:trPr>
          <w:trHeight w:val="260"/>
          <w:jc w:val="center"/>
        </w:trPr>
        <w:tc>
          <w:tcPr>
            <w:tcW w:w="620" w:type="dxa"/>
            <w:tcBorders>
              <w:top w:val="nil"/>
              <w:left w:val="nil"/>
              <w:bottom w:val="nil"/>
              <w:right w:val="nil"/>
            </w:tcBorders>
            <w:shd w:val="clear" w:color="auto" w:fill="auto"/>
            <w:noWrap/>
            <w:vAlign w:val="center"/>
            <w:hideMark/>
          </w:tcPr>
          <w:p w14:paraId="5B478B40" w14:textId="77777777" w:rsidR="009F408B" w:rsidRDefault="009F408B">
            <w:pPr>
              <w:jc w:val="center"/>
              <w:rPr>
                <w:color w:val="000000"/>
                <w:sz w:val="20"/>
                <w:szCs w:val="20"/>
              </w:rPr>
            </w:pPr>
            <w:r>
              <w:rPr>
                <w:color w:val="000000"/>
                <w:sz w:val="20"/>
                <w:szCs w:val="20"/>
              </w:rPr>
              <w:t>3</w:t>
            </w:r>
          </w:p>
        </w:tc>
        <w:tc>
          <w:tcPr>
            <w:tcW w:w="7570" w:type="dxa"/>
            <w:tcBorders>
              <w:top w:val="nil"/>
              <w:left w:val="nil"/>
              <w:bottom w:val="nil"/>
              <w:right w:val="nil"/>
            </w:tcBorders>
            <w:shd w:val="clear" w:color="auto" w:fill="auto"/>
            <w:noWrap/>
            <w:vAlign w:val="center"/>
            <w:hideMark/>
          </w:tcPr>
          <w:p w14:paraId="62B60884" w14:textId="77777777" w:rsidR="009F408B" w:rsidRDefault="009F408B" w:rsidP="009F408B">
            <w:pPr>
              <w:rPr>
                <w:color w:val="000000"/>
                <w:sz w:val="20"/>
                <w:szCs w:val="20"/>
              </w:rPr>
            </w:pPr>
            <w:r>
              <w:rPr>
                <w:color w:val="000000"/>
                <w:sz w:val="20"/>
                <w:szCs w:val="20"/>
              </w:rPr>
              <w:t>I have physical sensations that even doctors don’t understand.</w:t>
            </w:r>
          </w:p>
        </w:tc>
        <w:tc>
          <w:tcPr>
            <w:tcW w:w="790" w:type="dxa"/>
            <w:tcBorders>
              <w:top w:val="nil"/>
              <w:left w:val="nil"/>
              <w:bottom w:val="nil"/>
              <w:right w:val="nil"/>
            </w:tcBorders>
            <w:shd w:val="clear" w:color="auto" w:fill="auto"/>
            <w:noWrap/>
            <w:vAlign w:val="center"/>
            <w:hideMark/>
          </w:tcPr>
          <w:p w14:paraId="7C7189DD" w14:textId="77777777" w:rsidR="009F408B" w:rsidRDefault="009F408B">
            <w:pPr>
              <w:jc w:val="center"/>
              <w:rPr>
                <w:color w:val="000000"/>
                <w:sz w:val="20"/>
                <w:szCs w:val="20"/>
              </w:rPr>
            </w:pPr>
            <w:r>
              <w:rPr>
                <w:color w:val="000000"/>
                <w:sz w:val="20"/>
                <w:szCs w:val="20"/>
              </w:rPr>
              <w:t>0.420</w:t>
            </w:r>
          </w:p>
        </w:tc>
        <w:tc>
          <w:tcPr>
            <w:tcW w:w="960" w:type="dxa"/>
            <w:tcBorders>
              <w:top w:val="nil"/>
              <w:left w:val="nil"/>
              <w:bottom w:val="nil"/>
              <w:right w:val="nil"/>
            </w:tcBorders>
            <w:shd w:val="clear" w:color="auto" w:fill="auto"/>
            <w:noWrap/>
            <w:vAlign w:val="center"/>
            <w:hideMark/>
          </w:tcPr>
          <w:p w14:paraId="2AC2E24A" w14:textId="77777777" w:rsidR="009F408B" w:rsidRDefault="009F408B">
            <w:pPr>
              <w:jc w:val="center"/>
              <w:rPr>
                <w:color w:val="000000"/>
                <w:sz w:val="20"/>
                <w:szCs w:val="20"/>
              </w:rPr>
            </w:pPr>
            <w:r>
              <w:rPr>
                <w:color w:val="000000"/>
                <w:sz w:val="20"/>
                <w:szCs w:val="20"/>
              </w:rPr>
              <w:t>0.635</w:t>
            </w:r>
          </w:p>
        </w:tc>
        <w:tc>
          <w:tcPr>
            <w:tcW w:w="960" w:type="dxa"/>
            <w:tcBorders>
              <w:top w:val="nil"/>
              <w:left w:val="nil"/>
              <w:bottom w:val="nil"/>
              <w:right w:val="nil"/>
            </w:tcBorders>
            <w:shd w:val="clear" w:color="auto" w:fill="auto"/>
            <w:noWrap/>
            <w:vAlign w:val="center"/>
            <w:hideMark/>
          </w:tcPr>
          <w:p w14:paraId="1170063B"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11ABB4A4"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033DBBB1"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72562D0B" w14:textId="77777777" w:rsidR="009F408B" w:rsidRDefault="009F408B">
            <w:pPr>
              <w:jc w:val="center"/>
              <w:rPr>
                <w:color w:val="000000"/>
                <w:sz w:val="20"/>
                <w:szCs w:val="20"/>
              </w:rPr>
            </w:pPr>
            <w:r>
              <w:rPr>
                <w:color w:val="000000"/>
                <w:sz w:val="20"/>
                <w:szCs w:val="20"/>
              </w:rPr>
              <w:t>0.580</w:t>
            </w:r>
          </w:p>
        </w:tc>
        <w:tc>
          <w:tcPr>
            <w:tcW w:w="960" w:type="dxa"/>
            <w:tcBorders>
              <w:top w:val="nil"/>
              <w:left w:val="nil"/>
              <w:bottom w:val="nil"/>
              <w:right w:val="nil"/>
            </w:tcBorders>
            <w:shd w:val="clear" w:color="auto" w:fill="auto"/>
            <w:noWrap/>
            <w:vAlign w:val="center"/>
            <w:hideMark/>
          </w:tcPr>
          <w:p w14:paraId="6F0B0498" w14:textId="77777777" w:rsidR="009F408B" w:rsidRDefault="009F408B">
            <w:pPr>
              <w:jc w:val="center"/>
              <w:rPr>
                <w:color w:val="000000"/>
                <w:sz w:val="20"/>
                <w:szCs w:val="20"/>
              </w:rPr>
            </w:pPr>
            <w:r>
              <w:rPr>
                <w:color w:val="000000"/>
                <w:sz w:val="20"/>
                <w:szCs w:val="20"/>
              </w:rPr>
              <w:t>0.304</w:t>
            </w:r>
          </w:p>
        </w:tc>
      </w:tr>
      <w:tr w:rsidR="009F408B" w14:paraId="3D9C25D2" w14:textId="77777777" w:rsidTr="009F408B">
        <w:trPr>
          <w:trHeight w:val="260"/>
          <w:jc w:val="center"/>
        </w:trPr>
        <w:tc>
          <w:tcPr>
            <w:tcW w:w="620" w:type="dxa"/>
            <w:tcBorders>
              <w:top w:val="nil"/>
              <w:left w:val="nil"/>
              <w:bottom w:val="nil"/>
              <w:right w:val="nil"/>
            </w:tcBorders>
            <w:shd w:val="clear" w:color="auto" w:fill="auto"/>
            <w:noWrap/>
            <w:vAlign w:val="center"/>
            <w:hideMark/>
          </w:tcPr>
          <w:p w14:paraId="112CD36B" w14:textId="77777777" w:rsidR="009F408B" w:rsidRDefault="009F408B">
            <w:pPr>
              <w:jc w:val="center"/>
              <w:rPr>
                <w:color w:val="000000"/>
                <w:sz w:val="20"/>
                <w:szCs w:val="20"/>
              </w:rPr>
            </w:pPr>
            <w:r>
              <w:rPr>
                <w:color w:val="000000"/>
                <w:sz w:val="20"/>
                <w:szCs w:val="20"/>
              </w:rPr>
              <w:t>4</w:t>
            </w:r>
          </w:p>
        </w:tc>
        <w:tc>
          <w:tcPr>
            <w:tcW w:w="7570" w:type="dxa"/>
            <w:tcBorders>
              <w:top w:val="nil"/>
              <w:left w:val="nil"/>
              <w:bottom w:val="nil"/>
              <w:right w:val="nil"/>
            </w:tcBorders>
            <w:shd w:val="clear" w:color="auto" w:fill="auto"/>
            <w:noWrap/>
            <w:vAlign w:val="center"/>
            <w:hideMark/>
          </w:tcPr>
          <w:p w14:paraId="7FB77A7F" w14:textId="77777777" w:rsidR="009F408B" w:rsidRDefault="009F408B">
            <w:pPr>
              <w:rPr>
                <w:color w:val="000000"/>
                <w:sz w:val="20"/>
                <w:szCs w:val="20"/>
              </w:rPr>
            </w:pPr>
            <w:r>
              <w:rPr>
                <w:color w:val="000000"/>
                <w:sz w:val="20"/>
                <w:szCs w:val="20"/>
              </w:rPr>
              <w:t>I am able to describe my feelings easily.</w:t>
            </w:r>
          </w:p>
        </w:tc>
        <w:tc>
          <w:tcPr>
            <w:tcW w:w="790" w:type="dxa"/>
            <w:tcBorders>
              <w:top w:val="nil"/>
              <w:left w:val="nil"/>
              <w:bottom w:val="nil"/>
              <w:right w:val="nil"/>
            </w:tcBorders>
            <w:shd w:val="clear" w:color="auto" w:fill="auto"/>
            <w:noWrap/>
            <w:vAlign w:val="center"/>
            <w:hideMark/>
          </w:tcPr>
          <w:p w14:paraId="3CE3570B" w14:textId="77777777" w:rsidR="009F408B" w:rsidRDefault="009F408B">
            <w:pPr>
              <w:jc w:val="center"/>
              <w:rPr>
                <w:color w:val="000000"/>
                <w:sz w:val="20"/>
                <w:szCs w:val="20"/>
              </w:rPr>
            </w:pPr>
            <w:r>
              <w:rPr>
                <w:color w:val="000000"/>
                <w:sz w:val="20"/>
                <w:szCs w:val="20"/>
              </w:rPr>
              <w:t>0.627</w:t>
            </w:r>
          </w:p>
        </w:tc>
        <w:tc>
          <w:tcPr>
            <w:tcW w:w="960" w:type="dxa"/>
            <w:tcBorders>
              <w:top w:val="nil"/>
              <w:left w:val="nil"/>
              <w:bottom w:val="nil"/>
              <w:right w:val="nil"/>
            </w:tcBorders>
            <w:shd w:val="clear" w:color="auto" w:fill="auto"/>
            <w:noWrap/>
            <w:vAlign w:val="center"/>
            <w:hideMark/>
          </w:tcPr>
          <w:p w14:paraId="788F130A"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23DA62DE" w14:textId="77777777" w:rsidR="009F408B" w:rsidRDefault="009F408B">
            <w:pPr>
              <w:jc w:val="center"/>
              <w:rPr>
                <w:color w:val="000000"/>
                <w:sz w:val="20"/>
                <w:szCs w:val="20"/>
              </w:rPr>
            </w:pPr>
            <w:r>
              <w:rPr>
                <w:color w:val="000000"/>
                <w:sz w:val="20"/>
                <w:szCs w:val="20"/>
              </w:rPr>
              <w:t>0.674</w:t>
            </w:r>
          </w:p>
        </w:tc>
        <w:tc>
          <w:tcPr>
            <w:tcW w:w="960" w:type="dxa"/>
            <w:tcBorders>
              <w:top w:val="nil"/>
              <w:left w:val="nil"/>
              <w:bottom w:val="nil"/>
              <w:right w:val="nil"/>
            </w:tcBorders>
            <w:shd w:val="clear" w:color="auto" w:fill="auto"/>
            <w:noWrap/>
            <w:vAlign w:val="center"/>
            <w:hideMark/>
          </w:tcPr>
          <w:p w14:paraId="0C0F986C"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4D571C6F" w14:textId="77777777" w:rsidR="009F408B" w:rsidRDefault="009F408B">
            <w:pPr>
              <w:jc w:val="center"/>
              <w:rPr>
                <w:color w:val="000000"/>
                <w:sz w:val="20"/>
                <w:szCs w:val="20"/>
              </w:rPr>
            </w:pPr>
            <w:r>
              <w:rPr>
                <w:color w:val="000000"/>
                <w:sz w:val="20"/>
                <w:szCs w:val="20"/>
              </w:rPr>
              <w:t>0.311</w:t>
            </w:r>
          </w:p>
        </w:tc>
        <w:tc>
          <w:tcPr>
            <w:tcW w:w="960" w:type="dxa"/>
            <w:tcBorders>
              <w:top w:val="nil"/>
              <w:left w:val="nil"/>
              <w:bottom w:val="nil"/>
              <w:right w:val="nil"/>
            </w:tcBorders>
            <w:shd w:val="clear" w:color="auto" w:fill="auto"/>
            <w:noWrap/>
            <w:vAlign w:val="center"/>
            <w:hideMark/>
          </w:tcPr>
          <w:p w14:paraId="21EAA6D1" w14:textId="77777777" w:rsidR="009F408B" w:rsidRDefault="009F408B">
            <w:pPr>
              <w:jc w:val="center"/>
              <w:rPr>
                <w:color w:val="000000"/>
                <w:sz w:val="20"/>
                <w:szCs w:val="20"/>
              </w:rPr>
            </w:pPr>
            <w:r>
              <w:rPr>
                <w:color w:val="000000"/>
                <w:sz w:val="20"/>
                <w:szCs w:val="20"/>
              </w:rPr>
              <w:t>0.944</w:t>
            </w:r>
          </w:p>
        </w:tc>
        <w:tc>
          <w:tcPr>
            <w:tcW w:w="960" w:type="dxa"/>
            <w:tcBorders>
              <w:top w:val="nil"/>
              <w:left w:val="nil"/>
              <w:bottom w:val="nil"/>
              <w:right w:val="nil"/>
            </w:tcBorders>
            <w:shd w:val="clear" w:color="auto" w:fill="auto"/>
            <w:noWrap/>
            <w:vAlign w:val="center"/>
            <w:hideMark/>
          </w:tcPr>
          <w:p w14:paraId="420E6742" w14:textId="77777777" w:rsidR="009F408B" w:rsidRDefault="009F408B">
            <w:pPr>
              <w:jc w:val="center"/>
              <w:rPr>
                <w:color w:val="000000"/>
                <w:sz w:val="20"/>
                <w:szCs w:val="20"/>
              </w:rPr>
            </w:pPr>
            <w:r>
              <w:rPr>
                <w:color w:val="000000"/>
                <w:sz w:val="20"/>
                <w:szCs w:val="20"/>
              </w:rPr>
              <w:t>0.416</w:t>
            </w:r>
          </w:p>
        </w:tc>
      </w:tr>
      <w:tr w:rsidR="009F408B" w14:paraId="27E6C639" w14:textId="77777777" w:rsidTr="009F408B">
        <w:trPr>
          <w:trHeight w:val="260"/>
          <w:jc w:val="center"/>
        </w:trPr>
        <w:tc>
          <w:tcPr>
            <w:tcW w:w="620" w:type="dxa"/>
            <w:tcBorders>
              <w:top w:val="nil"/>
              <w:left w:val="nil"/>
              <w:bottom w:val="nil"/>
              <w:right w:val="nil"/>
            </w:tcBorders>
            <w:shd w:val="clear" w:color="auto" w:fill="auto"/>
            <w:noWrap/>
            <w:vAlign w:val="center"/>
            <w:hideMark/>
          </w:tcPr>
          <w:p w14:paraId="2A63B0C6" w14:textId="77777777" w:rsidR="009F408B" w:rsidRDefault="009F408B">
            <w:pPr>
              <w:jc w:val="center"/>
              <w:rPr>
                <w:color w:val="000000"/>
                <w:sz w:val="20"/>
                <w:szCs w:val="20"/>
              </w:rPr>
            </w:pPr>
            <w:r>
              <w:rPr>
                <w:color w:val="000000"/>
                <w:sz w:val="20"/>
                <w:szCs w:val="20"/>
              </w:rPr>
              <w:t>5</w:t>
            </w:r>
          </w:p>
        </w:tc>
        <w:tc>
          <w:tcPr>
            <w:tcW w:w="7570" w:type="dxa"/>
            <w:tcBorders>
              <w:top w:val="nil"/>
              <w:left w:val="nil"/>
              <w:bottom w:val="nil"/>
              <w:right w:val="nil"/>
            </w:tcBorders>
            <w:shd w:val="clear" w:color="auto" w:fill="auto"/>
            <w:noWrap/>
            <w:vAlign w:val="center"/>
            <w:hideMark/>
          </w:tcPr>
          <w:p w14:paraId="4D815A58" w14:textId="77777777" w:rsidR="009F408B" w:rsidRDefault="009F408B">
            <w:pPr>
              <w:rPr>
                <w:color w:val="000000"/>
                <w:sz w:val="20"/>
                <w:szCs w:val="20"/>
              </w:rPr>
            </w:pPr>
            <w:r>
              <w:rPr>
                <w:color w:val="000000"/>
                <w:sz w:val="20"/>
                <w:szCs w:val="20"/>
              </w:rPr>
              <w:t>I prefer to analyze problems rather than just describe them.</w:t>
            </w:r>
          </w:p>
        </w:tc>
        <w:tc>
          <w:tcPr>
            <w:tcW w:w="790" w:type="dxa"/>
            <w:tcBorders>
              <w:top w:val="nil"/>
              <w:left w:val="nil"/>
              <w:bottom w:val="nil"/>
              <w:right w:val="nil"/>
            </w:tcBorders>
            <w:shd w:val="clear" w:color="auto" w:fill="auto"/>
            <w:noWrap/>
            <w:vAlign w:val="center"/>
            <w:hideMark/>
          </w:tcPr>
          <w:p w14:paraId="7673C792" w14:textId="77777777" w:rsidR="009F408B" w:rsidRDefault="009F408B">
            <w:pPr>
              <w:jc w:val="center"/>
              <w:rPr>
                <w:b/>
                <w:bCs/>
                <w:color w:val="000000"/>
                <w:sz w:val="20"/>
                <w:szCs w:val="20"/>
              </w:rPr>
            </w:pPr>
            <w:r>
              <w:rPr>
                <w:b/>
                <w:bCs/>
                <w:color w:val="000000"/>
                <w:sz w:val="20"/>
                <w:szCs w:val="20"/>
              </w:rPr>
              <w:t>-0.116</w:t>
            </w:r>
          </w:p>
        </w:tc>
        <w:tc>
          <w:tcPr>
            <w:tcW w:w="960" w:type="dxa"/>
            <w:tcBorders>
              <w:top w:val="nil"/>
              <w:left w:val="nil"/>
              <w:bottom w:val="nil"/>
              <w:right w:val="nil"/>
            </w:tcBorders>
            <w:shd w:val="clear" w:color="auto" w:fill="auto"/>
            <w:noWrap/>
            <w:vAlign w:val="center"/>
            <w:hideMark/>
          </w:tcPr>
          <w:p w14:paraId="52BC1191"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13FAC650"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1696AE5A" w14:textId="77777777" w:rsidR="009F408B" w:rsidRDefault="009F408B">
            <w:pPr>
              <w:jc w:val="center"/>
              <w:rPr>
                <w:color w:val="000000"/>
                <w:sz w:val="20"/>
                <w:szCs w:val="20"/>
              </w:rPr>
            </w:pPr>
            <w:r>
              <w:rPr>
                <w:color w:val="000000"/>
                <w:sz w:val="20"/>
                <w:szCs w:val="20"/>
              </w:rPr>
              <w:t>0.341</w:t>
            </w:r>
          </w:p>
        </w:tc>
        <w:tc>
          <w:tcPr>
            <w:tcW w:w="960" w:type="dxa"/>
            <w:tcBorders>
              <w:top w:val="nil"/>
              <w:left w:val="nil"/>
              <w:bottom w:val="nil"/>
              <w:right w:val="nil"/>
            </w:tcBorders>
            <w:shd w:val="clear" w:color="auto" w:fill="auto"/>
            <w:noWrap/>
            <w:vAlign w:val="center"/>
            <w:hideMark/>
          </w:tcPr>
          <w:p w14:paraId="2DAB6A85" w14:textId="77777777" w:rsidR="009F408B" w:rsidRDefault="009F408B">
            <w:pPr>
              <w:jc w:val="center"/>
              <w:rPr>
                <w:color w:val="000000"/>
                <w:sz w:val="20"/>
                <w:szCs w:val="20"/>
              </w:rPr>
            </w:pPr>
            <w:r>
              <w:rPr>
                <w:color w:val="000000"/>
                <w:sz w:val="20"/>
                <w:szCs w:val="20"/>
              </w:rPr>
              <w:t>0.267</w:t>
            </w:r>
          </w:p>
        </w:tc>
        <w:tc>
          <w:tcPr>
            <w:tcW w:w="960" w:type="dxa"/>
            <w:tcBorders>
              <w:top w:val="nil"/>
              <w:left w:val="nil"/>
              <w:bottom w:val="nil"/>
              <w:right w:val="nil"/>
            </w:tcBorders>
            <w:shd w:val="clear" w:color="auto" w:fill="auto"/>
            <w:noWrap/>
            <w:vAlign w:val="center"/>
            <w:hideMark/>
          </w:tcPr>
          <w:p w14:paraId="24223028" w14:textId="77777777" w:rsidR="009F408B" w:rsidRDefault="009F408B">
            <w:pPr>
              <w:jc w:val="center"/>
              <w:rPr>
                <w:color w:val="000000"/>
                <w:sz w:val="20"/>
                <w:szCs w:val="20"/>
              </w:rPr>
            </w:pPr>
            <w:r>
              <w:rPr>
                <w:color w:val="000000"/>
                <w:sz w:val="20"/>
                <w:szCs w:val="20"/>
              </w:rPr>
              <w:t>0.201</w:t>
            </w:r>
          </w:p>
        </w:tc>
        <w:tc>
          <w:tcPr>
            <w:tcW w:w="960" w:type="dxa"/>
            <w:tcBorders>
              <w:top w:val="nil"/>
              <w:left w:val="nil"/>
              <w:bottom w:val="nil"/>
              <w:right w:val="nil"/>
            </w:tcBorders>
            <w:shd w:val="clear" w:color="auto" w:fill="auto"/>
            <w:noWrap/>
            <w:vAlign w:val="center"/>
            <w:hideMark/>
          </w:tcPr>
          <w:p w14:paraId="4E9E3F14" w14:textId="77777777" w:rsidR="009F408B" w:rsidRDefault="009F408B">
            <w:pPr>
              <w:jc w:val="center"/>
              <w:rPr>
                <w:color w:val="000000"/>
                <w:sz w:val="20"/>
                <w:szCs w:val="20"/>
              </w:rPr>
            </w:pPr>
            <w:r>
              <w:rPr>
                <w:color w:val="000000"/>
                <w:sz w:val="20"/>
                <w:szCs w:val="20"/>
              </w:rPr>
              <w:t>0.067</w:t>
            </w:r>
          </w:p>
        </w:tc>
      </w:tr>
      <w:tr w:rsidR="009F408B" w14:paraId="78BC888D" w14:textId="77777777" w:rsidTr="009F408B">
        <w:trPr>
          <w:trHeight w:val="260"/>
          <w:jc w:val="center"/>
        </w:trPr>
        <w:tc>
          <w:tcPr>
            <w:tcW w:w="620" w:type="dxa"/>
            <w:tcBorders>
              <w:top w:val="nil"/>
              <w:left w:val="nil"/>
              <w:bottom w:val="nil"/>
              <w:right w:val="nil"/>
            </w:tcBorders>
            <w:shd w:val="clear" w:color="auto" w:fill="auto"/>
            <w:noWrap/>
            <w:vAlign w:val="center"/>
            <w:hideMark/>
          </w:tcPr>
          <w:p w14:paraId="5B4F3805" w14:textId="77777777" w:rsidR="009F408B" w:rsidRDefault="009F408B">
            <w:pPr>
              <w:jc w:val="center"/>
              <w:rPr>
                <w:color w:val="000000"/>
                <w:sz w:val="20"/>
                <w:szCs w:val="20"/>
              </w:rPr>
            </w:pPr>
            <w:r>
              <w:rPr>
                <w:color w:val="000000"/>
                <w:sz w:val="20"/>
                <w:szCs w:val="20"/>
              </w:rPr>
              <w:t>6</w:t>
            </w:r>
          </w:p>
        </w:tc>
        <w:tc>
          <w:tcPr>
            <w:tcW w:w="7570" w:type="dxa"/>
            <w:tcBorders>
              <w:top w:val="nil"/>
              <w:left w:val="nil"/>
              <w:bottom w:val="nil"/>
              <w:right w:val="nil"/>
            </w:tcBorders>
            <w:shd w:val="clear" w:color="auto" w:fill="auto"/>
            <w:noWrap/>
            <w:vAlign w:val="center"/>
            <w:hideMark/>
          </w:tcPr>
          <w:p w14:paraId="09250451" w14:textId="77777777" w:rsidR="009F408B" w:rsidRDefault="009F408B">
            <w:pPr>
              <w:rPr>
                <w:color w:val="000000"/>
                <w:sz w:val="20"/>
                <w:szCs w:val="20"/>
              </w:rPr>
            </w:pPr>
            <w:r>
              <w:rPr>
                <w:color w:val="000000"/>
                <w:sz w:val="20"/>
                <w:szCs w:val="20"/>
              </w:rPr>
              <w:t>When I am upset, I don’t know if I am sad, frightened, or angry.</w:t>
            </w:r>
          </w:p>
        </w:tc>
        <w:tc>
          <w:tcPr>
            <w:tcW w:w="790" w:type="dxa"/>
            <w:tcBorders>
              <w:top w:val="nil"/>
              <w:left w:val="nil"/>
              <w:bottom w:val="nil"/>
              <w:right w:val="nil"/>
            </w:tcBorders>
            <w:shd w:val="clear" w:color="auto" w:fill="auto"/>
            <w:noWrap/>
            <w:vAlign w:val="center"/>
            <w:hideMark/>
          </w:tcPr>
          <w:p w14:paraId="6C234B80" w14:textId="77777777" w:rsidR="009F408B" w:rsidRDefault="009F408B">
            <w:pPr>
              <w:jc w:val="center"/>
              <w:rPr>
                <w:color w:val="000000"/>
                <w:sz w:val="20"/>
                <w:szCs w:val="20"/>
              </w:rPr>
            </w:pPr>
            <w:r>
              <w:rPr>
                <w:color w:val="000000"/>
                <w:sz w:val="20"/>
                <w:szCs w:val="20"/>
              </w:rPr>
              <w:t>0.827</w:t>
            </w:r>
          </w:p>
        </w:tc>
        <w:tc>
          <w:tcPr>
            <w:tcW w:w="960" w:type="dxa"/>
            <w:tcBorders>
              <w:top w:val="nil"/>
              <w:left w:val="nil"/>
              <w:bottom w:val="nil"/>
              <w:right w:val="nil"/>
            </w:tcBorders>
            <w:shd w:val="clear" w:color="auto" w:fill="auto"/>
            <w:noWrap/>
            <w:vAlign w:val="center"/>
            <w:hideMark/>
          </w:tcPr>
          <w:p w14:paraId="2114508F" w14:textId="77777777" w:rsidR="009F408B" w:rsidRDefault="009F408B">
            <w:pPr>
              <w:jc w:val="center"/>
              <w:rPr>
                <w:color w:val="000000"/>
                <w:sz w:val="20"/>
                <w:szCs w:val="20"/>
              </w:rPr>
            </w:pPr>
            <w:r>
              <w:rPr>
                <w:color w:val="000000"/>
                <w:sz w:val="20"/>
                <w:szCs w:val="20"/>
              </w:rPr>
              <w:t>0.152</w:t>
            </w:r>
          </w:p>
        </w:tc>
        <w:tc>
          <w:tcPr>
            <w:tcW w:w="960" w:type="dxa"/>
            <w:tcBorders>
              <w:top w:val="nil"/>
              <w:left w:val="nil"/>
              <w:bottom w:val="nil"/>
              <w:right w:val="nil"/>
            </w:tcBorders>
            <w:shd w:val="clear" w:color="auto" w:fill="auto"/>
            <w:noWrap/>
            <w:vAlign w:val="center"/>
            <w:hideMark/>
          </w:tcPr>
          <w:p w14:paraId="23633686"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302F6B7A"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263AF506"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3ED6A884" w14:textId="77777777" w:rsidR="009F408B" w:rsidRDefault="009F408B">
            <w:pPr>
              <w:jc w:val="center"/>
              <w:rPr>
                <w:color w:val="000000"/>
                <w:sz w:val="20"/>
                <w:szCs w:val="20"/>
              </w:rPr>
            </w:pPr>
            <w:r>
              <w:rPr>
                <w:color w:val="000000"/>
                <w:sz w:val="20"/>
                <w:szCs w:val="20"/>
              </w:rPr>
              <w:t>0.706</w:t>
            </w:r>
          </w:p>
        </w:tc>
        <w:tc>
          <w:tcPr>
            <w:tcW w:w="960" w:type="dxa"/>
            <w:tcBorders>
              <w:top w:val="nil"/>
              <w:left w:val="nil"/>
              <w:bottom w:val="nil"/>
              <w:right w:val="nil"/>
            </w:tcBorders>
            <w:shd w:val="clear" w:color="auto" w:fill="auto"/>
            <w:noWrap/>
            <w:vAlign w:val="center"/>
            <w:hideMark/>
          </w:tcPr>
          <w:p w14:paraId="4C0BB8C7" w14:textId="77777777" w:rsidR="009F408B" w:rsidRDefault="009F408B">
            <w:pPr>
              <w:jc w:val="center"/>
              <w:rPr>
                <w:color w:val="000000"/>
                <w:sz w:val="20"/>
                <w:szCs w:val="20"/>
              </w:rPr>
            </w:pPr>
            <w:r>
              <w:rPr>
                <w:color w:val="000000"/>
                <w:sz w:val="20"/>
                <w:szCs w:val="20"/>
              </w:rPr>
              <w:t>0.967</w:t>
            </w:r>
          </w:p>
        </w:tc>
      </w:tr>
      <w:tr w:rsidR="009F408B" w14:paraId="7CE89904" w14:textId="77777777" w:rsidTr="009F408B">
        <w:trPr>
          <w:trHeight w:val="260"/>
          <w:jc w:val="center"/>
        </w:trPr>
        <w:tc>
          <w:tcPr>
            <w:tcW w:w="620" w:type="dxa"/>
            <w:tcBorders>
              <w:top w:val="nil"/>
              <w:left w:val="nil"/>
              <w:bottom w:val="nil"/>
              <w:right w:val="nil"/>
            </w:tcBorders>
            <w:shd w:val="clear" w:color="auto" w:fill="auto"/>
            <w:noWrap/>
            <w:vAlign w:val="center"/>
            <w:hideMark/>
          </w:tcPr>
          <w:p w14:paraId="73CF7664" w14:textId="77777777" w:rsidR="009F408B" w:rsidRDefault="009F408B">
            <w:pPr>
              <w:jc w:val="center"/>
              <w:rPr>
                <w:color w:val="000000"/>
                <w:sz w:val="20"/>
                <w:szCs w:val="20"/>
              </w:rPr>
            </w:pPr>
            <w:r>
              <w:rPr>
                <w:color w:val="000000"/>
                <w:sz w:val="20"/>
                <w:szCs w:val="20"/>
              </w:rPr>
              <w:t>7</w:t>
            </w:r>
          </w:p>
        </w:tc>
        <w:tc>
          <w:tcPr>
            <w:tcW w:w="7570" w:type="dxa"/>
            <w:tcBorders>
              <w:top w:val="nil"/>
              <w:left w:val="nil"/>
              <w:bottom w:val="nil"/>
              <w:right w:val="nil"/>
            </w:tcBorders>
            <w:shd w:val="clear" w:color="auto" w:fill="auto"/>
            <w:noWrap/>
            <w:vAlign w:val="center"/>
            <w:hideMark/>
          </w:tcPr>
          <w:p w14:paraId="78FDCD31" w14:textId="77777777" w:rsidR="009F408B" w:rsidRDefault="009F408B">
            <w:pPr>
              <w:rPr>
                <w:color w:val="000000"/>
                <w:sz w:val="20"/>
                <w:szCs w:val="20"/>
              </w:rPr>
            </w:pPr>
            <w:r>
              <w:rPr>
                <w:color w:val="000000"/>
                <w:sz w:val="20"/>
                <w:szCs w:val="20"/>
              </w:rPr>
              <w:t>I am often puzzled by sensations in my body.</w:t>
            </w:r>
          </w:p>
        </w:tc>
        <w:tc>
          <w:tcPr>
            <w:tcW w:w="790" w:type="dxa"/>
            <w:tcBorders>
              <w:top w:val="nil"/>
              <w:left w:val="nil"/>
              <w:bottom w:val="nil"/>
              <w:right w:val="nil"/>
            </w:tcBorders>
            <w:shd w:val="clear" w:color="auto" w:fill="auto"/>
            <w:noWrap/>
            <w:vAlign w:val="center"/>
            <w:hideMark/>
          </w:tcPr>
          <w:p w14:paraId="3BB5BC2C" w14:textId="77777777" w:rsidR="009F408B" w:rsidRDefault="009F408B">
            <w:pPr>
              <w:jc w:val="center"/>
              <w:rPr>
                <w:color w:val="000000"/>
                <w:sz w:val="20"/>
                <w:szCs w:val="20"/>
              </w:rPr>
            </w:pPr>
            <w:r>
              <w:rPr>
                <w:color w:val="000000"/>
                <w:sz w:val="20"/>
                <w:szCs w:val="20"/>
              </w:rPr>
              <w:t>0.595</w:t>
            </w:r>
          </w:p>
        </w:tc>
        <w:tc>
          <w:tcPr>
            <w:tcW w:w="960" w:type="dxa"/>
            <w:tcBorders>
              <w:top w:val="nil"/>
              <w:left w:val="nil"/>
              <w:bottom w:val="nil"/>
              <w:right w:val="nil"/>
            </w:tcBorders>
            <w:shd w:val="clear" w:color="auto" w:fill="auto"/>
            <w:noWrap/>
            <w:vAlign w:val="center"/>
            <w:hideMark/>
          </w:tcPr>
          <w:p w14:paraId="4600C910" w14:textId="77777777" w:rsidR="009F408B" w:rsidRDefault="009F408B">
            <w:pPr>
              <w:jc w:val="center"/>
              <w:rPr>
                <w:color w:val="000000"/>
                <w:sz w:val="20"/>
                <w:szCs w:val="20"/>
              </w:rPr>
            </w:pPr>
            <w:r>
              <w:rPr>
                <w:color w:val="000000"/>
                <w:sz w:val="20"/>
                <w:szCs w:val="20"/>
              </w:rPr>
              <w:t>0.725</w:t>
            </w:r>
          </w:p>
        </w:tc>
        <w:tc>
          <w:tcPr>
            <w:tcW w:w="960" w:type="dxa"/>
            <w:tcBorders>
              <w:top w:val="nil"/>
              <w:left w:val="nil"/>
              <w:bottom w:val="nil"/>
              <w:right w:val="nil"/>
            </w:tcBorders>
            <w:shd w:val="clear" w:color="auto" w:fill="auto"/>
            <w:noWrap/>
            <w:vAlign w:val="center"/>
            <w:hideMark/>
          </w:tcPr>
          <w:p w14:paraId="272E45ED"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353D6A24"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101DC724"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616D5E4F" w14:textId="77777777" w:rsidR="009F408B" w:rsidRDefault="009F408B">
            <w:pPr>
              <w:jc w:val="center"/>
              <w:rPr>
                <w:color w:val="000000"/>
                <w:sz w:val="20"/>
                <w:szCs w:val="20"/>
              </w:rPr>
            </w:pPr>
            <w:r>
              <w:rPr>
                <w:color w:val="000000"/>
                <w:sz w:val="20"/>
                <w:szCs w:val="20"/>
              </w:rPr>
              <w:t>0.880</w:t>
            </w:r>
          </w:p>
        </w:tc>
        <w:tc>
          <w:tcPr>
            <w:tcW w:w="960" w:type="dxa"/>
            <w:tcBorders>
              <w:top w:val="nil"/>
              <w:left w:val="nil"/>
              <w:bottom w:val="nil"/>
              <w:right w:val="nil"/>
            </w:tcBorders>
            <w:shd w:val="clear" w:color="auto" w:fill="auto"/>
            <w:noWrap/>
            <w:vAlign w:val="center"/>
            <w:hideMark/>
          </w:tcPr>
          <w:p w14:paraId="3BC7D950" w14:textId="77777777" w:rsidR="009F408B" w:rsidRDefault="009F408B">
            <w:pPr>
              <w:jc w:val="center"/>
              <w:rPr>
                <w:color w:val="000000"/>
                <w:sz w:val="20"/>
                <w:szCs w:val="20"/>
              </w:rPr>
            </w:pPr>
            <w:r>
              <w:rPr>
                <w:color w:val="000000"/>
                <w:sz w:val="20"/>
                <w:szCs w:val="20"/>
              </w:rPr>
              <w:t>0.402</w:t>
            </w:r>
          </w:p>
        </w:tc>
      </w:tr>
      <w:tr w:rsidR="009F408B" w14:paraId="47BFF8E3" w14:textId="77777777" w:rsidTr="009F408B">
        <w:trPr>
          <w:trHeight w:val="260"/>
          <w:jc w:val="center"/>
        </w:trPr>
        <w:tc>
          <w:tcPr>
            <w:tcW w:w="620" w:type="dxa"/>
            <w:tcBorders>
              <w:top w:val="nil"/>
              <w:left w:val="nil"/>
              <w:bottom w:val="nil"/>
              <w:right w:val="nil"/>
            </w:tcBorders>
            <w:shd w:val="clear" w:color="auto" w:fill="auto"/>
            <w:noWrap/>
            <w:vAlign w:val="center"/>
            <w:hideMark/>
          </w:tcPr>
          <w:p w14:paraId="02432F2F" w14:textId="77777777" w:rsidR="009F408B" w:rsidRDefault="009F408B">
            <w:pPr>
              <w:jc w:val="center"/>
              <w:rPr>
                <w:color w:val="000000"/>
                <w:sz w:val="20"/>
                <w:szCs w:val="20"/>
              </w:rPr>
            </w:pPr>
            <w:r>
              <w:rPr>
                <w:color w:val="000000"/>
                <w:sz w:val="20"/>
                <w:szCs w:val="20"/>
              </w:rPr>
              <w:t>8</w:t>
            </w:r>
          </w:p>
        </w:tc>
        <w:tc>
          <w:tcPr>
            <w:tcW w:w="7570" w:type="dxa"/>
            <w:tcBorders>
              <w:top w:val="nil"/>
              <w:left w:val="nil"/>
              <w:bottom w:val="nil"/>
              <w:right w:val="nil"/>
            </w:tcBorders>
            <w:shd w:val="clear" w:color="auto" w:fill="auto"/>
            <w:noWrap/>
            <w:vAlign w:val="center"/>
            <w:hideMark/>
          </w:tcPr>
          <w:p w14:paraId="6675D3F2" w14:textId="77777777" w:rsidR="009F408B" w:rsidRDefault="009F408B">
            <w:pPr>
              <w:rPr>
                <w:color w:val="000000"/>
                <w:sz w:val="20"/>
                <w:szCs w:val="20"/>
              </w:rPr>
            </w:pPr>
            <w:r>
              <w:rPr>
                <w:color w:val="000000"/>
                <w:sz w:val="20"/>
                <w:szCs w:val="20"/>
              </w:rPr>
              <w:t>I prefer to just let things happen rather than to understand why they turned out that way.</w:t>
            </w:r>
          </w:p>
        </w:tc>
        <w:tc>
          <w:tcPr>
            <w:tcW w:w="790" w:type="dxa"/>
            <w:tcBorders>
              <w:top w:val="nil"/>
              <w:left w:val="nil"/>
              <w:bottom w:val="nil"/>
              <w:right w:val="nil"/>
            </w:tcBorders>
            <w:shd w:val="clear" w:color="auto" w:fill="auto"/>
            <w:noWrap/>
            <w:vAlign w:val="center"/>
            <w:hideMark/>
          </w:tcPr>
          <w:p w14:paraId="5150DBC2" w14:textId="77777777" w:rsidR="009F408B" w:rsidRDefault="009F408B">
            <w:pPr>
              <w:jc w:val="center"/>
              <w:rPr>
                <w:b/>
                <w:bCs/>
                <w:color w:val="000000"/>
                <w:sz w:val="20"/>
                <w:szCs w:val="20"/>
              </w:rPr>
            </w:pPr>
            <w:r>
              <w:rPr>
                <w:b/>
                <w:bCs/>
                <w:color w:val="000000"/>
                <w:sz w:val="20"/>
                <w:szCs w:val="20"/>
              </w:rPr>
              <w:t>0.172</w:t>
            </w:r>
          </w:p>
        </w:tc>
        <w:tc>
          <w:tcPr>
            <w:tcW w:w="960" w:type="dxa"/>
            <w:tcBorders>
              <w:top w:val="nil"/>
              <w:left w:val="nil"/>
              <w:bottom w:val="nil"/>
              <w:right w:val="nil"/>
            </w:tcBorders>
            <w:shd w:val="clear" w:color="auto" w:fill="auto"/>
            <w:noWrap/>
            <w:vAlign w:val="center"/>
            <w:hideMark/>
          </w:tcPr>
          <w:p w14:paraId="260B8116"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2263FA24"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7080060D" w14:textId="77777777" w:rsidR="009F408B" w:rsidRDefault="009F408B">
            <w:pPr>
              <w:jc w:val="center"/>
              <w:rPr>
                <w:color w:val="000000"/>
                <w:sz w:val="20"/>
                <w:szCs w:val="20"/>
              </w:rPr>
            </w:pPr>
            <w:r>
              <w:rPr>
                <w:color w:val="000000"/>
                <w:sz w:val="20"/>
                <w:szCs w:val="20"/>
              </w:rPr>
              <w:t>0.659</w:t>
            </w:r>
          </w:p>
        </w:tc>
        <w:tc>
          <w:tcPr>
            <w:tcW w:w="960" w:type="dxa"/>
            <w:tcBorders>
              <w:top w:val="nil"/>
              <w:left w:val="nil"/>
              <w:bottom w:val="nil"/>
              <w:right w:val="nil"/>
            </w:tcBorders>
            <w:shd w:val="clear" w:color="auto" w:fill="auto"/>
            <w:noWrap/>
            <w:vAlign w:val="center"/>
            <w:hideMark/>
          </w:tcPr>
          <w:p w14:paraId="7A750BCB"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77525A50" w14:textId="77777777" w:rsidR="009F408B" w:rsidRDefault="009F408B">
            <w:pPr>
              <w:jc w:val="center"/>
              <w:rPr>
                <w:color w:val="000000"/>
                <w:sz w:val="20"/>
                <w:szCs w:val="20"/>
              </w:rPr>
            </w:pPr>
            <w:r>
              <w:rPr>
                <w:color w:val="000000"/>
                <w:sz w:val="20"/>
                <w:szCs w:val="20"/>
              </w:rPr>
              <w:t>0.464</w:t>
            </w:r>
          </w:p>
        </w:tc>
        <w:tc>
          <w:tcPr>
            <w:tcW w:w="960" w:type="dxa"/>
            <w:tcBorders>
              <w:top w:val="nil"/>
              <w:left w:val="nil"/>
              <w:bottom w:val="nil"/>
              <w:right w:val="nil"/>
            </w:tcBorders>
            <w:shd w:val="clear" w:color="auto" w:fill="auto"/>
            <w:noWrap/>
            <w:vAlign w:val="center"/>
            <w:hideMark/>
          </w:tcPr>
          <w:p w14:paraId="2D5F9ABC" w14:textId="77777777" w:rsidR="009F408B" w:rsidRDefault="009F408B">
            <w:pPr>
              <w:jc w:val="center"/>
              <w:rPr>
                <w:color w:val="000000"/>
                <w:sz w:val="20"/>
                <w:szCs w:val="20"/>
              </w:rPr>
            </w:pPr>
            <w:r>
              <w:rPr>
                <w:color w:val="000000"/>
                <w:sz w:val="20"/>
                <w:szCs w:val="20"/>
              </w:rPr>
              <w:t>0.063</w:t>
            </w:r>
          </w:p>
        </w:tc>
      </w:tr>
      <w:tr w:rsidR="009F408B" w14:paraId="2700B273" w14:textId="77777777" w:rsidTr="009F408B">
        <w:trPr>
          <w:trHeight w:val="260"/>
          <w:jc w:val="center"/>
        </w:trPr>
        <w:tc>
          <w:tcPr>
            <w:tcW w:w="620" w:type="dxa"/>
            <w:tcBorders>
              <w:top w:val="nil"/>
              <w:left w:val="nil"/>
              <w:bottom w:val="nil"/>
              <w:right w:val="nil"/>
            </w:tcBorders>
            <w:shd w:val="clear" w:color="auto" w:fill="auto"/>
            <w:noWrap/>
            <w:vAlign w:val="center"/>
            <w:hideMark/>
          </w:tcPr>
          <w:p w14:paraId="2ABBE718" w14:textId="77777777" w:rsidR="009F408B" w:rsidRDefault="009F408B">
            <w:pPr>
              <w:jc w:val="center"/>
              <w:rPr>
                <w:color w:val="000000"/>
                <w:sz w:val="20"/>
                <w:szCs w:val="20"/>
              </w:rPr>
            </w:pPr>
            <w:r>
              <w:rPr>
                <w:color w:val="000000"/>
                <w:sz w:val="20"/>
                <w:szCs w:val="20"/>
              </w:rPr>
              <w:t>9</w:t>
            </w:r>
          </w:p>
        </w:tc>
        <w:tc>
          <w:tcPr>
            <w:tcW w:w="7570" w:type="dxa"/>
            <w:tcBorders>
              <w:top w:val="nil"/>
              <w:left w:val="nil"/>
              <w:bottom w:val="nil"/>
              <w:right w:val="nil"/>
            </w:tcBorders>
            <w:shd w:val="clear" w:color="auto" w:fill="auto"/>
            <w:noWrap/>
            <w:vAlign w:val="center"/>
            <w:hideMark/>
          </w:tcPr>
          <w:p w14:paraId="059D5A44" w14:textId="77777777" w:rsidR="009F408B" w:rsidRDefault="009F408B">
            <w:pPr>
              <w:rPr>
                <w:color w:val="000000"/>
                <w:sz w:val="20"/>
                <w:szCs w:val="20"/>
              </w:rPr>
            </w:pPr>
            <w:r>
              <w:rPr>
                <w:color w:val="000000"/>
                <w:sz w:val="20"/>
                <w:szCs w:val="20"/>
              </w:rPr>
              <w:t>I have feelings that I can’t quite identify.</w:t>
            </w:r>
          </w:p>
        </w:tc>
        <w:tc>
          <w:tcPr>
            <w:tcW w:w="790" w:type="dxa"/>
            <w:tcBorders>
              <w:top w:val="nil"/>
              <w:left w:val="nil"/>
              <w:bottom w:val="nil"/>
              <w:right w:val="nil"/>
            </w:tcBorders>
            <w:shd w:val="clear" w:color="auto" w:fill="auto"/>
            <w:noWrap/>
            <w:vAlign w:val="center"/>
            <w:hideMark/>
          </w:tcPr>
          <w:p w14:paraId="009C8E51" w14:textId="77777777" w:rsidR="009F408B" w:rsidRDefault="009F408B">
            <w:pPr>
              <w:jc w:val="center"/>
              <w:rPr>
                <w:color w:val="000000"/>
                <w:sz w:val="20"/>
                <w:szCs w:val="20"/>
              </w:rPr>
            </w:pPr>
            <w:r>
              <w:rPr>
                <w:color w:val="000000"/>
                <w:sz w:val="20"/>
                <w:szCs w:val="20"/>
              </w:rPr>
              <w:t>0.798</w:t>
            </w:r>
          </w:p>
        </w:tc>
        <w:tc>
          <w:tcPr>
            <w:tcW w:w="960" w:type="dxa"/>
            <w:tcBorders>
              <w:top w:val="nil"/>
              <w:left w:val="nil"/>
              <w:bottom w:val="nil"/>
              <w:right w:val="nil"/>
            </w:tcBorders>
            <w:shd w:val="clear" w:color="auto" w:fill="auto"/>
            <w:noWrap/>
            <w:vAlign w:val="center"/>
            <w:hideMark/>
          </w:tcPr>
          <w:p w14:paraId="110C61F7" w14:textId="77777777" w:rsidR="009F408B" w:rsidRDefault="009F408B">
            <w:pPr>
              <w:jc w:val="center"/>
              <w:rPr>
                <w:color w:val="000000"/>
                <w:sz w:val="20"/>
                <w:szCs w:val="20"/>
              </w:rPr>
            </w:pPr>
            <w:r>
              <w:rPr>
                <w:color w:val="000000"/>
                <w:sz w:val="20"/>
                <w:szCs w:val="20"/>
              </w:rPr>
              <w:t>0.288</w:t>
            </w:r>
          </w:p>
        </w:tc>
        <w:tc>
          <w:tcPr>
            <w:tcW w:w="960" w:type="dxa"/>
            <w:tcBorders>
              <w:top w:val="nil"/>
              <w:left w:val="nil"/>
              <w:bottom w:val="nil"/>
              <w:right w:val="nil"/>
            </w:tcBorders>
            <w:shd w:val="clear" w:color="auto" w:fill="auto"/>
            <w:noWrap/>
            <w:vAlign w:val="center"/>
            <w:hideMark/>
          </w:tcPr>
          <w:p w14:paraId="2316FE7A"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442D40B6"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171852A9"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1B27D299" w14:textId="77777777" w:rsidR="009F408B" w:rsidRDefault="009F408B">
            <w:pPr>
              <w:jc w:val="center"/>
              <w:rPr>
                <w:color w:val="000000"/>
                <w:sz w:val="20"/>
                <w:szCs w:val="20"/>
              </w:rPr>
            </w:pPr>
            <w:r>
              <w:rPr>
                <w:color w:val="000000"/>
                <w:sz w:val="20"/>
                <w:szCs w:val="20"/>
              </w:rPr>
              <w:t>0.720</w:t>
            </w:r>
          </w:p>
        </w:tc>
        <w:tc>
          <w:tcPr>
            <w:tcW w:w="960" w:type="dxa"/>
            <w:tcBorders>
              <w:top w:val="nil"/>
              <w:left w:val="nil"/>
              <w:bottom w:val="nil"/>
              <w:right w:val="nil"/>
            </w:tcBorders>
            <w:shd w:val="clear" w:color="auto" w:fill="auto"/>
            <w:noWrap/>
            <w:vAlign w:val="center"/>
            <w:hideMark/>
          </w:tcPr>
          <w:p w14:paraId="61C6E9B5" w14:textId="77777777" w:rsidR="009F408B" w:rsidRDefault="009F408B">
            <w:pPr>
              <w:jc w:val="center"/>
              <w:rPr>
                <w:color w:val="000000"/>
                <w:sz w:val="20"/>
                <w:szCs w:val="20"/>
              </w:rPr>
            </w:pPr>
            <w:r>
              <w:rPr>
                <w:color w:val="000000"/>
                <w:sz w:val="20"/>
                <w:szCs w:val="20"/>
              </w:rPr>
              <w:t>0.885</w:t>
            </w:r>
          </w:p>
        </w:tc>
      </w:tr>
      <w:tr w:rsidR="009F408B" w14:paraId="5F76992D" w14:textId="77777777" w:rsidTr="009F408B">
        <w:trPr>
          <w:trHeight w:val="260"/>
          <w:jc w:val="center"/>
        </w:trPr>
        <w:tc>
          <w:tcPr>
            <w:tcW w:w="620" w:type="dxa"/>
            <w:tcBorders>
              <w:top w:val="nil"/>
              <w:left w:val="nil"/>
              <w:bottom w:val="nil"/>
              <w:right w:val="nil"/>
            </w:tcBorders>
            <w:shd w:val="clear" w:color="auto" w:fill="auto"/>
            <w:noWrap/>
            <w:vAlign w:val="center"/>
            <w:hideMark/>
          </w:tcPr>
          <w:p w14:paraId="60CABC9E" w14:textId="77777777" w:rsidR="009F408B" w:rsidRDefault="009F408B">
            <w:pPr>
              <w:jc w:val="center"/>
              <w:rPr>
                <w:color w:val="000000"/>
                <w:sz w:val="20"/>
                <w:szCs w:val="20"/>
              </w:rPr>
            </w:pPr>
            <w:r>
              <w:rPr>
                <w:color w:val="000000"/>
                <w:sz w:val="20"/>
                <w:szCs w:val="20"/>
              </w:rPr>
              <w:t>10</w:t>
            </w:r>
          </w:p>
        </w:tc>
        <w:tc>
          <w:tcPr>
            <w:tcW w:w="7570" w:type="dxa"/>
            <w:tcBorders>
              <w:top w:val="nil"/>
              <w:left w:val="nil"/>
              <w:bottom w:val="nil"/>
              <w:right w:val="nil"/>
            </w:tcBorders>
            <w:shd w:val="clear" w:color="auto" w:fill="auto"/>
            <w:noWrap/>
            <w:vAlign w:val="center"/>
            <w:hideMark/>
          </w:tcPr>
          <w:p w14:paraId="5CB2E73E" w14:textId="77777777" w:rsidR="009F408B" w:rsidRDefault="009F408B">
            <w:pPr>
              <w:rPr>
                <w:color w:val="000000"/>
                <w:sz w:val="20"/>
                <w:szCs w:val="20"/>
              </w:rPr>
            </w:pPr>
            <w:r>
              <w:rPr>
                <w:color w:val="000000"/>
                <w:sz w:val="20"/>
                <w:szCs w:val="20"/>
              </w:rPr>
              <w:t>Being in touch with emotions is essential.</w:t>
            </w:r>
          </w:p>
        </w:tc>
        <w:tc>
          <w:tcPr>
            <w:tcW w:w="790" w:type="dxa"/>
            <w:tcBorders>
              <w:top w:val="nil"/>
              <w:left w:val="nil"/>
              <w:bottom w:val="nil"/>
              <w:right w:val="nil"/>
            </w:tcBorders>
            <w:shd w:val="clear" w:color="auto" w:fill="auto"/>
            <w:noWrap/>
            <w:vAlign w:val="center"/>
            <w:hideMark/>
          </w:tcPr>
          <w:p w14:paraId="565E1A4D" w14:textId="77777777" w:rsidR="009F408B" w:rsidRDefault="009F408B">
            <w:pPr>
              <w:jc w:val="center"/>
              <w:rPr>
                <w:b/>
                <w:bCs/>
                <w:color w:val="000000"/>
                <w:sz w:val="20"/>
                <w:szCs w:val="20"/>
              </w:rPr>
            </w:pPr>
            <w:r>
              <w:rPr>
                <w:b/>
                <w:bCs/>
                <w:color w:val="000000"/>
                <w:sz w:val="20"/>
                <w:szCs w:val="20"/>
              </w:rPr>
              <w:t>0.264</w:t>
            </w:r>
          </w:p>
        </w:tc>
        <w:tc>
          <w:tcPr>
            <w:tcW w:w="960" w:type="dxa"/>
            <w:tcBorders>
              <w:top w:val="nil"/>
              <w:left w:val="nil"/>
              <w:bottom w:val="nil"/>
              <w:right w:val="nil"/>
            </w:tcBorders>
            <w:shd w:val="clear" w:color="auto" w:fill="auto"/>
            <w:noWrap/>
            <w:vAlign w:val="center"/>
            <w:hideMark/>
          </w:tcPr>
          <w:p w14:paraId="7323E193"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4291A9EE"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6930EE18" w14:textId="77777777" w:rsidR="009F408B" w:rsidRDefault="009F408B">
            <w:pPr>
              <w:jc w:val="center"/>
              <w:rPr>
                <w:color w:val="000000"/>
                <w:sz w:val="20"/>
                <w:szCs w:val="20"/>
              </w:rPr>
            </w:pPr>
            <w:r>
              <w:rPr>
                <w:color w:val="000000"/>
                <w:sz w:val="20"/>
                <w:szCs w:val="20"/>
              </w:rPr>
              <w:t>0.214</w:t>
            </w:r>
          </w:p>
        </w:tc>
        <w:tc>
          <w:tcPr>
            <w:tcW w:w="960" w:type="dxa"/>
            <w:tcBorders>
              <w:top w:val="nil"/>
              <w:left w:val="nil"/>
              <w:bottom w:val="nil"/>
              <w:right w:val="nil"/>
            </w:tcBorders>
            <w:shd w:val="clear" w:color="auto" w:fill="auto"/>
            <w:noWrap/>
            <w:vAlign w:val="center"/>
            <w:hideMark/>
          </w:tcPr>
          <w:p w14:paraId="152AF85F" w14:textId="77777777" w:rsidR="009F408B" w:rsidRDefault="009F408B">
            <w:pPr>
              <w:jc w:val="center"/>
              <w:rPr>
                <w:color w:val="000000"/>
                <w:sz w:val="20"/>
                <w:szCs w:val="20"/>
              </w:rPr>
            </w:pPr>
            <w:r>
              <w:rPr>
                <w:color w:val="000000"/>
                <w:sz w:val="20"/>
                <w:szCs w:val="20"/>
              </w:rPr>
              <w:t>0.448</w:t>
            </w:r>
          </w:p>
        </w:tc>
        <w:tc>
          <w:tcPr>
            <w:tcW w:w="960" w:type="dxa"/>
            <w:tcBorders>
              <w:top w:val="nil"/>
              <w:left w:val="nil"/>
              <w:bottom w:val="nil"/>
              <w:right w:val="nil"/>
            </w:tcBorders>
            <w:shd w:val="clear" w:color="auto" w:fill="auto"/>
            <w:noWrap/>
            <w:vAlign w:val="center"/>
            <w:hideMark/>
          </w:tcPr>
          <w:p w14:paraId="2C870C56" w14:textId="77777777" w:rsidR="009F408B" w:rsidRDefault="009F408B">
            <w:pPr>
              <w:jc w:val="center"/>
              <w:rPr>
                <w:color w:val="000000"/>
                <w:sz w:val="20"/>
                <w:szCs w:val="20"/>
              </w:rPr>
            </w:pPr>
            <w:r>
              <w:rPr>
                <w:color w:val="000000"/>
                <w:sz w:val="20"/>
                <w:szCs w:val="20"/>
              </w:rPr>
              <w:t>0.316</w:t>
            </w:r>
          </w:p>
        </w:tc>
        <w:tc>
          <w:tcPr>
            <w:tcW w:w="960" w:type="dxa"/>
            <w:tcBorders>
              <w:top w:val="nil"/>
              <w:left w:val="nil"/>
              <w:bottom w:val="nil"/>
              <w:right w:val="nil"/>
            </w:tcBorders>
            <w:shd w:val="clear" w:color="auto" w:fill="auto"/>
            <w:noWrap/>
            <w:vAlign w:val="center"/>
            <w:hideMark/>
          </w:tcPr>
          <w:p w14:paraId="53F0FF15" w14:textId="77777777" w:rsidR="009F408B" w:rsidRDefault="009F408B">
            <w:pPr>
              <w:jc w:val="center"/>
              <w:rPr>
                <w:color w:val="000000"/>
                <w:sz w:val="20"/>
                <w:szCs w:val="20"/>
              </w:rPr>
            </w:pPr>
            <w:r>
              <w:rPr>
                <w:color w:val="000000"/>
                <w:sz w:val="20"/>
                <w:szCs w:val="20"/>
              </w:rPr>
              <w:t>0.221</w:t>
            </w:r>
          </w:p>
        </w:tc>
      </w:tr>
      <w:tr w:rsidR="009F408B" w14:paraId="62E4B94B" w14:textId="77777777" w:rsidTr="009F408B">
        <w:trPr>
          <w:trHeight w:val="260"/>
          <w:jc w:val="center"/>
        </w:trPr>
        <w:tc>
          <w:tcPr>
            <w:tcW w:w="620" w:type="dxa"/>
            <w:tcBorders>
              <w:top w:val="nil"/>
              <w:left w:val="nil"/>
              <w:bottom w:val="nil"/>
              <w:right w:val="nil"/>
            </w:tcBorders>
            <w:shd w:val="clear" w:color="auto" w:fill="auto"/>
            <w:noWrap/>
            <w:vAlign w:val="center"/>
            <w:hideMark/>
          </w:tcPr>
          <w:p w14:paraId="63DF374D" w14:textId="77777777" w:rsidR="009F408B" w:rsidRDefault="009F408B">
            <w:pPr>
              <w:jc w:val="center"/>
              <w:rPr>
                <w:color w:val="000000"/>
                <w:sz w:val="20"/>
                <w:szCs w:val="20"/>
              </w:rPr>
            </w:pPr>
            <w:r>
              <w:rPr>
                <w:color w:val="000000"/>
                <w:sz w:val="20"/>
                <w:szCs w:val="20"/>
              </w:rPr>
              <w:t>11</w:t>
            </w:r>
          </w:p>
        </w:tc>
        <w:tc>
          <w:tcPr>
            <w:tcW w:w="7570" w:type="dxa"/>
            <w:tcBorders>
              <w:top w:val="nil"/>
              <w:left w:val="nil"/>
              <w:bottom w:val="nil"/>
              <w:right w:val="nil"/>
            </w:tcBorders>
            <w:shd w:val="clear" w:color="auto" w:fill="auto"/>
            <w:noWrap/>
            <w:vAlign w:val="center"/>
            <w:hideMark/>
          </w:tcPr>
          <w:p w14:paraId="05596AA7" w14:textId="77777777" w:rsidR="009F408B" w:rsidRDefault="009F408B">
            <w:pPr>
              <w:rPr>
                <w:color w:val="000000"/>
                <w:sz w:val="20"/>
                <w:szCs w:val="20"/>
              </w:rPr>
            </w:pPr>
            <w:r>
              <w:rPr>
                <w:color w:val="000000"/>
                <w:sz w:val="20"/>
                <w:szCs w:val="20"/>
              </w:rPr>
              <w:t>I find it hard to describe how I feel about people.</w:t>
            </w:r>
          </w:p>
        </w:tc>
        <w:tc>
          <w:tcPr>
            <w:tcW w:w="790" w:type="dxa"/>
            <w:tcBorders>
              <w:top w:val="nil"/>
              <w:left w:val="nil"/>
              <w:bottom w:val="nil"/>
              <w:right w:val="nil"/>
            </w:tcBorders>
            <w:shd w:val="clear" w:color="auto" w:fill="auto"/>
            <w:noWrap/>
            <w:vAlign w:val="center"/>
            <w:hideMark/>
          </w:tcPr>
          <w:p w14:paraId="525D4ECD" w14:textId="77777777" w:rsidR="009F408B" w:rsidRDefault="009F408B">
            <w:pPr>
              <w:jc w:val="center"/>
              <w:rPr>
                <w:color w:val="000000"/>
                <w:sz w:val="20"/>
                <w:szCs w:val="20"/>
              </w:rPr>
            </w:pPr>
            <w:r>
              <w:rPr>
                <w:color w:val="000000"/>
                <w:sz w:val="20"/>
                <w:szCs w:val="20"/>
              </w:rPr>
              <w:t>0.749</w:t>
            </w:r>
          </w:p>
        </w:tc>
        <w:tc>
          <w:tcPr>
            <w:tcW w:w="960" w:type="dxa"/>
            <w:tcBorders>
              <w:top w:val="nil"/>
              <w:left w:val="nil"/>
              <w:bottom w:val="nil"/>
              <w:right w:val="nil"/>
            </w:tcBorders>
            <w:shd w:val="clear" w:color="auto" w:fill="auto"/>
            <w:noWrap/>
            <w:vAlign w:val="center"/>
            <w:hideMark/>
          </w:tcPr>
          <w:p w14:paraId="60A4E8E9"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318815B3" w14:textId="77777777" w:rsidR="009F408B" w:rsidRDefault="009F408B">
            <w:pPr>
              <w:jc w:val="center"/>
              <w:rPr>
                <w:color w:val="000000"/>
                <w:sz w:val="20"/>
                <w:szCs w:val="20"/>
              </w:rPr>
            </w:pPr>
            <w:r>
              <w:rPr>
                <w:color w:val="000000"/>
                <w:sz w:val="20"/>
                <w:szCs w:val="20"/>
              </w:rPr>
              <w:t>0.166</w:t>
            </w:r>
          </w:p>
        </w:tc>
        <w:tc>
          <w:tcPr>
            <w:tcW w:w="960" w:type="dxa"/>
            <w:tcBorders>
              <w:top w:val="nil"/>
              <w:left w:val="nil"/>
              <w:bottom w:val="nil"/>
              <w:right w:val="nil"/>
            </w:tcBorders>
            <w:shd w:val="clear" w:color="auto" w:fill="auto"/>
            <w:noWrap/>
            <w:vAlign w:val="center"/>
            <w:hideMark/>
          </w:tcPr>
          <w:p w14:paraId="4CB552D0"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6336C6C8"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4774E2F6" w14:textId="77777777" w:rsidR="009F408B" w:rsidRDefault="009F408B">
            <w:pPr>
              <w:jc w:val="center"/>
              <w:rPr>
                <w:color w:val="000000"/>
                <w:sz w:val="20"/>
                <w:szCs w:val="20"/>
              </w:rPr>
            </w:pPr>
            <w:r>
              <w:rPr>
                <w:color w:val="000000"/>
                <w:sz w:val="20"/>
                <w:szCs w:val="20"/>
              </w:rPr>
              <w:t>0.588</w:t>
            </w:r>
          </w:p>
        </w:tc>
        <w:tc>
          <w:tcPr>
            <w:tcW w:w="960" w:type="dxa"/>
            <w:tcBorders>
              <w:top w:val="nil"/>
              <w:left w:val="nil"/>
              <w:bottom w:val="nil"/>
              <w:right w:val="nil"/>
            </w:tcBorders>
            <w:shd w:val="clear" w:color="auto" w:fill="auto"/>
            <w:noWrap/>
            <w:vAlign w:val="center"/>
            <w:hideMark/>
          </w:tcPr>
          <w:p w14:paraId="6A33DE51" w14:textId="77777777" w:rsidR="009F408B" w:rsidRDefault="009F408B">
            <w:pPr>
              <w:jc w:val="center"/>
              <w:rPr>
                <w:color w:val="000000"/>
                <w:sz w:val="20"/>
                <w:szCs w:val="20"/>
              </w:rPr>
            </w:pPr>
            <w:r>
              <w:rPr>
                <w:color w:val="000000"/>
                <w:sz w:val="20"/>
                <w:szCs w:val="20"/>
              </w:rPr>
              <w:t>0.953</w:t>
            </w:r>
          </w:p>
        </w:tc>
      </w:tr>
      <w:tr w:rsidR="009F408B" w14:paraId="4EDEA229" w14:textId="77777777" w:rsidTr="009F408B">
        <w:trPr>
          <w:trHeight w:val="260"/>
          <w:jc w:val="center"/>
        </w:trPr>
        <w:tc>
          <w:tcPr>
            <w:tcW w:w="620" w:type="dxa"/>
            <w:tcBorders>
              <w:top w:val="nil"/>
              <w:left w:val="nil"/>
              <w:bottom w:val="nil"/>
              <w:right w:val="nil"/>
            </w:tcBorders>
            <w:shd w:val="clear" w:color="auto" w:fill="auto"/>
            <w:noWrap/>
            <w:vAlign w:val="center"/>
            <w:hideMark/>
          </w:tcPr>
          <w:p w14:paraId="7BA5535A" w14:textId="77777777" w:rsidR="009F408B" w:rsidRDefault="009F408B">
            <w:pPr>
              <w:jc w:val="center"/>
              <w:rPr>
                <w:color w:val="000000"/>
                <w:sz w:val="20"/>
                <w:szCs w:val="20"/>
              </w:rPr>
            </w:pPr>
            <w:r>
              <w:rPr>
                <w:color w:val="000000"/>
                <w:sz w:val="20"/>
                <w:szCs w:val="20"/>
              </w:rPr>
              <w:t>12</w:t>
            </w:r>
          </w:p>
        </w:tc>
        <w:tc>
          <w:tcPr>
            <w:tcW w:w="7570" w:type="dxa"/>
            <w:tcBorders>
              <w:top w:val="nil"/>
              <w:left w:val="nil"/>
              <w:bottom w:val="nil"/>
              <w:right w:val="nil"/>
            </w:tcBorders>
            <w:shd w:val="clear" w:color="auto" w:fill="auto"/>
            <w:noWrap/>
            <w:vAlign w:val="center"/>
            <w:hideMark/>
          </w:tcPr>
          <w:p w14:paraId="107B8D1F" w14:textId="77777777" w:rsidR="009F408B" w:rsidRDefault="009F408B">
            <w:pPr>
              <w:rPr>
                <w:color w:val="000000"/>
                <w:sz w:val="20"/>
                <w:szCs w:val="20"/>
              </w:rPr>
            </w:pPr>
            <w:r>
              <w:rPr>
                <w:color w:val="000000"/>
                <w:sz w:val="20"/>
                <w:szCs w:val="20"/>
              </w:rPr>
              <w:t>People tell me to describe my feelings more.</w:t>
            </w:r>
          </w:p>
        </w:tc>
        <w:tc>
          <w:tcPr>
            <w:tcW w:w="790" w:type="dxa"/>
            <w:tcBorders>
              <w:top w:val="nil"/>
              <w:left w:val="nil"/>
              <w:bottom w:val="nil"/>
              <w:right w:val="nil"/>
            </w:tcBorders>
            <w:shd w:val="clear" w:color="auto" w:fill="auto"/>
            <w:noWrap/>
            <w:vAlign w:val="center"/>
            <w:hideMark/>
          </w:tcPr>
          <w:p w14:paraId="6EE1A79D" w14:textId="77777777" w:rsidR="009F408B" w:rsidRDefault="009F408B">
            <w:pPr>
              <w:jc w:val="center"/>
              <w:rPr>
                <w:color w:val="000000"/>
                <w:sz w:val="20"/>
                <w:szCs w:val="20"/>
              </w:rPr>
            </w:pPr>
            <w:r>
              <w:rPr>
                <w:color w:val="000000"/>
                <w:sz w:val="20"/>
                <w:szCs w:val="20"/>
              </w:rPr>
              <w:t>0.661</w:t>
            </w:r>
          </w:p>
        </w:tc>
        <w:tc>
          <w:tcPr>
            <w:tcW w:w="960" w:type="dxa"/>
            <w:tcBorders>
              <w:top w:val="nil"/>
              <w:left w:val="nil"/>
              <w:bottom w:val="nil"/>
              <w:right w:val="nil"/>
            </w:tcBorders>
            <w:shd w:val="clear" w:color="auto" w:fill="auto"/>
            <w:noWrap/>
            <w:vAlign w:val="center"/>
            <w:hideMark/>
          </w:tcPr>
          <w:p w14:paraId="61E82B91"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22DC4B7E" w14:textId="77777777" w:rsidR="009F408B" w:rsidRDefault="009F408B">
            <w:pPr>
              <w:jc w:val="center"/>
              <w:rPr>
                <w:color w:val="000000"/>
                <w:sz w:val="20"/>
                <w:szCs w:val="20"/>
              </w:rPr>
            </w:pPr>
            <w:r>
              <w:rPr>
                <w:color w:val="000000"/>
                <w:sz w:val="20"/>
                <w:szCs w:val="20"/>
              </w:rPr>
              <w:t>0.147</w:t>
            </w:r>
          </w:p>
        </w:tc>
        <w:tc>
          <w:tcPr>
            <w:tcW w:w="960" w:type="dxa"/>
            <w:tcBorders>
              <w:top w:val="nil"/>
              <w:left w:val="nil"/>
              <w:bottom w:val="nil"/>
              <w:right w:val="nil"/>
            </w:tcBorders>
            <w:shd w:val="clear" w:color="auto" w:fill="auto"/>
            <w:noWrap/>
            <w:vAlign w:val="center"/>
            <w:hideMark/>
          </w:tcPr>
          <w:p w14:paraId="7848F73D"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2241D087"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51E99E23" w14:textId="77777777" w:rsidR="009F408B" w:rsidRDefault="009F408B">
            <w:pPr>
              <w:jc w:val="center"/>
              <w:rPr>
                <w:color w:val="000000"/>
                <w:sz w:val="20"/>
                <w:szCs w:val="20"/>
              </w:rPr>
            </w:pPr>
            <w:r>
              <w:rPr>
                <w:color w:val="000000"/>
                <w:sz w:val="20"/>
                <w:szCs w:val="20"/>
              </w:rPr>
              <w:t>0.458</w:t>
            </w:r>
          </w:p>
        </w:tc>
        <w:tc>
          <w:tcPr>
            <w:tcW w:w="960" w:type="dxa"/>
            <w:tcBorders>
              <w:top w:val="nil"/>
              <w:left w:val="nil"/>
              <w:bottom w:val="nil"/>
              <w:right w:val="nil"/>
            </w:tcBorders>
            <w:shd w:val="clear" w:color="auto" w:fill="auto"/>
            <w:noWrap/>
            <w:vAlign w:val="center"/>
            <w:hideMark/>
          </w:tcPr>
          <w:p w14:paraId="0A648F6B" w14:textId="77777777" w:rsidR="009F408B" w:rsidRDefault="009F408B">
            <w:pPr>
              <w:jc w:val="center"/>
              <w:rPr>
                <w:color w:val="000000"/>
                <w:sz w:val="20"/>
                <w:szCs w:val="20"/>
              </w:rPr>
            </w:pPr>
            <w:r>
              <w:rPr>
                <w:color w:val="000000"/>
                <w:sz w:val="20"/>
                <w:szCs w:val="20"/>
              </w:rPr>
              <w:t>0.953</w:t>
            </w:r>
          </w:p>
        </w:tc>
      </w:tr>
      <w:tr w:rsidR="009F408B" w14:paraId="6F837F33" w14:textId="77777777" w:rsidTr="009F408B">
        <w:trPr>
          <w:trHeight w:val="260"/>
          <w:jc w:val="center"/>
        </w:trPr>
        <w:tc>
          <w:tcPr>
            <w:tcW w:w="620" w:type="dxa"/>
            <w:tcBorders>
              <w:top w:val="nil"/>
              <w:left w:val="nil"/>
              <w:bottom w:val="nil"/>
              <w:right w:val="nil"/>
            </w:tcBorders>
            <w:shd w:val="clear" w:color="auto" w:fill="auto"/>
            <w:noWrap/>
            <w:vAlign w:val="center"/>
            <w:hideMark/>
          </w:tcPr>
          <w:p w14:paraId="4DFFD1C4" w14:textId="77777777" w:rsidR="009F408B" w:rsidRDefault="009F408B">
            <w:pPr>
              <w:jc w:val="center"/>
              <w:rPr>
                <w:color w:val="000000"/>
                <w:sz w:val="20"/>
                <w:szCs w:val="20"/>
              </w:rPr>
            </w:pPr>
            <w:r>
              <w:rPr>
                <w:color w:val="000000"/>
                <w:sz w:val="20"/>
                <w:szCs w:val="20"/>
              </w:rPr>
              <w:t>13</w:t>
            </w:r>
          </w:p>
        </w:tc>
        <w:tc>
          <w:tcPr>
            <w:tcW w:w="7570" w:type="dxa"/>
            <w:tcBorders>
              <w:top w:val="nil"/>
              <w:left w:val="nil"/>
              <w:bottom w:val="nil"/>
              <w:right w:val="nil"/>
            </w:tcBorders>
            <w:shd w:val="clear" w:color="auto" w:fill="auto"/>
            <w:noWrap/>
            <w:vAlign w:val="center"/>
            <w:hideMark/>
          </w:tcPr>
          <w:p w14:paraId="6A1F21FE" w14:textId="77777777" w:rsidR="009F408B" w:rsidRDefault="009F408B">
            <w:pPr>
              <w:rPr>
                <w:color w:val="000000"/>
                <w:sz w:val="20"/>
                <w:szCs w:val="20"/>
              </w:rPr>
            </w:pPr>
            <w:r>
              <w:rPr>
                <w:color w:val="000000"/>
                <w:sz w:val="20"/>
                <w:szCs w:val="20"/>
              </w:rPr>
              <w:t>I don’t know what’s going on inside me.</w:t>
            </w:r>
          </w:p>
        </w:tc>
        <w:tc>
          <w:tcPr>
            <w:tcW w:w="790" w:type="dxa"/>
            <w:tcBorders>
              <w:top w:val="nil"/>
              <w:left w:val="nil"/>
              <w:bottom w:val="nil"/>
              <w:right w:val="nil"/>
            </w:tcBorders>
            <w:shd w:val="clear" w:color="auto" w:fill="auto"/>
            <w:noWrap/>
            <w:vAlign w:val="center"/>
            <w:hideMark/>
          </w:tcPr>
          <w:p w14:paraId="47680CA7" w14:textId="77777777" w:rsidR="009F408B" w:rsidRDefault="009F408B">
            <w:pPr>
              <w:jc w:val="center"/>
              <w:rPr>
                <w:color w:val="000000"/>
                <w:sz w:val="20"/>
                <w:szCs w:val="20"/>
              </w:rPr>
            </w:pPr>
            <w:r>
              <w:rPr>
                <w:color w:val="000000"/>
                <w:sz w:val="20"/>
                <w:szCs w:val="20"/>
              </w:rPr>
              <w:t>0.714</w:t>
            </w:r>
          </w:p>
        </w:tc>
        <w:tc>
          <w:tcPr>
            <w:tcW w:w="960" w:type="dxa"/>
            <w:tcBorders>
              <w:top w:val="nil"/>
              <w:left w:val="nil"/>
              <w:bottom w:val="nil"/>
              <w:right w:val="nil"/>
            </w:tcBorders>
            <w:shd w:val="clear" w:color="auto" w:fill="auto"/>
            <w:noWrap/>
            <w:vAlign w:val="center"/>
            <w:hideMark/>
          </w:tcPr>
          <w:p w14:paraId="7DBA3469" w14:textId="77777777" w:rsidR="009F408B" w:rsidRDefault="009F408B">
            <w:pPr>
              <w:jc w:val="center"/>
              <w:rPr>
                <w:color w:val="000000"/>
                <w:sz w:val="20"/>
                <w:szCs w:val="20"/>
              </w:rPr>
            </w:pPr>
            <w:r>
              <w:rPr>
                <w:color w:val="000000"/>
                <w:sz w:val="20"/>
                <w:szCs w:val="20"/>
              </w:rPr>
              <w:t>0.252</w:t>
            </w:r>
          </w:p>
        </w:tc>
        <w:tc>
          <w:tcPr>
            <w:tcW w:w="960" w:type="dxa"/>
            <w:tcBorders>
              <w:top w:val="nil"/>
              <w:left w:val="nil"/>
              <w:bottom w:val="nil"/>
              <w:right w:val="nil"/>
            </w:tcBorders>
            <w:shd w:val="clear" w:color="auto" w:fill="auto"/>
            <w:noWrap/>
            <w:vAlign w:val="center"/>
            <w:hideMark/>
          </w:tcPr>
          <w:p w14:paraId="6B79A6DD"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35035CE7"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5D0FE40E"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45ACDAA2" w14:textId="77777777" w:rsidR="009F408B" w:rsidRDefault="009F408B">
            <w:pPr>
              <w:jc w:val="center"/>
              <w:rPr>
                <w:color w:val="000000"/>
                <w:sz w:val="20"/>
                <w:szCs w:val="20"/>
              </w:rPr>
            </w:pPr>
            <w:r>
              <w:rPr>
                <w:color w:val="000000"/>
                <w:sz w:val="20"/>
                <w:szCs w:val="20"/>
              </w:rPr>
              <w:t>0.574</w:t>
            </w:r>
          </w:p>
        </w:tc>
        <w:tc>
          <w:tcPr>
            <w:tcW w:w="960" w:type="dxa"/>
            <w:tcBorders>
              <w:top w:val="nil"/>
              <w:left w:val="nil"/>
              <w:bottom w:val="nil"/>
              <w:right w:val="nil"/>
            </w:tcBorders>
            <w:shd w:val="clear" w:color="auto" w:fill="auto"/>
            <w:noWrap/>
            <w:vAlign w:val="center"/>
            <w:hideMark/>
          </w:tcPr>
          <w:p w14:paraId="134C41C3" w14:textId="77777777" w:rsidR="009F408B" w:rsidRDefault="009F408B">
            <w:pPr>
              <w:jc w:val="center"/>
              <w:rPr>
                <w:color w:val="000000"/>
                <w:sz w:val="20"/>
                <w:szCs w:val="20"/>
              </w:rPr>
            </w:pPr>
            <w:r>
              <w:rPr>
                <w:color w:val="000000"/>
                <w:sz w:val="20"/>
                <w:szCs w:val="20"/>
              </w:rPr>
              <w:t>0.889</w:t>
            </w:r>
          </w:p>
        </w:tc>
      </w:tr>
      <w:tr w:rsidR="009F408B" w14:paraId="41E50FFE" w14:textId="77777777" w:rsidTr="009F408B">
        <w:trPr>
          <w:trHeight w:val="260"/>
          <w:jc w:val="center"/>
        </w:trPr>
        <w:tc>
          <w:tcPr>
            <w:tcW w:w="620" w:type="dxa"/>
            <w:tcBorders>
              <w:top w:val="nil"/>
              <w:left w:val="nil"/>
              <w:bottom w:val="nil"/>
              <w:right w:val="nil"/>
            </w:tcBorders>
            <w:shd w:val="clear" w:color="auto" w:fill="auto"/>
            <w:noWrap/>
            <w:vAlign w:val="center"/>
            <w:hideMark/>
          </w:tcPr>
          <w:p w14:paraId="22B3AB8F" w14:textId="77777777" w:rsidR="009F408B" w:rsidRDefault="009F408B">
            <w:pPr>
              <w:jc w:val="center"/>
              <w:rPr>
                <w:color w:val="000000"/>
                <w:sz w:val="20"/>
                <w:szCs w:val="20"/>
              </w:rPr>
            </w:pPr>
            <w:r>
              <w:rPr>
                <w:color w:val="000000"/>
                <w:sz w:val="20"/>
                <w:szCs w:val="20"/>
              </w:rPr>
              <w:t>14</w:t>
            </w:r>
          </w:p>
        </w:tc>
        <w:tc>
          <w:tcPr>
            <w:tcW w:w="7570" w:type="dxa"/>
            <w:tcBorders>
              <w:top w:val="nil"/>
              <w:left w:val="nil"/>
              <w:bottom w:val="nil"/>
              <w:right w:val="nil"/>
            </w:tcBorders>
            <w:shd w:val="clear" w:color="auto" w:fill="auto"/>
            <w:noWrap/>
            <w:vAlign w:val="center"/>
            <w:hideMark/>
          </w:tcPr>
          <w:p w14:paraId="61C9534E" w14:textId="77777777" w:rsidR="009F408B" w:rsidRDefault="009F408B">
            <w:pPr>
              <w:rPr>
                <w:color w:val="000000"/>
                <w:sz w:val="20"/>
                <w:szCs w:val="20"/>
              </w:rPr>
            </w:pPr>
            <w:r>
              <w:rPr>
                <w:color w:val="000000"/>
                <w:sz w:val="20"/>
                <w:szCs w:val="20"/>
              </w:rPr>
              <w:t>I often don’t know why I am angry.</w:t>
            </w:r>
          </w:p>
        </w:tc>
        <w:tc>
          <w:tcPr>
            <w:tcW w:w="790" w:type="dxa"/>
            <w:tcBorders>
              <w:top w:val="nil"/>
              <w:left w:val="nil"/>
              <w:bottom w:val="nil"/>
              <w:right w:val="nil"/>
            </w:tcBorders>
            <w:shd w:val="clear" w:color="auto" w:fill="auto"/>
            <w:noWrap/>
            <w:vAlign w:val="center"/>
            <w:hideMark/>
          </w:tcPr>
          <w:p w14:paraId="038DC6AF" w14:textId="77777777" w:rsidR="009F408B" w:rsidRDefault="009F408B">
            <w:pPr>
              <w:jc w:val="center"/>
              <w:rPr>
                <w:color w:val="000000"/>
                <w:sz w:val="20"/>
                <w:szCs w:val="20"/>
              </w:rPr>
            </w:pPr>
            <w:r>
              <w:rPr>
                <w:color w:val="000000"/>
                <w:sz w:val="20"/>
                <w:szCs w:val="20"/>
              </w:rPr>
              <w:t>0.677</w:t>
            </w:r>
          </w:p>
        </w:tc>
        <w:tc>
          <w:tcPr>
            <w:tcW w:w="960" w:type="dxa"/>
            <w:tcBorders>
              <w:top w:val="nil"/>
              <w:left w:val="nil"/>
              <w:bottom w:val="nil"/>
              <w:right w:val="nil"/>
            </w:tcBorders>
            <w:shd w:val="clear" w:color="auto" w:fill="auto"/>
            <w:noWrap/>
            <w:vAlign w:val="center"/>
            <w:hideMark/>
          </w:tcPr>
          <w:p w14:paraId="710BD7E6" w14:textId="77777777" w:rsidR="009F408B" w:rsidRDefault="009F408B">
            <w:pPr>
              <w:jc w:val="center"/>
              <w:rPr>
                <w:color w:val="000000"/>
                <w:sz w:val="20"/>
                <w:szCs w:val="20"/>
              </w:rPr>
            </w:pPr>
            <w:r>
              <w:rPr>
                <w:color w:val="000000"/>
                <w:sz w:val="20"/>
                <w:szCs w:val="20"/>
              </w:rPr>
              <w:t>0.172</w:t>
            </w:r>
          </w:p>
        </w:tc>
        <w:tc>
          <w:tcPr>
            <w:tcW w:w="960" w:type="dxa"/>
            <w:tcBorders>
              <w:top w:val="nil"/>
              <w:left w:val="nil"/>
              <w:bottom w:val="nil"/>
              <w:right w:val="nil"/>
            </w:tcBorders>
            <w:shd w:val="clear" w:color="auto" w:fill="auto"/>
            <w:noWrap/>
            <w:vAlign w:val="center"/>
            <w:hideMark/>
          </w:tcPr>
          <w:p w14:paraId="6E6698D3"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7101C3AC"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6BBC8269"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39E3E9C2" w14:textId="77777777" w:rsidR="009F408B" w:rsidRDefault="009F408B">
            <w:pPr>
              <w:jc w:val="center"/>
              <w:rPr>
                <w:color w:val="000000"/>
                <w:sz w:val="20"/>
                <w:szCs w:val="20"/>
              </w:rPr>
            </w:pPr>
            <w:r>
              <w:rPr>
                <w:color w:val="000000"/>
                <w:sz w:val="20"/>
                <w:szCs w:val="20"/>
              </w:rPr>
              <w:t>0.488</w:t>
            </w:r>
          </w:p>
        </w:tc>
        <w:tc>
          <w:tcPr>
            <w:tcW w:w="960" w:type="dxa"/>
            <w:tcBorders>
              <w:top w:val="nil"/>
              <w:left w:val="nil"/>
              <w:bottom w:val="nil"/>
              <w:right w:val="nil"/>
            </w:tcBorders>
            <w:shd w:val="clear" w:color="auto" w:fill="auto"/>
            <w:noWrap/>
            <w:vAlign w:val="center"/>
            <w:hideMark/>
          </w:tcPr>
          <w:p w14:paraId="778B9BCD" w14:textId="77777777" w:rsidR="009F408B" w:rsidRDefault="009F408B">
            <w:pPr>
              <w:jc w:val="center"/>
              <w:rPr>
                <w:color w:val="000000"/>
                <w:sz w:val="20"/>
                <w:szCs w:val="20"/>
              </w:rPr>
            </w:pPr>
            <w:r>
              <w:rPr>
                <w:color w:val="000000"/>
                <w:sz w:val="20"/>
                <w:szCs w:val="20"/>
              </w:rPr>
              <w:t>0.939</w:t>
            </w:r>
          </w:p>
        </w:tc>
      </w:tr>
      <w:tr w:rsidR="009F408B" w14:paraId="2DC06373" w14:textId="77777777" w:rsidTr="009F408B">
        <w:trPr>
          <w:trHeight w:val="260"/>
          <w:jc w:val="center"/>
        </w:trPr>
        <w:tc>
          <w:tcPr>
            <w:tcW w:w="620" w:type="dxa"/>
            <w:tcBorders>
              <w:top w:val="nil"/>
              <w:left w:val="nil"/>
              <w:bottom w:val="nil"/>
              <w:right w:val="nil"/>
            </w:tcBorders>
            <w:shd w:val="clear" w:color="auto" w:fill="auto"/>
            <w:noWrap/>
            <w:vAlign w:val="center"/>
            <w:hideMark/>
          </w:tcPr>
          <w:p w14:paraId="0BA35B51" w14:textId="77777777" w:rsidR="009F408B" w:rsidRDefault="009F408B">
            <w:pPr>
              <w:jc w:val="center"/>
              <w:rPr>
                <w:color w:val="000000"/>
                <w:sz w:val="20"/>
                <w:szCs w:val="20"/>
              </w:rPr>
            </w:pPr>
            <w:r>
              <w:rPr>
                <w:color w:val="000000"/>
                <w:sz w:val="20"/>
                <w:szCs w:val="20"/>
              </w:rPr>
              <w:t>15</w:t>
            </w:r>
          </w:p>
        </w:tc>
        <w:tc>
          <w:tcPr>
            <w:tcW w:w="7570" w:type="dxa"/>
            <w:tcBorders>
              <w:top w:val="nil"/>
              <w:left w:val="nil"/>
              <w:bottom w:val="nil"/>
              <w:right w:val="nil"/>
            </w:tcBorders>
            <w:shd w:val="clear" w:color="auto" w:fill="auto"/>
            <w:noWrap/>
            <w:vAlign w:val="center"/>
            <w:hideMark/>
          </w:tcPr>
          <w:p w14:paraId="14F2F650" w14:textId="77777777" w:rsidR="009F408B" w:rsidRDefault="009F408B">
            <w:pPr>
              <w:rPr>
                <w:color w:val="000000"/>
                <w:sz w:val="20"/>
                <w:szCs w:val="20"/>
              </w:rPr>
            </w:pPr>
            <w:r>
              <w:rPr>
                <w:color w:val="000000"/>
                <w:sz w:val="20"/>
                <w:szCs w:val="20"/>
              </w:rPr>
              <w:t>I prefer talking to people about their daily activities rather than their feelings.</w:t>
            </w:r>
          </w:p>
        </w:tc>
        <w:tc>
          <w:tcPr>
            <w:tcW w:w="790" w:type="dxa"/>
            <w:tcBorders>
              <w:top w:val="nil"/>
              <w:left w:val="nil"/>
              <w:bottom w:val="nil"/>
              <w:right w:val="nil"/>
            </w:tcBorders>
            <w:shd w:val="clear" w:color="auto" w:fill="auto"/>
            <w:noWrap/>
            <w:vAlign w:val="center"/>
            <w:hideMark/>
          </w:tcPr>
          <w:p w14:paraId="47E02444" w14:textId="77777777" w:rsidR="009F408B" w:rsidRDefault="009F408B">
            <w:pPr>
              <w:jc w:val="center"/>
              <w:rPr>
                <w:color w:val="000000"/>
                <w:sz w:val="20"/>
                <w:szCs w:val="20"/>
              </w:rPr>
            </w:pPr>
            <w:r>
              <w:rPr>
                <w:color w:val="000000"/>
                <w:sz w:val="20"/>
                <w:szCs w:val="20"/>
              </w:rPr>
              <w:t>0.550</w:t>
            </w:r>
          </w:p>
        </w:tc>
        <w:tc>
          <w:tcPr>
            <w:tcW w:w="960" w:type="dxa"/>
            <w:tcBorders>
              <w:top w:val="nil"/>
              <w:left w:val="nil"/>
              <w:bottom w:val="nil"/>
              <w:right w:val="nil"/>
            </w:tcBorders>
            <w:shd w:val="clear" w:color="auto" w:fill="auto"/>
            <w:noWrap/>
            <w:vAlign w:val="center"/>
            <w:hideMark/>
          </w:tcPr>
          <w:p w14:paraId="7CDC304C"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2635CD85"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791A2F2B" w14:textId="77777777" w:rsidR="009F408B" w:rsidRDefault="009F408B">
            <w:pPr>
              <w:jc w:val="center"/>
              <w:rPr>
                <w:color w:val="000000"/>
                <w:sz w:val="20"/>
                <w:szCs w:val="20"/>
              </w:rPr>
            </w:pPr>
            <w:r>
              <w:rPr>
                <w:color w:val="000000"/>
                <w:sz w:val="20"/>
                <w:szCs w:val="20"/>
              </w:rPr>
              <w:t>0.211</w:t>
            </w:r>
          </w:p>
        </w:tc>
        <w:tc>
          <w:tcPr>
            <w:tcW w:w="960" w:type="dxa"/>
            <w:tcBorders>
              <w:top w:val="nil"/>
              <w:left w:val="nil"/>
              <w:bottom w:val="nil"/>
              <w:right w:val="nil"/>
            </w:tcBorders>
            <w:shd w:val="clear" w:color="auto" w:fill="auto"/>
            <w:noWrap/>
            <w:vAlign w:val="center"/>
            <w:hideMark/>
          </w:tcPr>
          <w:p w14:paraId="7C908C3D"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5060F7AC" w14:textId="77777777" w:rsidR="009F408B" w:rsidRDefault="009F408B">
            <w:pPr>
              <w:jc w:val="center"/>
              <w:rPr>
                <w:color w:val="000000"/>
                <w:sz w:val="20"/>
                <w:szCs w:val="20"/>
              </w:rPr>
            </w:pPr>
            <w:r>
              <w:rPr>
                <w:color w:val="000000"/>
                <w:sz w:val="20"/>
                <w:szCs w:val="20"/>
              </w:rPr>
              <w:t>0.347</w:t>
            </w:r>
          </w:p>
        </w:tc>
        <w:tc>
          <w:tcPr>
            <w:tcW w:w="960" w:type="dxa"/>
            <w:tcBorders>
              <w:top w:val="nil"/>
              <w:left w:val="nil"/>
              <w:bottom w:val="nil"/>
              <w:right w:val="nil"/>
            </w:tcBorders>
            <w:shd w:val="clear" w:color="auto" w:fill="auto"/>
            <w:noWrap/>
            <w:vAlign w:val="center"/>
            <w:hideMark/>
          </w:tcPr>
          <w:p w14:paraId="330A5089" w14:textId="77777777" w:rsidR="009F408B" w:rsidRDefault="009F408B">
            <w:pPr>
              <w:jc w:val="center"/>
              <w:rPr>
                <w:color w:val="000000"/>
                <w:sz w:val="20"/>
                <w:szCs w:val="20"/>
              </w:rPr>
            </w:pPr>
            <w:r>
              <w:rPr>
                <w:color w:val="000000"/>
                <w:sz w:val="20"/>
                <w:szCs w:val="20"/>
              </w:rPr>
              <w:t>0.872</w:t>
            </w:r>
          </w:p>
        </w:tc>
      </w:tr>
      <w:tr w:rsidR="009F408B" w14:paraId="4266ABB3" w14:textId="77777777" w:rsidTr="009F408B">
        <w:trPr>
          <w:trHeight w:val="260"/>
          <w:jc w:val="center"/>
        </w:trPr>
        <w:tc>
          <w:tcPr>
            <w:tcW w:w="620" w:type="dxa"/>
            <w:tcBorders>
              <w:top w:val="nil"/>
              <w:left w:val="nil"/>
              <w:bottom w:val="nil"/>
              <w:right w:val="nil"/>
            </w:tcBorders>
            <w:shd w:val="clear" w:color="auto" w:fill="auto"/>
            <w:noWrap/>
            <w:vAlign w:val="center"/>
            <w:hideMark/>
          </w:tcPr>
          <w:p w14:paraId="48B3F7C9" w14:textId="77777777" w:rsidR="009F408B" w:rsidRDefault="009F408B">
            <w:pPr>
              <w:jc w:val="center"/>
              <w:rPr>
                <w:color w:val="000000"/>
                <w:sz w:val="20"/>
                <w:szCs w:val="20"/>
              </w:rPr>
            </w:pPr>
            <w:r>
              <w:rPr>
                <w:color w:val="000000"/>
                <w:sz w:val="20"/>
                <w:szCs w:val="20"/>
              </w:rPr>
              <w:t>16</w:t>
            </w:r>
          </w:p>
        </w:tc>
        <w:tc>
          <w:tcPr>
            <w:tcW w:w="7570" w:type="dxa"/>
            <w:tcBorders>
              <w:top w:val="nil"/>
              <w:left w:val="nil"/>
              <w:bottom w:val="nil"/>
              <w:right w:val="nil"/>
            </w:tcBorders>
            <w:shd w:val="clear" w:color="auto" w:fill="auto"/>
            <w:noWrap/>
            <w:vAlign w:val="center"/>
            <w:hideMark/>
          </w:tcPr>
          <w:p w14:paraId="3B35BF06" w14:textId="77777777" w:rsidR="009F408B" w:rsidRDefault="009F408B">
            <w:pPr>
              <w:rPr>
                <w:color w:val="000000"/>
                <w:sz w:val="20"/>
                <w:szCs w:val="20"/>
              </w:rPr>
            </w:pPr>
            <w:r>
              <w:rPr>
                <w:color w:val="000000"/>
                <w:sz w:val="20"/>
                <w:szCs w:val="20"/>
              </w:rPr>
              <w:t>I prefer to watch “light” entertainment shows rather than psychological dramas.</w:t>
            </w:r>
          </w:p>
        </w:tc>
        <w:tc>
          <w:tcPr>
            <w:tcW w:w="790" w:type="dxa"/>
            <w:tcBorders>
              <w:top w:val="nil"/>
              <w:left w:val="nil"/>
              <w:bottom w:val="nil"/>
              <w:right w:val="nil"/>
            </w:tcBorders>
            <w:shd w:val="clear" w:color="auto" w:fill="auto"/>
            <w:noWrap/>
            <w:vAlign w:val="center"/>
            <w:hideMark/>
          </w:tcPr>
          <w:p w14:paraId="17EE1D54" w14:textId="77777777" w:rsidR="009F408B" w:rsidRDefault="009F408B">
            <w:pPr>
              <w:jc w:val="center"/>
              <w:rPr>
                <w:b/>
                <w:bCs/>
                <w:color w:val="000000"/>
                <w:sz w:val="20"/>
                <w:szCs w:val="20"/>
              </w:rPr>
            </w:pPr>
            <w:r>
              <w:rPr>
                <w:b/>
                <w:bCs/>
                <w:color w:val="000000"/>
                <w:sz w:val="20"/>
                <w:szCs w:val="20"/>
              </w:rPr>
              <w:t>0.202</w:t>
            </w:r>
          </w:p>
        </w:tc>
        <w:tc>
          <w:tcPr>
            <w:tcW w:w="960" w:type="dxa"/>
            <w:tcBorders>
              <w:top w:val="nil"/>
              <w:left w:val="nil"/>
              <w:bottom w:val="nil"/>
              <w:right w:val="nil"/>
            </w:tcBorders>
            <w:shd w:val="clear" w:color="auto" w:fill="auto"/>
            <w:noWrap/>
            <w:vAlign w:val="center"/>
            <w:hideMark/>
          </w:tcPr>
          <w:p w14:paraId="24E7D252"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6C7C4D1B"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77A70349" w14:textId="77777777" w:rsidR="009F408B" w:rsidRDefault="009F408B">
            <w:pPr>
              <w:jc w:val="center"/>
              <w:rPr>
                <w:color w:val="000000"/>
                <w:sz w:val="20"/>
                <w:szCs w:val="20"/>
              </w:rPr>
            </w:pPr>
            <w:r>
              <w:rPr>
                <w:color w:val="000000"/>
                <w:sz w:val="20"/>
                <w:szCs w:val="20"/>
              </w:rPr>
              <w:t>0.262</w:t>
            </w:r>
          </w:p>
        </w:tc>
        <w:tc>
          <w:tcPr>
            <w:tcW w:w="960" w:type="dxa"/>
            <w:tcBorders>
              <w:top w:val="nil"/>
              <w:left w:val="nil"/>
              <w:bottom w:val="nil"/>
              <w:right w:val="nil"/>
            </w:tcBorders>
            <w:shd w:val="clear" w:color="auto" w:fill="auto"/>
            <w:noWrap/>
            <w:vAlign w:val="center"/>
            <w:hideMark/>
          </w:tcPr>
          <w:p w14:paraId="5D35F8BC"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7A942FD1" w14:textId="77777777" w:rsidR="009F408B" w:rsidRDefault="009F408B">
            <w:pPr>
              <w:jc w:val="center"/>
              <w:rPr>
                <w:color w:val="000000"/>
                <w:sz w:val="20"/>
                <w:szCs w:val="20"/>
              </w:rPr>
            </w:pPr>
            <w:r>
              <w:rPr>
                <w:color w:val="000000"/>
                <w:sz w:val="20"/>
                <w:szCs w:val="20"/>
              </w:rPr>
              <w:t>0.109</w:t>
            </w:r>
          </w:p>
        </w:tc>
        <w:tc>
          <w:tcPr>
            <w:tcW w:w="960" w:type="dxa"/>
            <w:tcBorders>
              <w:top w:val="nil"/>
              <w:left w:val="nil"/>
              <w:bottom w:val="nil"/>
              <w:right w:val="nil"/>
            </w:tcBorders>
            <w:shd w:val="clear" w:color="auto" w:fill="auto"/>
            <w:noWrap/>
            <w:vAlign w:val="center"/>
            <w:hideMark/>
          </w:tcPr>
          <w:p w14:paraId="21FB57DE" w14:textId="77777777" w:rsidR="009F408B" w:rsidRDefault="009F408B">
            <w:pPr>
              <w:jc w:val="center"/>
              <w:rPr>
                <w:color w:val="000000"/>
                <w:sz w:val="20"/>
                <w:szCs w:val="20"/>
              </w:rPr>
            </w:pPr>
            <w:r>
              <w:rPr>
                <w:color w:val="000000"/>
                <w:sz w:val="20"/>
                <w:szCs w:val="20"/>
              </w:rPr>
              <w:t>0.373</w:t>
            </w:r>
          </w:p>
        </w:tc>
      </w:tr>
      <w:tr w:rsidR="009F408B" w14:paraId="3CCF5A4E" w14:textId="77777777" w:rsidTr="009F408B">
        <w:trPr>
          <w:trHeight w:val="260"/>
          <w:jc w:val="center"/>
        </w:trPr>
        <w:tc>
          <w:tcPr>
            <w:tcW w:w="620" w:type="dxa"/>
            <w:tcBorders>
              <w:top w:val="nil"/>
              <w:left w:val="nil"/>
              <w:bottom w:val="nil"/>
              <w:right w:val="nil"/>
            </w:tcBorders>
            <w:shd w:val="clear" w:color="auto" w:fill="auto"/>
            <w:noWrap/>
            <w:vAlign w:val="center"/>
            <w:hideMark/>
          </w:tcPr>
          <w:p w14:paraId="77D5D9E0" w14:textId="77777777" w:rsidR="009F408B" w:rsidRDefault="009F408B">
            <w:pPr>
              <w:jc w:val="center"/>
              <w:rPr>
                <w:color w:val="000000"/>
                <w:sz w:val="20"/>
                <w:szCs w:val="20"/>
              </w:rPr>
            </w:pPr>
            <w:r>
              <w:rPr>
                <w:color w:val="000000"/>
                <w:sz w:val="20"/>
                <w:szCs w:val="20"/>
              </w:rPr>
              <w:t>17</w:t>
            </w:r>
          </w:p>
        </w:tc>
        <w:tc>
          <w:tcPr>
            <w:tcW w:w="7570" w:type="dxa"/>
            <w:tcBorders>
              <w:top w:val="nil"/>
              <w:left w:val="nil"/>
              <w:bottom w:val="nil"/>
              <w:right w:val="nil"/>
            </w:tcBorders>
            <w:shd w:val="clear" w:color="auto" w:fill="auto"/>
            <w:noWrap/>
            <w:vAlign w:val="center"/>
            <w:hideMark/>
          </w:tcPr>
          <w:p w14:paraId="62145D22" w14:textId="77777777" w:rsidR="009F408B" w:rsidRDefault="009F408B">
            <w:pPr>
              <w:rPr>
                <w:color w:val="000000"/>
                <w:sz w:val="20"/>
                <w:szCs w:val="20"/>
              </w:rPr>
            </w:pPr>
            <w:r>
              <w:rPr>
                <w:color w:val="000000"/>
                <w:sz w:val="20"/>
                <w:szCs w:val="20"/>
              </w:rPr>
              <w:t>It is difficult for me to reveal my innermost feelings, even to close friends.</w:t>
            </w:r>
          </w:p>
        </w:tc>
        <w:tc>
          <w:tcPr>
            <w:tcW w:w="790" w:type="dxa"/>
            <w:tcBorders>
              <w:top w:val="nil"/>
              <w:left w:val="nil"/>
              <w:bottom w:val="nil"/>
              <w:right w:val="nil"/>
            </w:tcBorders>
            <w:shd w:val="clear" w:color="auto" w:fill="auto"/>
            <w:noWrap/>
            <w:vAlign w:val="center"/>
            <w:hideMark/>
          </w:tcPr>
          <w:p w14:paraId="4245DDCF" w14:textId="77777777" w:rsidR="009F408B" w:rsidRDefault="009F408B">
            <w:pPr>
              <w:jc w:val="center"/>
              <w:rPr>
                <w:color w:val="000000"/>
                <w:sz w:val="20"/>
                <w:szCs w:val="20"/>
              </w:rPr>
            </w:pPr>
            <w:r>
              <w:rPr>
                <w:color w:val="000000"/>
                <w:sz w:val="20"/>
                <w:szCs w:val="20"/>
              </w:rPr>
              <w:t>0.622</w:t>
            </w:r>
          </w:p>
        </w:tc>
        <w:tc>
          <w:tcPr>
            <w:tcW w:w="960" w:type="dxa"/>
            <w:tcBorders>
              <w:top w:val="nil"/>
              <w:left w:val="nil"/>
              <w:bottom w:val="nil"/>
              <w:right w:val="nil"/>
            </w:tcBorders>
            <w:shd w:val="clear" w:color="auto" w:fill="auto"/>
            <w:noWrap/>
            <w:vAlign w:val="center"/>
            <w:hideMark/>
          </w:tcPr>
          <w:p w14:paraId="0D5B1CBA"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7B69CCD4" w14:textId="77777777" w:rsidR="009F408B" w:rsidRDefault="009F408B">
            <w:pPr>
              <w:jc w:val="center"/>
              <w:rPr>
                <w:color w:val="000000"/>
                <w:sz w:val="20"/>
                <w:szCs w:val="20"/>
              </w:rPr>
            </w:pPr>
            <w:r>
              <w:rPr>
                <w:color w:val="000000"/>
                <w:sz w:val="20"/>
                <w:szCs w:val="20"/>
              </w:rPr>
              <w:t>0.220</w:t>
            </w:r>
          </w:p>
        </w:tc>
        <w:tc>
          <w:tcPr>
            <w:tcW w:w="960" w:type="dxa"/>
            <w:tcBorders>
              <w:top w:val="nil"/>
              <w:left w:val="nil"/>
              <w:bottom w:val="nil"/>
              <w:right w:val="nil"/>
            </w:tcBorders>
            <w:shd w:val="clear" w:color="auto" w:fill="auto"/>
            <w:noWrap/>
            <w:vAlign w:val="center"/>
            <w:hideMark/>
          </w:tcPr>
          <w:p w14:paraId="24E3E93D" w14:textId="77777777" w:rsidR="009F408B" w:rsidRDefault="009F408B">
            <w:pPr>
              <w:jc w:val="center"/>
              <w:rPr>
                <w:color w:val="000000"/>
                <w:sz w:val="20"/>
                <w:szCs w:val="20"/>
              </w:rPr>
            </w:pPr>
            <w:r>
              <w:rPr>
                <w:color w:val="000000"/>
                <w:sz w:val="20"/>
                <w:szCs w:val="20"/>
              </w:rPr>
              <w:t>0.000</w:t>
            </w:r>
          </w:p>
        </w:tc>
        <w:tc>
          <w:tcPr>
            <w:tcW w:w="960" w:type="dxa"/>
            <w:tcBorders>
              <w:top w:val="nil"/>
              <w:left w:val="nil"/>
              <w:bottom w:val="nil"/>
              <w:right w:val="nil"/>
            </w:tcBorders>
            <w:shd w:val="clear" w:color="auto" w:fill="auto"/>
            <w:noWrap/>
            <w:vAlign w:val="center"/>
            <w:hideMark/>
          </w:tcPr>
          <w:p w14:paraId="56778554"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4242BBE3" w14:textId="77777777" w:rsidR="009F408B" w:rsidRDefault="009F408B">
            <w:pPr>
              <w:jc w:val="center"/>
              <w:rPr>
                <w:color w:val="000000"/>
                <w:sz w:val="20"/>
                <w:szCs w:val="20"/>
              </w:rPr>
            </w:pPr>
            <w:r>
              <w:rPr>
                <w:color w:val="000000"/>
                <w:sz w:val="20"/>
                <w:szCs w:val="20"/>
              </w:rPr>
              <w:t>0.435</w:t>
            </w:r>
          </w:p>
        </w:tc>
        <w:tc>
          <w:tcPr>
            <w:tcW w:w="960" w:type="dxa"/>
            <w:tcBorders>
              <w:top w:val="nil"/>
              <w:left w:val="nil"/>
              <w:bottom w:val="nil"/>
              <w:right w:val="nil"/>
            </w:tcBorders>
            <w:shd w:val="clear" w:color="auto" w:fill="auto"/>
            <w:noWrap/>
            <w:vAlign w:val="center"/>
            <w:hideMark/>
          </w:tcPr>
          <w:p w14:paraId="152EBB2D" w14:textId="77777777" w:rsidR="009F408B" w:rsidRDefault="009F408B">
            <w:pPr>
              <w:jc w:val="center"/>
              <w:rPr>
                <w:color w:val="000000"/>
                <w:sz w:val="20"/>
                <w:szCs w:val="20"/>
              </w:rPr>
            </w:pPr>
            <w:r>
              <w:rPr>
                <w:color w:val="000000"/>
                <w:sz w:val="20"/>
                <w:szCs w:val="20"/>
              </w:rPr>
              <w:t>0.889</w:t>
            </w:r>
          </w:p>
        </w:tc>
      </w:tr>
      <w:tr w:rsidR="009F408B" w14:paraId="3C8E64B1" w14:textId="77777777" w:rsidTr="009F408B">
        <w:trPr>
          <w:trHeight w:val="260"/>
          <w:jc w:val="center"/>
        </w:trPr>
        <w:tc>
          <w:tcPr>
            <w:tcW w:w="620" w:type="dxa"/>
            <w:tcBorders>
              <w:top w:val="nil"/>
              <w:left w:val="nil"/>
              <w:bottom w:val="nil"/>
              <w:right w:val="nil"/>
            </w:tcBorders>
            <w:shd w:val="clear" w:color="auto" w:fill="auto"/>
            <w:noWrap/>
            <w:vAlign w:val="center"/>
            <w:hideMark/>
          </w:tcPr>
          <w:p w14:paraId="79C83B93" w14:textId="77777777" w:rsidR="009F408B" w:rsidRDefault="009F408B">
            <w:pPr>
              <w:jc w:val="center"/>
              <w:rPr>
                <w:color w:val="000000"/>
                <w:sz w:val="20"/>
                <w:szCs w:val="20"/>
              </w:rPr>
            </w:pPr>
            <w:r>
              <w:rPr>
                <w:color w:val="000000"/>
                <w:sz w:val="20"/>
                <w:szCs w:val="20"/>
              </w:rPr>
              <w:t>18</w:t>
            </w:r>
          </w:p>
        </w:tc>
        <w:tc>
          <w:tcPr>
            <w:tcW w:w="7570" w:type="dxa"/>
            <w:tcBorders>
              <w:top w:val="nil"/>
              <w:left w:val="nil"/>
              <w:bottom w:val="nil"/>
              <w:right w:val="nil"/>
            </w:tcBorders>
            <w:shd w:val="clear" w:color="auto" w:fill="auto"/>
            <w:noWrap/>
            <w:vAlign w:val="center"/>
            <w:hideMark/>
          </w:tcPr>
          <w:p w14:paraId="11A25D0F" w14:textId="77777777" w:rsidR="009F408B" w:rsidRDefault="009F408B">
            <w:pPr>
              <w:rPr>
                <w:color w:val="000000"/>
                <w:sz w:val="20"/>
                <w:szCs w:val="20"/>
              </w:rPr>
            </w:pPr>
            <w:r>
              <w:rPr>
                <w:color w:val="000000"/>
                <w:sz w:val="20"/>
                <w:szCs w:val="20"/>
              </w:rPr>
              <w:t>I can feel close to someone, even in moments of silence.</w:t>
            </w:r>
          </w:p>
        </w:tc>
        <w:tc>
          <w:tcPr>
            <w:tcW w:w="790" w:type="dxa"/>
            <w:tcBorders>
              <w:top w:val="nil"/>
              <w:left w:val="nil"/>
              <w:bottom w:val="nil"/>
              <w:right w:val="nil"/>
            </w:tcBorders>
            <w:shd w:val="clear" w:color="auto" w:fill="auto"/>
            <w:noWrap/>
            <w:vAlign w:val="center"/>
            <w:hideMark/>
          </w:tcPr>
          <w:p w14:paraId="1CD8B63C" w14:textId="77777777" w:rsidR="009F408B" w:rsidRDefault="009F408B">
            <w:pPr>
              <w:jc w:val="center"/>
              <w:rPr>
                <w:b/>
                <w:bCs/>
                <w:color w:val="000000"/>
                <w:sz w:val="20"/>
                <w:szCs w:val="20"/>
              </w:rPr>
            </w:pPr>
            <w:r>
              <w:rPr>
                <w:b/>
                <w:bCs/>
                <w:color w:val="000000"/>
                <w:sz w:val="20"/>
                <w:szCs w:val="20"/>
              </w:rPr>
              <w:t>0.105</w:t>
            </w:r>
          </w:p>
        </w:tc>
        <w:tc>
          <w:tcPr>
            <w:tcW w:w="960" w:type="dxa"/>
            <w:tcBorders>
              <w:top w:val="nil"/>
              <w:left w:val="nil"/>
              <w:bottom w:val="nil"/>
              <w:right w:val="nil"/>
            </w:tcBorders>
            <w:shd w:val="clear" w:color="auto" w:fill="auto"/>
            <w:noWrap/>
            <w:vAlign w:val="center"/>
            <w:hideMark/>
          </w:tcPr>
          <w:p w14:paraId="40D3CE99"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18A9A345"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3EE93FD2" w14:textId="77777777" w:rsidR="009F408B" w:rsidRDefault="009F408B">
            <w:pPr>
              <w:jc w:val="center"/>
              <w:rPr>
                <w:color w:val="000000"/>
                <w:sz w:val="20"/>
                <w:szCs w:val="20"/>
              </w:rPr>
            </w:pPr>
            <w:r>
              <w:rPr>
                <w:color w:val="000000"/>
                <w:sz w:val="20"/>
                <w:szCs w:val="20"/>
              </w:rPr>
              <w:t>0.087</w:t>
            </w:r>
          </w:p>
        </w:tc>
        <w:tc>
          <w:tcPr>
            <w:tcW w:w="960" w:type="dxa"/>
            <w:tcBorders>
              <w:top w:val="nil"/>
              <w:left w:val="nil"/>
              <w:bottom w:val="nil"/>
              <w:right w:val="nil"/>
            </w:tcBorders>
            <w:shd w:val="clear" w:color="auto" w:fill="auto"/>
            <w:noWrap/>
            <w:vAlign w:val="center"/>
            <w:hideMark/>
          </w:tcPr>
          <w:p w14:paraId="15422625" w14:textId="77777777" w:rsidR="009F408B" w:rsidRDefault="009F408B">
            <w:pPr>
              <w:jc w:val="center"/>
              <w:rPr>
                <w:color w:val="000000"/>
                <w:sz w:val="20"/>
                <w:szCs w:val="20"/>
              </w:rPr>
            </w:pPr>
            <w:r>
              <w:rPr>
                <w:color w:val="000000"/>
                <w:sz w:val="20"/>
                <w:szCs w:val="20"/>
              </w:rPr>
              <w:t>0.388</w:t>
            </w:r>
          </w:p>
        </w:tc>
        <w:tc>
          <w:tcPr>
            <w:tcW w:w="960" w:type="dxa"/>
            <w:tcBorders>
              <w:top w:val="nil"/>
              <w:left w:val="nil"/>
              <w:bottom w:val="nil"/>
              <w:right w:val="nil"/>
            </w:tcBorders>
            <w:shd w:val="clear" w:color="auto" w:fill="auto"/>
            <w:noWrap/>
            <w:vAlign w:val="center"/>
            <w:hideMark/>
          </w:tcPr>
          <w:p w14:paraId="25BE1E87" w14:textId="77777777" w:rsidR="009F408B" w:rsidRDefault="009F408B">
            <w:pPr>
              <w:jc w:val="center"/>
              <w:rPr>
                <w:color w:val="000000"/>
                <w:sz w:val="20"/>
                <w:szCs w:val="20"/>
              </w:rPr>
            </w:pPr>
            <w:r>
              <w:rPr>
                <w:color w:val="000000"/>
                <w:sz w:val="20"/>
                <w:szCs w:val="20"/>
              </w:rPr>
              <w:t>0.170</w:t>
            </w:r>
          </w:p>
        </w:tc>
        <w:tc>
          <w:tcPr>
            <w:tcW w:w="960" w:type="dxa"/>
            <w:tcBorders>
              <w:top w:val="nil"/>
              <w:left w:val="nil"/>
              <w:bottom w:val="nil"/>
              <w:right w:val="nil"/>
            </w:tcBorders>
            <w:shd w:val="clear" w:color="auto" w:fill="auto"/>
            <w:noWrap/>
            <w:vAlign w:val="center"/>
            <w:hideMark/>
          </w:tcPr>
          <w:p w14:paraId="09A5E6A8" w14:textId="77777777" w:rsidR="009F408B" w:rsidRDefault="009F408B">
            <w:pPr>
              <w:jc w:val="center"/>
              <w:rPr>
                <w:color w:val="000000"/>
                <w:sz w:val="20"/>
                <w:szCs w:val="20"/>
              </w:rPr>
            </w:pPr>
            <w:r>
              <w:rPr>
                <w:color w:val="000000"/>
                <w:sz w:val="20"/>
                <w:szCs w:val="20"/>
              </w:rPr>
              <w:t>0.065</w:t>
            </w:r>
          </w:p>
        </w:tc>
      </w:tr>
      <w:tr w:rsidR="009F408B" w14:paraId="61DD785A" w14:textId="77777777" w:rsidTr="009F408B">
        <w:trPr>
          <w:trHeight w:val="260"/>
          <w:jc w:val="center"/>
        </w:trPr>
        <w:tc>
          <w:tcPr>
            <w:tcW w:w="620" w:type="dxa"/>
            <w:tcBorders>
              <w:top w:val="nil"/>
              <w:left w:val="nil"/>
              <w:bottom w:val="nil"/>
              <w:right w:val="nil"/>
            </w:tcBorders>
            <w:shd w:val="clear" w:color="auto" w:fill="auto"/>
            <w:noWrap/>
            <w:vAlign w:val="center"/>
            <w:hideMark/>
          </w:tcPr>
          <w:p w14:paraId="3DB9B3D7" w14:textId="77777777" w:rsidR="009F408B" w:rsidRDefault="009F408B">
            <w:pPr>
              <w:jc w:val="center"/>
              <w:rPr>
                <w:color w:val="000000"/>
                <w:sz w:val="20"/>
                <w:szCs w:val="20"/>
              </w:rPr>
            </w:pPr>
            <w:r>
              <w:rPr>
                <w:color w:val="000000"/>
                <w:sz w:val="20"/>
                <w:szCs w:val="20"/>
              </w:rPr>
              <w:t>19</w:t>
            </w:r>
          </w:p>
        </w:tc>
        <w:tc>
          <w:tcPr>
            <w:tcW w:w="7570" w:type="dxa"/>
            <w:tcBorders>
              <w:top w:val="nil"/>
              <w:left w:val="nil"/>
              <w:bottom w:val="nil"/>
              <w:right w:val="nil"/>
            </w:tcBorders>
            <w:shd w:val="clear" w:color="auto" w:fill="auto"/>
            <w:noWrap/>
            <w:vAlign w:val="center"/>
            <w:hideMark/>
          </w:tcPr>
          <w:p w14:paraId="18351B45" w14:textId="77777777" w:rsidR="009F408B" w:rsidRDefault="009F408B">
            <w:pPr>
              <w:rPr>
                <w:color w:val="000000"/>
                <w:sz w:val="20"/>
                <w:szCs w:val="20"/>
              </w:rPr>
            </w:pPr>
            <w:r>
              <w:rPr>
                <w:color w:val="000000"/>
                <w:sz w:val="20"/>
                <w:szCs w:val="20"/>
              </w:rPr>
              <w:t>I find examination of my feelings useful in solving personal problems.</w:t>
            </w:r>
          </w:p>
        </w:tc>
        <w:tc>
          <w:tcPr>
            <w:tcW w:w="790" w:type="dxa"/>
            <w:tcBorders>
              <w:top w:val="nil"/>
              <w:left w:val="nil"/>
              <w:bottom w:val="nil"/>
              <w:right w:val="nil"/>
            </w:tcBorders>
            <w:shd w:val="clear" w:color="auto" w:fill="auto"/>
            <w:noWrap/>
            <w:vAlign w:val="center"/>
            <w:hideMark/>
          </w:tcPr>
          <w:p w14:paraId="4863E994" w14:textId="77777777" w:rsidR="009F408B" w:rsidRDefault="009F408B">
            <w:pPr>
              <w:jc w:val="center"/>
              <w:rPr>
                <w:b/>
                <w:bCs/>
                <w:color w:val="000000"/>
                <w:sz w:val="20"/>
                <w:szCs w:val="20"/>
              </w:rPr>
            </w:pPr>
            <w:r>
              <w:rPr>
                <w:b/>
                <w:bCs/>
                <w:color w:val="000000"/>
                <w:sz w:val="20"/>
                <w:szCs w:val="20"/>
              </w:rPr>
              <w:t>0.222</w:t>
            </w:r>
          </w:p>
        </w:tc>
        <w:tc>
          <w:tcPr>
            <w:tcW w:w="960" w:type="dxa"/>
            <w:tcBorders>
              <w:top w:val="nil"/>
              <w:left w:val="nil"/>
              <w:bottom w:val="nil"/>
              <w:right w:val="nil"/>
            </w:tcBorders>
            <w:shd w:val="clear" w:color="auto" w:fill="auto"/>
            <w:noWrap/>
            <w:vAlign w:val="center"/>
            <w:hideMark/>
          </w:tcPr>
          <w:p w14:paraId="3C049F7E"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18677E9D"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nil"/>
              <w:right w:val="nil"/>
            </w:tcBorders>
            <w:shd w:val="clear" w:color="auto" w:fill="auto"/>
            <w:noWrap/>
            <w:vAlign w:val="center"/>
            <w:hideMark/>
          </w:tcPr>
          <w:p w14:paraId="55711EB5" w14:textId="77777777" w:rsidR="009F408B" w:rsidRDefault="009F408B">
            <w:pPr>
              <w:jc w:val="center"/>
              <w:rPr>
                <w:color w:val="000000"/>
                <w:sz w:val="20"/>
                <w:szCs w:val="20"/>
              </w:rPr>
            </w:pPr>
            <w:r>
              <w:rPr>
                <w:color w:val="000000"/>
                <w:sz w:val="20"/>
                <w:szCs w:val="20"/>
              </w:rPr>
              <w:t>0.316</w:t>
            </w:r>
          </w:p>
        </w:tc>
        <w:tc>
          <w:tcPr>
            <w:tcW w:w="960" w:type="dxa"/>
            <w:tcBorders>
              <w:top w:val="nil"/>
              <w:left w:val="nil"/>
              <w:bottom w:val="nil"/>
              <w:right w:val="nil"/>
            </w:tcBorders>
            <w:shd w:val="clear" w:color="auto" w:fill="auto"/>
            <w:noWrap/>
            <w:vAlign w:val="center"/>
            <w:hideMark/>
          </w:tcPr>
          <w:p w14:paraId="6FB3DF24" w14:textId="77777777" w:rsidR="009F408B" w:rsidRDefault="009F408B">
            <w:pPr>
              <w:jc w:val="center"/>
              <w:rPr>
                <w:color w:val="000000"/>
                <w:sz w:val="20"/>
                <w:szCs w:val="20"/>
              </w:rPr>
            </w:pPr>
            <w:r>
              <w:rPr>
                <w:color w:val="000000"/>
                <w:sz w:val="20"/>
                <w:szCs w:val="20"/>
              </w:rPr>
              <w:t>0.775</w:t>
            </w:r>
          </w:p>
        </w:tc>
        <w:tc>
          <w:tcPr>
            <w:tcW w:w="960" w:type="dxa"/>
            <w:tcBorders>
              <w:top w:val="nil"/>
              <w:left w:val="nil"/>
              <w:bottom w:val="nil"/>
              <w:right w:val="nil"/>
            </w:tcBorders>
            <w:shd w:val="clear" w:color="auto" w:fill="auto"/>
            <w:noWrap/>
            <w:vAlign w:val="center"/>
            <w:hideMark/>
          </w:tcPr>
          <w:p w14:paraId="62845CAA" w14:textId="77777777" w:rsidR="009F408B" w:rsidRDefault="009F408B">
            <w:pPr>
              <w:jc w:val="center"/>
              <w:rPr>
                <w:color w:val="000000"/>
                <w:sz w:val="20"/>
                <w:szCs w:val="20"/>
              </w:rPr>
            </w:pPr>
            <w:r>
              <w:rPr>
                <w:color w:val="000000"/>
                <w:sz w:val="20"/>
                <w:szCs w:val="20"/>
              </w:rPr>
              <w:t>0.750</w:t>
            </w:r>
          </w:p>
        </w:tc>
        <w:tc>
          <w:tcPr>
            <w:tcW w:w="960" w:type="dxa"/>
            <w:tcBorders>
              <w:top w:val="nil"/>
              <w:left w:val="nil"/>
              <w:bottom w:val="nil"/>
              <w:right w:val="nil"/>
            </w:tcBorders>
            <w:shd w:val="clear" w:color="auto" w:fill="auto"/>
            <w:noWrap/>
            <w:vAlign w:val="center"/>
            <w:hideMark/>
          </w:tcPr>
          <w:p w14:paraId="0AE3D7E1" w14:textId="77777777" w:rsidR="009F408B" w:rsidRDefault="009F408B">
            <w:pPr>
              <w:jc w:val="center"/>
              <w:rPr>
                <w:color w:val="000000"/>
                <w:sz w:val="20"/>
                <w:szCs w:val="20"/>
              </w:rPr>
            </w:pPr>
            <w:r>
              <w:rPr>
                <w:color w:val="000000"/>
                <w:sz w:val="20"/>
                <w:szCs w:val="20"/>
              </w:rPr>
              <w:t>0.066</w:t>
            </w:r>
          </w:p>
        </w:tc>
      </w:tr>
      <w:tr w:rsidR="009F408B" w14:paraId="74723A42" w14:textId="77777777" w:rsidTr="009F408B">
        <w:trPr>
          <w:trHeight w:val="260"/>
          <w:jc w:val="center"/>
        </w:trPr>
        <w:tc>
          <w:tcPr>
            <w:tcW w:w="620" w:type="dxa"/>
            <w:tcBorders>
              <w:top w:val="nil"/>
              <w:left w:val="nil"/>
              <w:bottom w:val="single" w:sz="4" w:space="0" w:color="auto"/>
              <w:right w:val="nil"/>
            </w:tcBorders>
            <w:shd w:val="clear" w:color="auto" w:fill="auto"/>
            <w:noWrap/>
            <w:vAlign w:val="center"/>
            <w:hideMark/>
          </w:tcPr>
          <w:p w14:paraId="085EF595" w14:textId="77777777" w:rsidR="009F408B" w:rsidRDefault="009F408B">
            <w:pPr>
              <w:jc w:val="center"/>
              <w:rPr>
                <w:color w:val="000000"/>
                <w:sz w:val="20"/>
                <w:szCs w:val="20"/>
              </w:rPr>
            </w:pPr>
            <w:r>
              <w:rPr>
                <w:color w:val="000000"/>
                <w:sz w:val="20"/>
                <w:szCs w:val="20"/>
              </w:rPr>
              <w:t>20</w:t>
            </w:r>
          </w:p>
        </w:tc>
        <w:tc>
          <w:tcPr>
            <w:tcW w:w="7570" w:type="dxa"/>
            <w:tcBorders>
              <w:top w:val="nil"/>
              <w:left w:val="nil"/>
              <w:bottom w:val="single" w:sz="4" w:space="0" w:color="auto"/>
              <w:right w:val="nil"/>
            </w:tcBorders>
            <w:shd w:val="clear" w:color="auto" w:fill="auto"/>
            <w:noWrap/>
            <w:vAlign w:val="center"/>
            <w:hideMark/>
          </w:tcPr>
          <w:p w14:paraId="3E000349" w14:textId="77777777" w:rsidR="009F408B" w:rsidRDefault="009F408B">
            <w:pPr>
              <w:rPr>
                <w:color w:val="000000"/>
                <w:sz w:val="20"/>
                <w:szCs w:val="20"/>
              </w:rPr>
            </w:pPr>
            <w:r>
              <w:rPr>
                <w:color w:val="000000"/>
                <w:sz w:val="20"/>
                <w:szCs w:val="20"/>
              </w:rPr>
              <w:t>Looking for hidden meanings in movies or plays distracts from their enjoyment.</w:t>
            </w:r>
          </w:p>
        </w:tc>
        <w:tc>
          <w:tcPr>
            <w:tcW w:w="790" w:type="dxa"/>
            <w:tcBorders>
              <w:top w:val="nil"/>
              <w:left w:val="nil"/>
              <w:bottom w:val="single" w:sz="4" w:space="0" w:color="auto"/>
              <w:right w:val="nil"/>
            </w:tcBorders>
            <w:shd w:val="clear" w:color="auto" w:fill="auto"/>
            <w:noWrap/>
            <w:vAlign w:val="center"/>
            <w:hideMark/>
          </w:tcPr>
          <w:p w14:paraId="218ADD2A" w14:textId="77777777" w:rsidR="009F408B" w:rsidRDefault="009F408B">
            <w:pPr>
              <w:jc w:val="center"/>
              <w:rPr>
                <w:b/>
                <w:bCs/>
                <w:color w:val="000000"/>
                <w:sz w:val="20"/>
                <w:szCs w:val="20"/>
              </w:rPr>
            </w:pPr>
            <w:r>
              <w:rPr>
                <w:b/>
                <w:bCs/>
                <w:color w:val="000000"/>
                <w:sz w:val="20"/>
                <w:szCs w:val="20"/>
              </w:rPr>
              <w:t>0.311</w:t>
            </w:r>
          </w:p>
        </w:tc>
        <w:tc>
          <w:tcPr>
            <w:tcW w:w="960" w:type="dxa"/>
            <w:tcBorders>
              <w:top w:val="nil"/>
              <w:left w:val="nil"/>
              <w:bottom w:val="single" w:sz="4" w:space="0" w:color="auto"/>
              <w:right w:val="nil"/>
            </w:tcBorders>
            <w:shd w:val="clear" w:color="auto" w:fill="auto"/>
            <w:noWrap/>
            <w:vAlign w:val="center"/>
            <w:hideMark/>
          </w:tcPr>
          <w:p w14:paraId="67535F55"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single" w:sz="4" w:space="0" w:color="auto"/>
              <w:right w:val="nil"/>
            </w:tcBorders>
            <w:shd w:val="clear" w:color="auto" w:fill="auto"/>
            <w:noWrap/>
            <w:vAlign w:val="center"/>
            <w:hideMark/>
          </w:tcPr>
          <w:p w14:paraId="047D403C"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single" w:sz="4" w:space="0" w:color="auto"/>
              <w:right w:val="nil"/>
            </w:tcBorders>
            <w:shd w:val="clear" w:color="auto" w:fill="auto"/>
            <w:noWrap/>
            <w:vAlign w:val="center"/>
            <w:hideMark/>
          </w:tcPr>
          <w:p w14:paraId="5415F70B" w14:textId="77777777" w:rsidR="009F408B" w:rsidRDefault="009F408B">
            <w:pPr>
              <w:jc w:val="center"/>
              <w:rPr>
                <w:color w:val="000000"/>
                <w:sz w:val="20"/>
                <w:szCs w:val="20"/>
              </w:rPr>
            </w:pPr>
            <w:r>
              <w:rPr>
                <w:color w:val="000000"/>
                <w:sz w:val="20"/>
                <w:szCs w:val="20"/>
              </w:rPr>
              <w:t>0.231</w:t>
            </w:r>
          </w:p>
        </w:tc>
        <w:tc>
          <w:tcPr>
            <w:tcW w:w="960" w:type="dxa"/>
            <w:tcBorders>
              <w:top w:val="nil"/>
              <w:left w:val="nil"/>
              <w:bottom w:val="single" w:sz="4" w:space="0" w:color="auto"/>
              <w:right w:val="nil"/>
            </w:tcBorders>
            <w:shd w:val="clear" w:color="auto" w:fill="auto"/>
            <w:noWrap/>
            <w:vAlign w:val="center"/>
            <w:hideMark/>
          </w:tcPr>
          <w:p w14:paraId="69B33224" w14:textId="77777777" w:rsidR="009F408B" w:rsidRDefault="009F408B">
            <w:pPr>
              <w:jc w:val="center"/>
              <w:rPr>
                <w:color w:val="000000"/>
                <w:sz w:val="20"/>
                <w:szCs w:val="20"/>
              </w:rPr>
            </w:pPr>
            <w:r>
              <w:rPr>
                <w:color w:val="000000"/>
                <w:sz w:val="20"/>
                <w:szCs w:val="20"/>
              </w:rPr>
              <w:t>—</w:t>
            </w:r>
          </w:p>
        </w:tc>
        <w:tc>
          <w:tcPr>
            <w:tcW w:w="960" w:type="dxa"/>
            <w:tcBorders>
              <w:top w:val="nil"/>
              <w:left w:val="nil"/>
              <w:bottom w:val="single" w:sz="4" w:space="0" w:color="auto"/>
              <w:right w:val="nil"/>
            </w:tcBorders>
            <w:shd w:val="clear" w:color="auto" w:fill="auto"/>
            <w:noWrap/>
            <w:vAlign w:val="center"/>
            <w:hideMark/>
          </w:tcPr>
          <w:p w14:paraId="1A97846B" w14:textId="77777777" w:rsidR="009F408B" w:rsidRDefault="009F408B">
            <w:pPr>
              <w:jc w:val="center"/>
              <w:rPr>
                <w:color w:val="000000"/>
                <w:sz w:val="20"/>
                <w:szCs w:val="20"/>
              </w:rPr>
            </w:pPr>
            <w:r>
              <w:rPr>
                <w:color w:val="000000"/>
                <w:sz w:val="20"/>
                <w:szCs w:val="20"/>
              </w:rPr>
              <w:t>0.150</w:t>
            </w:r>
          </w:p>
        </w:tc>
        <w:tc>
          <w:tcPr>
            <w:tcW w:w="960" w:type="dxa"/>
            <w:tcBorders>
              <w:top w:val="nil"/>
              <w:left w:val="nil"/>
              <w:bottom w:val="single" w:sz="4" w:space="0" w:color="auto"/>
              <w:right w:val="nil"/>
            </w:tcBorders>
            <w:shd w:val="clear" w:color="auto" w:fill="auto"/>
            <w:noWrap/>
            <w:vAlign w:val="center"/>
            <w:hideMark/>
          </w:tcPr>
          <w:p w14:paraId="41BFC195" w14:textId="77777777" w:rsidR="009F408B" w:rsidRDefault="009F408B">
            <w:pPr>
              <w:jc w:val="center"/>
              <w:rPr>
                <w:color w:val="000000"/>
                <w:sz w:val="20"/>
                <w:szCs w:val="20"/>
              </w:rPr>
            </w:pPr>
            <w:r>
              <w:rPr>
                <w:color w:val="000000"/>
                <w:sz w:val="20"/>
                <w:szCs w:val="20"/>
              </w:rPr>
              <w:t>0.643</w:t>
            </w:r>
          </w:p>
        </w:tc>
      </w:tr>
    </w:tbl>
    <w:p w14:paraId="2E7EF79A" w14:textId="06DFA889" w:rsidR="00F12A06" w:rsidRDefault="008247CF">
      <w:pPr>
        <w:rPr>
          <w:color w:val="000000"/>
          <w:sz w:val="20"/>
          <w:szCs w:val="20"/>
        </w:rPr>
        <w:sectPr w:rsidR="00F12A06" w:rsidSect="009F408B">
          <w:pgSz w:w="15840" w:h="12240" w:orient="landscape"/>
          <w:pgMar w:top="1440" w:right="1440" w:bottom="1440" w:left="1440" w:header="720" w:footer="720" w:gutter="0"/>
          <w:cols w:space="720"/>
          <w:docGrid w:linePitch="326"/>
        </w:sectPr>
      </w:pPr>
      <w:r w:rsidRPr="008247CF">
        <w:rPr>
          <w:i/>
          <w:iCs/>
          <w:color w:val="000000" w:themeColor="text1"/>
          <w:sz w:val="20"/>
          <w:szCs w:val="20"/>
        </w:rPr>
        <w:t xml:space="preserve">Note. </w:t>
      </w:r>
      <w:r w:rsidRPr="008247CF">
        <w:rPr>
          <w:color w:val="000000" w:themeColor="text1"/>
          <w:sz w:val="20"/>
          <w:szCs w:val="20"/>
        </w:rPr>
        <w:t xml:space="preserve">General factor loadings less than 0.4 are highlighted in bold. </w:t>
      </w:r>
      <w:r w:rsidRPr="008247CF">
        <w:rPr>
          <w:color w:val="000000"/>
          <w:sz w:val="20"/>
          <w:szCs w:val="20"/>
        </w:rPr>
        <w:sym w:font="Symbol" w:char="F06C"/>
      </w:r>
      <w:r w:rsidRPr="008247CF">
        <w:rPr>
          <w:color w:val="000000"/>
          <w:sz w:val="20"/>
          <w:szCs w:val="20"/>
          <w:vertAlign w:val="subscript"/>
        </w:rPr>
        <w:t>G</w:t>
      </w:r>
      <w:r w:rsidRPr="008247CF">
        <w:rPr>
          <w:color w:val="000000"/>
          <w:sz w:val="20"/>
          <w:szCs w:val="20"/>
        </w:rPr>
        <w:t xml:space="preserve"> = general factor loading;</w:t>
      </w:r>
      <w:r w:rsidRPr="008247CF">
        <w:rPr>
          <w:color w:val="000000" w:themeColor="text1"/>
          <w:sz w:val="20"/>
          <w:szCs w:val="20"/>
        </w:rPr>
        <w:t xml:space="preserve"> </w:t>
      </w:r>
      <w:r w:rsidRPr="008247CF">
        <w:rPr>
          <w:color w:val="000000"/>
          <w:sz w:val="20"/>
          <w:szCs w:val="20"/>
        </w:rPr>
        <w:sym w:font="Symbol" w:char="F06C"/>
      </w:r>
      <w:r w:rsidRPr="008247CF">
        <w:rPr>
          <w:color w:val="000000"/>
          <w:sz w:val="20"/>
          <w:szCs w:val="20"/>
          <w:vertAlign w:val="subscript"/>
        </w:rPr>
        <w:t>DIF</w:t>
      </w:r>
      <w:r w:rsidRPr="008247CF">
        <w:rPr>
          <w:color w:val="000000"/>
          <w:sz w:val="20"/>
          <w:szCs w:val="20"/>
        </w:rPr>
        <w:t xml:space="preserve"> = difficulty identifying feelings factor loading</w:t>
      </w:r>
      <w:r>
        <w:rPr>
          <w:color w:val="000000" w:themeColor="text1"/>
          <w:sz w:val="20"/>
          <w:szCs w:val="20"/>
        </w:rPr>
        <w:t>;</w:t>
      </w:r>
      <w:r w:rsidRPr="008247CF">
        <w:rPr>
          <w:color w:val="000000" w:themeColor="text1"/>
          <w:sz w:val="20"/>
          <w:szCs w:val="20"/>
        </w:rPr>
        <w:t xml:space="preserve"> </w:t>
      </w:r>
      <w:r w:rsidRPr="008247CF">
        <w:rPr>
          <w:color w:val="000000"/>
          <w:sz w:val="20"/>
          <w:szCs w:val="20"/>
        </w:rPr>
        <w:sym w:font="Symbol" w:char="F06C"/>
      </w:r>
      <w:r w:rsidRPr="008247CF">
        <w:rPr>
          <w:color w:val="000000"/>
          <w:sz w:val="20"/>
          <w:szCs w:val="20"/>
          <w:vertAlign w:val="subscript"/>
        </w:rPr>
        <w:t>DDF</w:t>
      </w:r>
      <w:r w:rsidRPr="008247CF">
        <w:rPr>
          <w:color w:val="000000"/>
          <w:sz w:val="20"/>
          <w:szCs w:val="20"/>
        </w:rPr>
        <w:t xml:space="preserve"> = difficulty describing feelings factor loading</w:t>
      </w:r>
      <w:r>
        <w:rPr>
          <w:color w:val="000000" w:themeColor="text1"/>
          <w:sz w:val="20"/>
          <w:szCs w:val="20"/>
        </w:rPr>
        <w:t>;</w:t>
      </w:r>
      <w:r w:rsidRPr="008247CF">
        <w:rPr>
          <w:color w:val="000000" w:themeColor="text1"/>
          <w:sz w:val="20"/>
          <w:szCs w:val="20"/>
        </w:rPr>
        <w:t xml:space="preserve"> </w:t>
      </w:r>
      <w:r w:rsidRPr="008247CF">
        <w:rPr>
          <w:color w:val="000000"/>
          <w:sz w:val="20"/>
          <w:szCs w:val="20"/>
        </w:rPr>
        <w:sym w:font="Symbol" w:char="F06C"/>
      </w:r>
      <w:r w:rsidRPr="008247CF">
        <w:rPr>
          <w:color w:val="000000"/>
          <w:sz w:val="20"/>
          <w:szCs w:val="20"/>
          <w:vertAlign w:val="subscript"/>
        </w:rPr>
        <w:t>EOT</w:t>
      </w:r>
      <w:r w:rsidRPr="008247CF">
        <w:rPr>
          <w:color w:val="000000"/>
          <w:sz w:val="20"/>
          <w:szCs w:val="20"/>
        </w:rPr>
        <w:t xml:space="preserve"> = externally-oriented thinking factor loading</w:t>
      </w:r>
      <w:r>
        <w:rPr>
          <w:color w:val="000000" w:themeColor="text1"/>
          <w:sz w:val="20"/>
          <w:szCs w:val="20"/>
        </w:rPr>
        <w:t>;</w:t>
      </w:r>
      <w:r w:rsidRPr="008247CF">
        <w:rPr>
          <w:color w:val="000000" w:themeColor="text1"/>
          <w:sz w:val="20"/>
          <w:szCs w:val="20"/>
        </w:rPr>
        <w:t xml:space="preserve"> </w:t>
      </w:r>
      <w:r w:rsidRPr="008247CF">
        <w:rPr>
          <w:color w:val="000000"/>
          <w:sz w:val="20"/>
          <w:szCs w:val="20"/>
        </w:rPr>
        <w:sym w:font="Symbol" w:char="F06C"/>
      </w:r>
      <w:r w:rsidRPr="008247CF">
        <w:rPr>
          <w:color w:val="000000"/>
          <w:sz w:val="20"/>
          <w:szCs w:val="20"/>
          <w:vertAlign w:val="subscript"/>
        </w:rPr>
        <w:t>REV</w:t>
      </w:r>
      <w:r w:rsidRPr="008247CF">
        <w:rPr>
          <w:color w:val="000000"/>
          <w:sz w:val="20"/>
          <w:szCs w:val="20"/>
        </w:rPr>
        <w:t xml:space="preserve"> = reverse-coded item method factor loading</w:t>
      </w:r>
      <w:r>
        <w:rPr>
          <w:color w:val="000000"/>
          <w:sz w:val="20"/>
          <w:szCs w:val="20"/>
        </w:rPr>
        <w:t xml:space="preserve">; </w:t>
      </w:r>
      <w:r>
        <w:rPr>
          <w:i/>
          <w:iCs/>
          <w:color w:val="000000"/>
          <w:sz w:val="20"/>
          <w:szCs w:val="20"/>
        </w:rPr>
        <w:t>h</w:t>
      </w:r>
      <w:r>
        <w:rPr>
          <w:color w:val="000000"/>
          <w:sz w:val="20"/>
          <w:szCs w:val="20"/>
          <w:vertAlign w:val="superscript"/>
        </w:rPr>
        <w:t>2</w:t>
      </w:r>
      <w:r>
        <w:rPr>
          <w:color w:val="000000"/>
          <w:sz w:val="20"/>
          <w:szCs w:val="20"/>
        </w:rPr>
        <w:t xml:space="preserve"> = communality (sum of squared loadings); </w:t>
      </w:r>
      <w:r>
        <w:rPr>
          <w:i/>
          <w:iCs/>
          <w:color w:val="000000"/>
          <w:sz w:val="20"/>
          <w:szCs w:val="20"/>
        </w:rPr>
        <w:t>I-ECV</w:t>
      </w:r>
      <w:r>
        <w:rPr>
          <w:color w:val="000000"/>
          <w:sz w:val="20"/>
          <w:szCs w:val="20"/>
        </w:rPr>
        <w:t xml:space="preserve"> = item explained common variance.</w:t>
      </w:r>
    </w:p>
    <w:p w14:paraId="0E564160" w14:textId="77777777" w:rsidR="008247CF" w:rsidRPr="00FE5C92" w:rsidRDefault="008247CF" w:rsidP="008247CF"/>
    <w:p w14:paraId="3CCC79AA" w14:textId="7E789161" w:rsidR="00175DD7" w:rsidRPr="00675910" w:rsidRDefault="00675910" w:rsidP="00675910">
      <w:pPr>
        <w:pStyle w:val="Heading1"/>
        <w:jc w:val="center"/>
        <w:rPr>
          <w:rFonts w:ascii="Times New Roman" w:hAnsi="Times New Roman" w:cs="Times New Roman"/>
          <w:b/>
          <w:bCs/>
          <w:color w:val="000000" w:themeColor="text1"/>
          <w:sz w:val="24"/>
          <w:szCs w:val="24"/>
        </w:rPr>
      </w:pPr>
      <w:bookmarkStart w:id="14" w:name="_Toc53212461"/>
      <w:r w:rsidRPr="00675910">
        <w:rPr>
          <w:rFonts w:ascii="Times New Roman" w:hAnsi="Times New Roman" w:cs="Times New Roman"/>
          <w:b/>
          <w:bCs/>
          <w:color w:val="000000" w:themeColor="text1"/>
          <w:sz w:val="24"/>
          <w:szCs w:val="24"/>
        </w:rPr>
        <w:t xml:space="preserve">Supplemental </w:t>
      </w:r>
      <w:r w:rsidR="00175DD7" w:rsidRPr="00675910">
        <w:rPr>
          <w:rFonts w:ascii="Times New Roman" w:hAnsi="Times New Roman" w:cs="Times New Roman"/>
          <w:b/>
          <w:bCs/>
          <w:color w:val="000000" w:themeColor="text1"/>
          <w:sz w:val="24"/>
          <w:szCs w:val="24"/>
        </w:rPr>
        <w:t>References</w:t>
      </w:r>
      <w:bookmarkEnd w:id="14"/>
    </w:p>
    <w:p w14:paraId="5499E8C8" w14:textId="77777777" w:rsidR="008247CF" w:rsidRPr="008247CF" w:rsidRDefault="008247CF" w:rsidP="008247CF">
      <w:pPr>
        <w:rPr>
          <w:color w:val="000000" w:themeColor="text1"/>
          <w:sz w:val="20"/>
          <w:szCs w:val="20"/>
        </w:rPr>
      </w:pPr>
    </w:p>
    <w:p w14:paraId="68D404A4" w14:textId="77777777" w:rsidR="00175DD7" w:rsidRPr="00175DD7" w:rsidRDefault="00175DD7" w:rsidP="00175DD7">
      <w:pPr>
        <w:pStyle w:val="Bibliography"/>
      </w:pPr>
      <w:r>
        <w:fldChar w:fldCharType="begin"/>
      </w:r>
      <w:r>
        <w:instrText xml:space="preserve"> ADDIN ZOTERO_BIBL {"uncited":[],"omitted":[],"custom":[]} CSL_BIBLIOGRAPHY </w:instrText>
      </w:r>
      <w:r>
        <w:fldChar w:fldCharType="separate"/>
      </w:r>
      <w:r w:rsidRPr="00175DD7">
        <w:t xml:space="preserve">Beck, A. T., Steer, R. A., &amp; Brown, G. K. (1996). </w:t>
      </w:r>
      <w:r w:rsidRPr="00175DD7">
        <w:rPr>
          <w:i/>
          <w:iCs/>
        </w:rPr>
        <w:t>BDI-II, Beck Depression Inventory: Manual</w:t>
      </w:r>
      <w:r w:rsidRPr="00175DD7">
        <w:t xml:space="preserve"> (2nd ed). Psychological Corporation.</w:t>
      </w:r>
    </w:p>
    <w:p w14:paraId="28C30742" w14:textId="77777777" w:rsidR="00175DD7" w:rsidRPr="00175DD7" w:rsidRDefault="00175DD7" w:rsidP="00175DD7">
      <w:pPr>
        <w:pStyle w:val="Bibliography"/>
      </w:pPr>
      <w:r w:rsidRPr="00175DD7">
        <w:t xml:space="preserve">Bishop, S. L., Hus, V., Duncan, A., Huerta, M., Gotham, K., Pickles, A., Kreiger, A., Buja, A., Lund, S., &amp; Lord, C. (2013). Subcategories of restricted and repetitive behaviors in children with autism spectrum disorders. </w:t>
      </w:r>
      <w:r w:rsidRPr="00175DD7">
        <w:rPr>
          <w:i/>
          <w:iCs/>
        </w:rPr>
        <w:t>Journal of Autism and Developmental Disorders</w:t>
      </w:r>
      <w:r w:rsidRPr="00175DD7">
        <w:t xml:space="preserve">, </w:t>
      </w:r>
      <w:r w:rsidRPr="00175DD7">
        <w:rPr>
          <w:i/>
          <w:iCs/>
        </w:rPr>
        <w:t>43</w:t>
      </w:r>
      <w:r w:rsidRPr="00175DD7">
        <w:t>(6), 1287–1297. https://doi.org/10.1007/s10803-012-1671-0</w:t>
      </w:r>
    </w:p>
    <w:p w14:paraId="5CFA363B" w14:textId="77777777" w:rsidR="00175DD7" w:rsidRPr="00175DD7" w:rsidRDefault="00175DD7" w:rsidP="00175DD7">
      <w:pPr>
        <w:pStyle w:val="Bibliography"/>
      </w:pPr>
      <w:r w:rsidRPr="00175DD7">
        <w:t xml:space="preserve">Bodfish, J. W., Symons, F. J., Parker, D. E., &amp; Lewis, M. H. (2000). Varieties of repetitive behavior in autism: Comparisons to mental retardation. </w:t>
      </w:r>
      <w:r w:rsidRPr="00175DD7">
        <w:rPr>
          <w:i/>
          <w:iCs/>
        </w:rPr>
        <w:t>Journal of Autism and Developmental Disorders</w:t>
      </w:r>
      <w:r w:rsidRPr="00175DD7">
        <w:t xml:space="preserve">, </w:t>
      </w:r>
      <w:r w:rsidRPr="00175DD7">
        <w:rPr>
          <w:i/>
          <w:iCs/>
        </w:rPr>
        <w:t>30</w:t>
      </w:r>
      <w:r w:rsidRPr="00175DD7">
        <w:t>(3), 237–243. https://doi.org/10.1023/A:1005596502855</w:t>
      </w:r>
    </w:p>
    <w:p w14:paraId="05FF6BAD" w14:textId="77777777" w:rsidR="00175DD7" w:rsidRPr="00175DD7" w:rsidRDefault="00175DD7" w:rsidP="00175DD7">
      <w:pPr>
        <w:pStyle w:val="Bibliography"/>
      </w:pPr>
      <w:r w:rsidRPr="00175DD7">
        <w:t xml:space="preserve">Boulton, K., &amp; Guastella, A. (2020). Measuring social anxiety in adults with autism spectrum disorder: Psychometric properties of self-report instruments. </w:t>
      </w:r>
      <w:r w:rsidRPr="00175DD7">
        <w:rPr>
          <w:i/>
          <w:iCs/>
        </w:rPr>
        <w:t>PsyArXiv</w:t>
      </w:r>
      <w:r w:rsidRPr="00175DD7">
        <w:t>. https://doi.org/10.31234/osf.io/wakrb</w:t>
      </w:r>
    </w:p>
    <w:p w14:paraId="32D27117" w14:textId="77777777" w:rsidR="00175DD7" w:rsidRPr="00175DD7" w:rsidRDefault="00175DD7" w:rsidP="00175DD7">
      <w:pPr>
        <w:pStyle w:val="Bibliography"/>
      </w:pPr>
      <w:r w:rsidRPr="00175DD7">
        <w:t xml:space="preserve">Breen, R., Holm, A., &amp; Karlson, K. B. (2014). Correlations and nonlinear probability models. </w:t>
      </w:r>
      <w:r w:rsidRPr="00175DD7">
        <w:rPr>
          <w:i/>
          <w:iCs/>
        </w:rPr>
        <w:t>Sociological Methods &amp; Research</w:t>
      </w:r>
      <w:r w:rsidRPr="00175DD7">
        <w:t xml:space="preserve">, </w:t>
      </w:r>
      <w:r w:rsidRPr="00175DD7">
        <w:rPr>
          <w:i/>
          <w:iCs/>
        </w:rPr>
        <w:t>43</w:t>
      </w:r>
      <w:r w:rsidRPr="00175DD7">
        <w:t>(4), 571–605. https://doi.org/10.1177/0049124114544224</w:t>
      </w:r>
    </w:p>
    <w:p w14:paraId="4E493D65" w14:textId="77777777" w:rsidR="00175DD7" w:rsidRPr="00175DD7" w:rsidRDefault="00175DD7" w:rsidP="00175DD7">
      <w:pPr>
        <w:pStyle w:val="Bibliography"/>
      </w:pPr>
      <w:r w:rsidRPr="00175DD7">
        <w:t xml:space="preserve">Brouwer, D., Meijer, R. R., &amp; Zevalkink, J. (2013). On the factor structure of the Beck Depression Inventory-II: G is the key. </w:t>
      </w:r>
      <w:r w:rsidRPr="00175DD7">
        <w:rPr>
          <w:i/>
          <w:iCs/>
        </w:rPr>
        <w:t>Psychological Assessment</w:t>
      </w:r>
      <w:r w:rsidRPr="00175DD7">
        <w:t xml:space="preserve">, </w:t>
      </w:r>
      <w:r w:rsidRPr="00175DD7">
        <w:rPr>
          <w:i/>
          <w:iCs/>
        </w:rPr>
        <w:t>25</w:t>
      </w:r>
      <w:r w:rsidRPr="00175DD7">
        <w:t>(1), 136–145. https://doi.org/10.1037/a0029228</w:t>
      </w:r>
    </w:p>
    <w:p w14:paraId="6AC534D0" w14:textId="77777777" w:rsidR="00175DD7" w:rsidRPr="00175DD7" w:rsidRDefault="00175DD7" w:rsidP="00175DD7">
      <w:pPr>
        <w:pStyle w:val="Bibliography"/>
      </w:pPr>
      <w:r w:rsidRPr="00175DD7">
        <w:t xml:space="preserve">Bruni, T. P. (2014). Test Review: Social Responsiveness Scale–Second Edition (SRS-2). </w:t>
      </w:r>
      <w:r w:rsidRPr="00175DD7">
        <w:rPr>
          <w:i/>
          <w:iCs/>
        </w:rPr>
        <w:t>Journal of Psychoeducational Assessment</w:t>
      </w:r>
      <w:r w:rsidRPr="00175DD7">
        <w:t xml:space="preserve">, </w:t>
      </w:r>
      <w:r w:rsidRPr="00175DD7">
        <w:rPr>
          <w:i/>
          <w:iCs/>
        </w:rPr>
        <w:t>32</w:t>
      </w:r>
      <w:r w:rsidRPr="00175DD7">
        <w:t>(4), 365–369. https://doi.org/10.1177/0734282913517525</w:t>
      </w:r>
    </w:p>
    <w:p w14:paraId="2A8809B2" w14:textId="77777777" w:rsidR="00175DD7" w:rsidRPr="00175DD7" w:rsidRDefault="00175DD7" w:rsidP="00175DD7">
      <w:pPr>
        <w:pStyle w:val="Bibliography"/>
      </w:pPr>
      <w:r w:rsidRPr="00175DD7">
        <w:lastRenderedPageBreak/>
        <w:t xml:space="preserve">Bürkner, P.-C. (2017). brms: An R package for Bayesian multilevel models using Stan. </w:t>
      </w:r>
      <w:r w:rsidRPr="00175DD7">
        <w:rPr>
          <w:i/>
          <w:iCs/>
        </w:rPr>
        <w:t>Journal of Statistical Software</w:t>
      </w:r>
      <w:r w:rsidRPr="00175DD7">
        <w:t xml:space="preserve">, </w:t>
      </w:r>
      <w:r w:rsidRPr="00175DD7">
        <w:rPr>
          <w:i/>
          <w:iCs/>
        </w:rPr>
        <w:t>80</w:t>
      </w:r>
      <w:r w:rsidRPr="00175DD7">
        <w:t>(1). https://doi.org/10.18637/jss.v080.i01</w:t>
      </w:r>
    </w:p>
    <w:p w14:paraId="3FE8CE80" w14:textId="77777777" w:rsidR="00175DD7" w:rsidRPr="00175DD7" w:rsidRDefault="00175DD7" w:rsidP="00175DD7">
      <w:pPr>
        <w:pStyle w:val="Bibliography"/>
      </w:pPr>
      <w:r w:rsidRPr="00175DD7">
        <w:t xml:space="preserve">Capriola, N. N., Maddox, B. B., &amp; White, S. W. (2017). No Offense Intended: Fear of Negative Evaluation in Adolescents and Adults with Autism Spectrum Disorder. </w:t>
      </w:r>
      <w:r w:rsidRPr="00175DD7">
        <w:rPr>
          <w:i/>
          <w:iCs/>
        </w:rPr>
        <w:t>Journal of Autism and Developmental Disorders</w:t>
      </w:r>
      <w:r w:rsidRPr="00175DD7">
        <w:t xml:space="preserve">, </w:t>
      </w:r>
      <w:r w:rsidRPr="00175DD7">
        <w:rPr>
          <w:i/>
          <w:iCs/>
        </w:rPr>
        <w:t>47</w:t>
      </w:r>
      <w:r w:rsidRPr="00175DD7">
        <w:t>(12), 3803–3813. https://doi.org/10.1007/s10803-016-2827-0</w:t>
      </w:r>
    </w:p>
    <w:p w14:paraId="6146E05C" w14:textId="77777777" w:rsidR="00175DD7" w:rsidRPr="00175DD7" w:rsidRDefault="00175DD7" w:rsidP="00175DD7">
      <w:pPr>
        <w:pStyle w:val="Bibliography"/>
      </w:pPr>
      <w:r w:rsidRPr="00175DD7">
        <w:t xml:space="preserve">Carleton, R. N., Collimore, K. C., McCabe, R. E., &amp; Antony, M. M. (2011). Addressing revisions to the Brief Fear of Negative Evaluation scale: Measuring fear of negative evaluation across anxiety and mood disorders. </w:t>
      </w:r>
      <w:r w:rsidRPr="00175DD7">
        <w:rPr>
          <w:i/>
          <w:iCs/>
        </w:rPr>
        <w:t>Journal of Anxiety Disorders</w:t>
      </w:r>
      <w:r w:rsidRPr="00175DD7">
        <w:t xml:space="preserve">, </w:t>
      </w:r>
      <w:r w:rsidRPr="00175DD7">
        <w:rPr>
          <w:i/>
          <w:iCs/>
        </w:rPr>
        <w:t>25</w:t>
      </w:r>
      <w:r w:rsidRPr="00175DD7">
        <w:t>(6), 822–828. https://doi.org/10.1016/j.janxdis.2011.04.002</w:t>
      </w:r>
    </w:p>
    <w:p w14:paraId="771A1DC8" w14:textId="77777777" w:rsidR="00175DD7" w:rsidRPr="00175DD7" w:rsidRDefault="00175DD7" w:rsidP="00175DD7">
      <w:pPr>
        <w:pStyle w:val="Bibliography"/>
      </w:pPr>
      <w:r w:rsidRPr="00175DD7">
        <w:t xml:space="preserve">Constantino, J. N., &amp; Gruber, C. P. (2012). </w:t>
      </w:r>
      <w:r w:rsidRPr="00175DD7">
        <w:rPr>
          <w:i/>
          <w:iCs/>
        </w:rPr>
        <w:t>Social Responsiveness Scale–Second Edition (SRS-2): Manual</w:t>
      </w:r>
      <w:r w:rsidRPr="00175DD7">
        <w:t xml:space="preserve"> (2nd ed.). Western Psychological Services.</w:t>
      </w:r>
    </w:p>
    <w:p w14:paraId="3FF5853B" w14:textId="77777777" w:rsidR="00175DD7" w:rsidRPr="00175DD7" w:rsidRDefault="00175DD7" w:rsidP="00175DD7">
      <w:pPr>
        <w:pStyle w:val="Bibliography"/>
      </w:pPr>
      <w:r w:rsidRPr="00175DD7">
        <w:t xml:space="preserve">Gelman, A., &amp; Rubin, D. B. (1992). Inference from iterative simulation using multiple sequences. </w:t>
      </w:r>
      <w:r w:rsidRPr="00175DD7">
        <w:rPr>
          <w:i/>
          <w:iCs/>
        </w:rPr>
        <w:t>Statistical Science</w:t>
      </w:r>
      <w:r w:rsidRPr="00175DD7">
        <w:t xml:space="preserve">, </w:t>
      </w:r>
      <w:r w:rsidRPr="00175DD7">
        <w:rPr>
          <w:i/>
          <w:iCs/>
        </w:rPr>
        <w:t>7</w:t>
      </w:r>
      <w:r w:rsidRPr="00175DD7">
        <w:t>(4), 457–472. https://doi.org/10.1214/ss/1177011136</w:t>
      </w:r>
    </w:p>
    <w:p w14:paraId="490500C6" w14:textId="77777777" w:rsidR="00175DD7" w:rsidRPr="00175DD7" w:rsidRDefault="00175DD7" w:rsidP="00175DD7">
      <w:pPr>
        <w:pStyle w:val="Bibliography"/>
      </w:pPr>
      <w:r w:rsidRPr="00175DD7">
        <w:t xml:space="preserve">Goldberg, L. R., Johnson, J. A., Eber, H. W., Hogan, R., Ashton, M. C., Cloninger, C. R., &amp; Gough, H. G. (2006). The international personality item pool and the future of public-domain personality measures. </w:t>
      </w:r>
      <w:r w:rsidRPr="00175DD7">
        <w:rPr>
          <w:i/>
          <w:iCs/>
        </w:rPr>
        <w:t>Journal of Research in Personality</w:t>
      </w:r>
      <w:r w:rsidRPr="00175DD7">
        <w:t xml:space="preserve">, </w:t>
      </w:r>
      <w:r w:rsidRPr="00175DD7">
        <w:rPr>
          <w:i/>
          <w:iCs/>
        </w:rPr>
        <w:t>40</w:t>
      </w:r>
      <w:r w:rsidRPr="00175DD7">
        <w:t>(1), 84–96. https://doi.org/10.1016/j.jrp.2005.08.007</w:t>
      </w:r>
    </w:p>
    <w:p w14:paraId="5FFB8BB0" w14:textId="77777777" w:rsidR="00175DD7" w:rsidRPr="00175DD7" w:rsidRDefault="00175DD7" w:rsidP="00175DD7">
      <w:pPr>
        <w:pStyle w:val="Bibliography"/>
      </w:pPr>
      <w:r w:rsidRPr="00175DD7">
        <w:t xml:space="preserve">Homan, M. D., &amp; Gelman, A. (2014). The No-U-turn sampler: Adaptively setting path lengths in Hamiltonian Monte Carlo. </w:t>
      </w:r>
      <w:r w:rsidRPr="00175DD7">
        <w:rPr>
          <w:i/>
          <w:iCs/>
        </w:rPr>
        <w:t>The Journal of Machine Learning Research</w:t>
      </w:r>
      <w:r w:rsidRPr="00175DD7">
        <w:t xml:space="preserve">, </w:t>
      </w:r>
      <w:r w:rsidRPr="00175DD7">
        <w:rPr>
          <w:i/>
          <w:iCs/>
        </w:rPr>
        <w:t>15</w:t>
      </w:r>
      <w:r w:rsidRPr="00175DD7">
        <w:t>(1), 1593–1623. https://doi.org/10.5555/2627435.2638586</w:t>
      </w:r>
    </w:p>
    <w:p w14:paraId="502ABE05" w14:textId="77777777" w:rsidR="00175DD7" w:rsidRPr="00175DD7" w:rsidRDefault="00175DD7" w:rsidP="00175DD7">
      <w:pPr>
        <w:pStyle w:val="Bibliography"/>
      </w:pPr>
      <w:r w:rsidRPr="00175DD7">
        <w:t xml:space="preserve">Hull, L., Mandy, W., Lai, M.-C., Baron-Cohen, S., Allison, C., Smith, P., &amp; Petrides, K. V. (2019). Development and validation of the Camouflaging Autistic Traits Questionnaire </w:t>
      </w:r>
      <w:r w:rsidRPr="00175DD7">
        <w:lastRenderedPageBreak/>
        <w:t xml:space="preserve">(CAT-Q). </w:t>
      </w:r>
      <w:r w:rsidRPr="00175DD7">
        <w:rPr>
          <w:i/>
          <w:iCs/>
        </w:rPr>
        <w:t>Journal of Autism and Developmental Disorders</w:t>
      </w:r>
      <w:r w:rsidRPr="00175DD7">
        <w:t xml:space="preserve">, </w:t>
      </w:r>
      <w:r w:rsidRPr="00175DD7">
        <w:rPr>
          <w:i/>
          <w:iCs/>
        </w:rPr>
        <w:t>49</w:t>
      </w:r>
      <w:r w:rsidRPr="00175DD7">
        <w:t>(3), 819–833. https://doi.org/10.1007/s10803-018-3792-6</w:t>
      </w:r>
    </w:p>
    <w:p w14:paraId="12C8B2EA" w14:textId="77777777" w:rsidR="00175DD7" w:rsidRPr="00175DD7" w:rsidRDefault="00175DD7" w:rsidP="00175DD7">
      <w:pPr>
        <w:pStyle w:val="Bibliography"/>
      </w:pPr>
      <w:r w:rsidRPr="00175DD7">
        <w:t xml:space="preserve">Kroenke, K., Spitzer, R. L., &amp; Williams, J. B. W. (2002). The PHQ-15: Validity of a new measure for evaluating the severity of somatic symptoms. </w:t>
      </w:r>
      <w:r w:rsidRPr="00175DD7">
        <w:rPr>
          <w:i/>
          <w:iCs/>
        </w:rPr>
        <w:t>Psychosomatic Medicine</w:t>
      </w:r>
      <w:r w:rsidRPr="00175DD7">
        <w:t xml:space="preserve">, </w:t>
      </w:r>
      <w:r w:rsidRPr="00175DD7">
        <w:rPr>
          <w:i/>
          <w:iCs/>
        </w:rPr>
        <w:t>64</w:t>
      </w:r>
      <w:r w:rsidRPr="00175DD7">
        <w:t>(2), 258–266.</w:t>
      </w:r>
    </w:p>
    <w:p w14:paraId="38848078" w14:textId="77777777" w:rsidR="00175DD7" w:rsidRPr="00175DD7" w:rsidRDefault="00175DD7" w:rsidP="00175DD7">
      <w:pPr>
        <w:pStyle w:val="Bibliography"/>
      </w:pPr>
      <w:r w:rsidRPr="00175DD7">
        <w:t xml:space="preserve">Kroenke, K., Spitzer, R. L., Williams, J. B. W., &amp; Löwe, B. (2010). The Patient Health Questionnaire somatic, anxiety, and depressive symptom scales: A systematic review. </w:t>
      </w:r>
      <w:r w:rsidRPr="00175DD7">
        <w:rPr>
          <w:i/>
          <w:iCs/>
        </w:rPr>
        <w:t>General Hospital Psychiatry</w:t>
      </w:r>
      <w:r w:rsidRPr="00175DD7">
        <w:t xml:space="preserve">, </w:t>
      </w:r>
      <w:r w:rsidRPr="00175DD7">
        <w:rPr>
          <w:i/>
          <w:iCs/>
        </w:rPr>
        <w:t>32</w:t>
      </w:r>
      <w:r w:rsidRPr="00175DD7">
        <w:t>(4), 345–359. https://doi.org/10.1016/j.genhosppsych.2010.03.006</w:t>
      </w:r>
    </w:p>
    <w:p w14:paraId="4E413DAE" w14:textId="77777777" w:rsidR="00175DD7" w:rsidRPr="00175DD7" w:rsidRDefault="00175DD7" w:rsidP="00175DD7">
      <w:pPr>
        <w:pStyle w:val="Bibliography"/>
      </w:pPr>
      <w:r w:rsidRPr="00175DD7">
        <w:t xml:space="preserve">Kruschke, J. K. (2013). Bayesian estimation supersedes the t test. </w:t>
      </w:r>
      <w:r w:rsidRPr="00175DD7">
        <w:rPr>
          <w:i/>
          <w:iCs/>
        </w:rPr>
        <w:t>Journal of Experimental Psychology: General</w:t>
      </w:r>
      <w:r w:rsidRPr="00175DD7">
        <w:t xml:space="preserve">, </w:t>
      </w:r>
      <w:r w:rsidRPr="00175DD7">
        <w:rPr>
          <w:i/>
          <w:iCs/>
        </w:rPr>
        <w:t>142</w:t>
      </w:r>
      <w:r w:rsidRPr="00175DD7">
        <w:t>(2), 573–603. https://doi.org/10.1037/a0029146</w:t>
      </w:r>
    </w:p>
    <w:p w14:paraId="37E81DFE" w14:textId="77777777" w:rsidR="00175DD7" w:rsidRPr="00175DD7" w:rsidRDefault="00175DD7" w:rsidP="00175DD7">
      <w:pPr>
        <w:pStyle w:val="Bibliography"/>
      </w:pPr>
      <w:r w:rsidRPr="00175DD7">
        <w:t xml:space="preserve">Kurz, A. S. (2019, February 10). Bayesian robust correlations with brms (and why you should love Student’s t). </w:t>
      </w:r>
      <w:r w:rsidRPr="00175DD7">
        <w:rPr>
          <w:i/>
          <w:iCs/>
        </w:rPr>
        <w:t>A. Solomon Kurz</w:t>
      </w:r>
      <w:r w:rsidRPr="00175DD7">
        <w:t>. https://solomonkurz.netlify.app/post/bayesian-robust-correlations-with-brms-and-why-you-should-love-student-s-t/</w:t>
      </w:r>
    </w:p>
    <w:p w14:paraId="5ED374AF" w14:textId="77777777" w:rsidR="00175DD7" w:rsidRPr="00175DD7" w:rsidRDefault="00175DD7" w:rsidP="00175DD7">
      <w:pPr>
        <w:pStyle w:val="Bibliography"/>
      </w:pPr>
      <w:r w:rsidRPr="00175DD7">
        <w:t xml:space="preserve">Lam, K. S. L., &amp; Aman, M. G. (2007). The Repetitive Behavior Scale-Revised: Independent validation in individuals with autism spectrum disorders. </w:t>
      </w:r>
      <w:r w:rsidRPr="00175DD7">
        <w:rPr>
          <w:i/>
          <w:iCs/>
        </w:rPr>
        <w:t>Journal of Autism and Developmental Disorders</w:t>
      </w:r>
      <w:r w:rsidRPr="00175DD7">
        <w:t xml:space="preserve">, </w:t>
      </w:r>
      <w:r w:rsidRPr="00175DD7">
        <w:rPr>
          <w:i/>
          <w:iCs/>
        </w:rPr>
        <w:t>37</w:t>
      </w:r>
      <w:r w:rsidRPr="00175DD7">
        <w:t>(5), 855–866. https://doi.org/10.1007/s10803-006-0213-z</w:t>
      </w:r>
    </w:p>
    <w:p w14:paraId="71304E7D" w14:textId="77777777" w:rsidR="00175DD7" w:rsidRPr="00175DD7" w:rsidRDefault="00175DD7" w:rsidP="00175DD7">
      <w:pPr>
        <w:pStyle w:val="Bibliography"/>
      </w:pPr>
      <w:r w:rsidRPr="00175DD7">
        <w:t xml:space="preserve">Leary, M. R. (1983). A brief version of the Fear of Negative Evaluation Scale. </w:t>
      </w:r>
      <w:r w:rsidRPr="00175DD7">
        <w:rPr>
          <w:i/>
          <w:iCs/>
        </w:rPr>
        <w:t>Personality and Social Psychology Bulletin</w:t>
      </w:r>
      <w:r w:rsidRPr="00175DD7">
        <w:t xml:space="preserve">, </w:t>
      </w:r>
      <w:r w:rsidRPr="00175DD7">
        <w:rPr>
          <w:i/>
          <w:iCs/>
        </w:rPr>
        <w:t>9</w:t>
      </w:r>
      <w:r w:rsidRPr="00175DD7">
        <w:t>(3), 371–375. https://doi.org/10.1177/0146167283093007</w:t>
      </w:r>
    </w:p>
    <w:p w14:paraId="65400758" w14:textId="77777777" w:rsidR="00175DD7" w:rsidRPr="00175DD7" w:rsidRDefault="00175DD7" w:rsidP="00175DD7">
      <w:pPr>
        <w:pStyle w:val="Bibliography"/>
      </w:pPr>
      <w:r w:rsidRPr="00175DD7">
        <w:t xml:space="preserve">Lewandowski, D., Kurowicka, D., &amp; Joe, H. (2009). Generating random correlation matrices based on vines and extended onion method. </w:t>
      </w:r>
      <w:r w:rsidRPr="00175DD7">
        <w:rPr>
          <w:i/>
          <w:iCs/>
        </w:rPr>
        <w:t>Journal of Multivariate Analysis</w:t>
      </w:r>
      <w:r w:rsidRPr="00175DD7">
        <w:t xml:space="preserve">, </w:t>
      </w:r>
      <w:r w:rsidRPr="00175DD7">
        <w:rPr>
          <w:i/>
          <w:iCs/>
        </w:rPr>
        <w:t>100</w:t>
      </w:r>
      <w:r w:rsidRPr="00175DD7">
        <w:t>(9), 1989–2001. https://doi.org/10.1016/j.jmva.2009.04.008</w:t>
      </w:r>
    </w:p>
    <w:p w14:paraId="6466B793" w14:textId="77777777" w:rsidR="00175DD7" w:rsidRPr="00175DD7" w:rsidRDefault="00175DD7" w:rsidP="00175DD7">
      <w:pPr>
        <w:pStyle w:val="Bibliography"/>
      </w:pPr>
      <w:r w:rsidRPr="00175DD7">
        <w:lastRenderedPageBreak/>
        <w:t xml:space="preserve">Maddox, B. B., &amp; White, S. W. (2015). Comorbid social anxiety disorder in adults with autism spectrum disorder. </w:t>
      </w:r>
      <w:r w:rsidRPr="00175DD7">
        <w:rPr>
          <w:i/>
          <w:iCs/>
        </w:rPr>
        <w:t>Journal of Autism and Developmental Disorders</w:t>
      </w:r>
      <w:r w:rsidRPr="00175DD7">
        <w:t xml:space="preserve">, </w:t>
      </w:r>
      <w:r w:rsidRPr="00175DD7">
        <w:rPr>
          <w:i/>
          <w:iCs/>
        </w:rPr>
        <w:t>45</w:t>
      </w:r>
      <w:r w:rsidRPr="00175DD7">
        <w:t>(12), 3949–3960. https://doi.org/10.1007/s10803-015-2531-5</w:t>
      </w:r>
    </w:p>
    <w:p w14:paraId="539D5EDD" w14:textId="77777777" w:rsidR="00175DD7" w:rsidRPr="00175DD7" w:rsidRDefault="00175DD7" w:rsidP="00175DD7">
      <w:pPr>
        <w:pStyle w:val="Bibliography"/>
      </w:pPr>
      <w:r w:rsidRPr="00175DD7">
        <w:t xml:space="preserve">McConachie, H., Mason, D., Parr, J. R., Garland, D., Wilson, C., &amp; Rodgers, J. (2018). Enhancing the validity of a quality of life measure for autistic people. </w:t>
      </w:r>
      <w:r w:rsidRPr="00175DD7">
        <w:rPr>
          <w:i/>
          <w:iCs/>
        </w:rPr>
        <w:t>Journal of Autism and Developmental Disorders</w:t>
      </w:r>
      <w:r w:rsidRPr="00175DD7">
        <w:t xml:space="preserve">, </w:t>
      </w:r>
      <w:r w:rsidRPr="00175DD7">
        <w:rPr>
          <w:i/>
          <w:iCs/>
        </w:rPr>
        <w:t>48</w:t>
      </w:r>
      <w:r w:rsidRPr="00175DD7">
        <w:t>(5), 1596–1611. https://doi.org/10.1007/s10803-017-3402-z</w:t>
      </w:r>
    </w:p>
    <w:p w14:paraId="574D23AB" w14:textId="77777777" w:rsidR="00175DD7" w:rsidRPr="00175DD7" w:rsidRDefault="00175DD7" w:rsidP="00175DD7">
      <w:pPr>
        <w:pStyle w:val="Bibliography"/>
      </w:pPr>
      <w:r w:rsidRPr="00175DD7">
        <w:t xml:space="preserve">McDermott, C. R., Farmer, C., Gotham, K. O., &amp; Bal, V. H. (2020). Measurement of subcategories of repetitive behaviors in autistic adolescents and adults. </w:t>
      </w:r>
      <w:r w:rsidRPr="00175DD7">
        <w:rPr>
          <w:i/>
          <w:iCs/>
        </w:rPr>
        <w:t>Autism in Adulthood</w:t>
      </w:r>
      <w:r w:rsidRPr="00175DD7">
        <w:t xml:space="preserve">, </w:t>
      </w:r>
      <w:r w:rsidRPr="00175DD7">
        <w:rPr>
          <w:i/>
          <w:iCs/>
        </w:rPr>
        <w:t>2</w:t>
      </w:r>
      <w:r w:rsidRPr="00175DD7">
        <w:t>(1), 48–60. https://doi.org/10.1089/aut.2019.0056</w:t>
      </w:r>
    </w:p>
    <w:p w14:paraId="455E39BA" w14:textId="77777777" w:rsidR="00175DD7" w:rsidRPr="00175DD7" w:rsidRDefault="00175DD7" w:rsidP="00175DD7">
      <w:pPr>
        <w:pStyle w:val="Bibliography"/>
      </w:pPr>
      <w:r w:rsidRPr="00175DD7">
        <w:t xml:space="preserve">Russell, A., Gaunt, D. M., Cooper, K., Barton, S., Horwood, J., Kessler, D., Metcalfe, C., Ensum, I., Ingham, B., Parr, J. R., Rai, D., &amp; Wiles, N. (2020). The feasibility of low-intensity psychological therapy for depression co-occurring with autism in adults: The Autism Depression Trial (ADEPT) – a pilot randomised controlled trial. </w:t>
      </w:r>
      <w:r w:rsidRPr="00175DD7">
        <w:rPr>
          <w:i/>
          <w:iCs/>
        </w:rPr>
        <w:t>Autism</w:t>
      </w:r>
      <w:r w:rsidRPr="00175DD7">
        <w:t xml:space="preserve">, </w:t>
      </w:r>
      <w:r w:rsidRPr="00175DD7">
        <w:rPr>
          <w:i/>
          <w:iCs/>
        </w:rPr>
        <w:t>24</w:t>
      </w:r>
      <w:r w:rsidRPr="00175DD7">
        <w:t>(6), 1360–1372. https://doi.org/10.1177/1362361319889272</w:t>
      </w:r>
    </w:p>
    <w:p w14:paraId="4AD96FE8" w14:textId="77777777" w:rsidR="00175DD7" w:rsidRPr="00175DD7" w:rsidRDefault="00175DD7" w:rsidP="00175DD7">
      <w:pPr>
        <w:pStyle w:val="Bibliography"/>
      </w:pPr>
      <w:r w:rsidRPr="00175DD7">
        <w:t xml:space="preserve">South, M., Carr, A. W., Stephenson, K. G., Maisel, M. E., &amp; Cox, J. C. (2017). Symptom overlap on the SRS-2 adult self-report between adults with ASD and adults with high anxiety. </w:t>
      </w:r>
      <w:r w:rsidRPr="00175DD7">
        <w:rPr>
          <w:i/>
          <w:iCs/>
        </w:rPr>
        <w:t>Autism Research</w:t>
      </w:r>
      <w:r w:rsidRPr="00175DD7">
        <w:t xml:space="preserve">, </w:t>
      </w:r>
      <w:r w:rsidRPr="00175DD7">
        <w:rPr>
          <w:i/>
          <w:iCs/>
        </w:rPr>
        <w:t>10</w:t>
      </w:r>
      <w:r w:rsidRPr="00175DD7">
        <w:t>(7), 1215–1220. https://doi.org/10.1002/aur.1764</w:t>
      </w:r>
    </w:p>
    <w:p w14:paraId="12A7013C" w14:textId="77777777" w:rsidR="00175DD7" w:rsidRPr="00175DD7" w:rsidRDefault="00175DD7" w:rsidP="00175DD7">
      <w:pPr>
        <w:pStyle w:val="Bibliography"/>
      </w:pPr>
      <w:r w:rsidRPr="00175DD7">
        <w:t xml:space="preserve">Spain, D., Happé, F., Johnston, P., Campbell, M., Sin, J., Daly, E., Ecker, C., Anson, M., Chaplin, E., Glaser, K., Mendez, A., Lovell, K., &amp; Murphy, D. G. (2016). Social anxiety in adult males with autism spectrum disorders. </w:t>
      </w:r>
      <w:r w:rsidRPr="00175DD7">
        <w:rPr>
          <w:i/>
          <w:iCs/>
        </w:rPr>
        <w:t>Research in Autism Spectrum Disorders</w:t>
      </w:r>
      <w:r w:rsidRPr="00175DD7">
        <w:t xml:space="preserve">, </w:t>
      </w:r>
      <w:r w:rsidRPr="00175DD7">
        <w:rPr>
          <w:i/>
          <w:iCs/>
        </w:rPr>
        <w:t>32</w:t>
      </w:r>
      <w:r w:rsidRPr="00175DD7">
        <w:t>, 13–23. https://doi.org/10.1016/j.rasd.2016.08.002</w:t>
      </w:r>
    </w:p>
    <w:p w14:paraId="2BE70821" w14:textId="77777777" w:rsidR="00175DD7" w:rsidRPr="00175DD7" w:rsidRDefault="00175DD7" w:rsidP="00175DD7">
      <w:pPr>
        <w:pStyle w:val="Bibliography"/>
      </w:pPr>
      <w:r w:rsidRPr="00175DD7">
        <w:lastRenderedPageBreak/>
        <w:t xml:space="preserve">Spitzer, R. L., Kroenke, K., Williams, J. B. W., &amp; Löwe, B. (2006). A brief measure for assessing generalized anxiety disorder: The GAD-7. </w:t>
      </w:r>
      <w:r w:rsidRPr="00175DD7">
        <w:rPr>
          <w:i/>
          <w:iCs/>
        </w:rPr>
        <w:t>Archives of Internal Medicine</w:t>
      </w:r>
      <w:r w:rsidRPr="00175DD7">
        <w:t xml:space="preserve">, </w:t>
      </w:r>
      <w:r w:rsidRPr="00175DD7">
        <w:rPr>
          <w:i/>
          <w:iCs/>
        </w:rPr>
        <w:t>166</w:t>
      </w:r>
      <w:r w:rsidRPr="00175DD7">
        <w:t>(10), 1092–1097. https://doi.org/10.1001/archinte.166.10.1092</w:t>
      </w:r>
    </w:p>
    <w:p w14:paraId="592FAFB4" w14:textId="77777777" w:rsidR="00175DD7" w:rsidRPr="00175DD7" w:rsidRDefault="00175DD7" w:rsidP="00175DD7">
      <w:pPr>
        <w:pStyle w:val="Bibliography"/>
      </w:pPr>
      <w:r w:rsidRPr="00175DD7">
        <w:t xml:space="preserve">Tellegen, A., &amp; Waller, N. G. (2008). Exploring personality through test construction: Development of the Multidimensional Personality Questionnaire. In G. J. Boyle, G. Matthews, &amp; D. H. Saklofske (Eds.), </w:t>
      </w:r>
      <w:r w:rsidRPr="00175DD7">
        <w:rPr>
          <w:i/>
          <w:iCs/>
        </w:rPr>
        <w:t>The SAGE Handbook of Personality Theory and Assessment: Personality Measurement and Testing</w:t>
      </w:r>
      <w:r w:rsidRPr="00175DD7">
        <w:t xml:space="preserve"> (Vol. 2, pp. 261–292). SAGE.</w:t>
      </w:r>
    </w:p>
    <w:p w14:paraId="157484CE" w14:textId="77777777" w:rsidR="00175DD7" w:rsidRPr="00175DD7" w:rsidRDefault="00175DD7" w:rsidP="00175DD7">
      <w:pPr>
        <w:pStyle w:val="Bibliography"/>
      </w:pPr>
      <w:r w:rsidRPr="00175DD7">
        <w:t xml:space="preserve">Watson, D., &amp; Friend, R. (1969). Measurement of social-evaluative anxiety. </w:t>
      </w:r>
      <w:r w:rsidRPr="00175DD7">
        <w:rPr>
          <w:i/>
          <w:iCs/>
        </w:rPr>
        <w:t>Journal of Consulting and Clinical Psychology</w:t>
      </w:r>
      <w:r w:rsidRPr="00175DD7">
        <w:t xml:space="preserve">, </w:t>
      </w:r>
      <w:r w:rsidRPr="00175DD7">
        <w:rPr>
          <w:i/>
          <w:iCs/>
        </w:rPr>
        <w:t>33</w:t>
      </w:r>
      <w:r w:rsidRPr="00175DD7">
        <w:t>(4), 448–457. https://doi.org/10.1037/h0027806</w:t>
      </w:r>
    </w:p>
    <w:p w14:paraId="32178257" w14:textId="77777777" w:rsidR="00175DD7" w:rsidRPr="00175DD7" w:rsidRDefault="00175DD7" w:rsidP="00175DD7">
      <w:pPr>
        <w:pStyle w:val="Bibliography"/>
      </w:pPr>
      <w:r w:rsidRPr="00175DD7">
        <w:t xml:space="preserve">Wetzels, R., &amp; Wagenmakers, E.-J. (2012). A default Bayesian hypothesis test for correlations and partial correlations. </w:t>
      </w:r>
      <w:r w:rsidRPr="00175DD7">
        <w:rPr>
          <w:i/>
          <w:iCs/>
        </w:rPr>
        <w:t>Psychonomic Bulletin &amp; Review</w:t>
      </w:r>
      <w:r w:rsidRPr="00175DD7">
        <w:t xml:space="preserve">, </w:t>
      </w:r>
      <w:r w:rsidRPr="00175DD7">
        <w:rPr>
          <w:i/>
          <w:iCs/>
        </w:rPr>
        <w:t>19</w:t>
      </w:r>
      <w:r w:rsidRPr="00175DD7">
        <w:t>(6), 1057–1064. https://doi.org/10.3758/s13423-012-0295-x</w:t>
      </w:r>
    </w:p>
    <w:p w14:paraId="4AF02397" w14:textId="77777777" w:rsidR="00175DD7" w:rsidRPr="00175DD7" w:rsidRDefault="00175DD7" w:rsidP="00175DD7">
      <w:pPr>
        <w:pStyle w:val="Bibliography"/>
      </w:pPr>
      <w:r w:rsidRPr="00175DD7">
        <w:t xml:space="preserve">Williams, Z. J., Everaert, J., &amp; Gotham, K. O. (2020). Measuring Depression in Autistic Adults: Psychometric Validation of the Beck Depression Inventory–II. </w:t>
      </w:r>
      <w:r w:rsidRPr="00175DD7">
        <w:rPr>
          <w:i/>
          <w:iCs/>
        </w:rPr>
        <w:t>Assessment</w:t>
      </w:r>
      <w:r w:rsidRPr="00175DD7">
        <w:t>, 107319112095288. https://doi.org/10.1177/1073191120952889</w:t>
      </w:r>
    </w:p>
    <w:p w14:paraId="7992257A" w14:textId="77777777" w:rsidR="00175DD7" w:rsidRPr="00175DD7" w:rsidRDefault="00175DD7" w:rsidP="00175DD7">
      <w:pPr>
        <w:pStyle w:val="Bibliography"/>
      </w:pPr>
      <w:r w:rsidRPr="00175DD7">
        <w:t xml:space="preserve">Witthöft, M., Fischer, S., Jasper, F., Rist, F., &amp; Nater, U. M. (2016). Clarifying the latent structure and correlates of somatic symptom distress: A bifactor model approach. </w:t>
      </w:r>
      <w:r w:rsidRPr="00175DD7">
        <w:rPr>
          <w:i/>
          <w:iCs/>
        </w:rPr>
        <w:t>Psychological Assessment</w:t>
      </w:r>
      <w:r w:rsidRPr="00175DD7">
        <w:t xml:space="preserve">, </w:t>
      </w:r>
      <w:r w:rsidRPr="00175DD7">
        <w:rPr>
          <w:i/>
          <w:iCs/>
        </w:rPr>
        <w:t>28</w:t>
      </w:r>
      <w:r w:rsidRPr="00175DD7">
        <w:t>(1), 109–115. https://doi.org/10.1037/pas0000150</w:t>
      </w:r>
    </w:p>
    <w:p w14:paraId="24740A58" w14:textId="0F468F88" w:rsidR="00175DD7" w:rsidRPr="00175DD7" w:rsidRDefault="00175DD7" w:rsidP="00175DD7">
      <w:r>
        <w:fldChar w:fldCharType="end"/>
      </w:r>
    </w:p>
    <w:p w14:paraId="4E9DF84C" w14:textId="0027D6B9" w:rsidR="00F12A06" w:rsidRDefault="00F12A06">
      <w:pPr>
        <w:rPr>
          <w:color w:val="000000" w:themeColor="text1"/>
        </w:rPr>
      </w:pPr>
      <w:r>
        <w:rPr>
          <w:color w:val="000000" w:themeColor="text1"/>
        </w:rPr>
        <w:br w:type="page"/>
      </w:r>
    </w:p>
    <w:p w14:paraId="29A324F0" w14:textId="77777777" w:rsidR="00F36684" w:rsidRPr="00E2300E" w:rsidRDefault="00F36684" w:rsidP="00F36684">
      <w:pPr>
        <w:pStyle w:val="Heading1"/>
        <w:jc w:val="center"/>
        <w:rPr>
          <w:rFonts w:ascii="Arial" w:hAnsi="Arial" w:cs="Arial"/>
          <w:b/>
          <w:bCs/>
          <w:color w:val="000000" w:themeColor="text1"/>
          <w:sz w:val="40"/>
          <w:szCs w:val="40"/>
        </w:rPr>
      </w:pPr>
      <w:bookmarkStart w:id="15" w:name="_Toc53212462"/>
      <w:r w:rsidRPr="00E2300E">
        <w:rPr>
          <w:rFonts w:ascii="Arial" w:hAnsi="Arial" w:cs="Arial"/>
          <w:b/>
          <w:bCs/>
          <w:color w:val="000000" w:themeColor="text1"/>
          <w:sz w:val="40"/>
          <w:szCs w:val="40"/>
        </w:rPr>
        <w:lastRenderedPageBreak/>
        <w:t>T</w:t>
      </w:r>
      <w:r>
        <w:rPr>
          <w:rFonts w:ascii="Arial" w:hAnsi="Arial" w:cs="Arial"/>
          <w:b/>
          <w:bCs/>
          <w:color w:val="000000" w:themeColor="text1"/>
          <w:sz w:val="40"/>
          <w:szCs w:val="40"/>
        </w:rPr>
        <w:t xml:space="preserve"> </w:t>
      </w:r>
      <w:r w:rsidRPr="00E2300E">
        <w:rPr>
          <w:rFonts w:ascii="Arial" w:hAnsi="Arial" w:cs="Arial"/>
          <w:b/>
          <w:bCs/>
          <w:color w:val="000000" w:themeColor="text1"/>
          <w:sz w:val="40"/>
          <w:szCs w:val="40"/>
        </w:rPr>
        <w:t>A</w:t>
      </w:r>
      <w:r>
        <w:rPr>
          <w:rFonts w:ascii="Arial" w:hAnsi="Arial" w:cs="Arial"/>
          <w:b/>
          <w:bCs/>
          <w:color w:val="000000" w:themeColor="text1"/>
          <w:sz w:val="40"/>
          <w:szCs w:val="40"/>
        </w:rPr>
        <w:t xml:space="preserve"> </w:t>
      </w:r>
      <w:r w:rsidRPr="00E2300E">
        <w:rPr>
          <w:rFonts w:ascii="Arial" w:hAnsi="Arial" w:cs="Arial"/>
          <w:b/>
          <w:bCs/>
          <w:color w:val="000000" w:themeColor="text1"/>
          <w:sz w:val="40"/>
          <w:szCs w:val="40"/>
        </w:rPr>
        <w:t>S – 8 Short Form</w:t>
      </w:r>
      <w:bookmarkEnd w:id="15"/>
    </w:p>
    <w:p w14:paraId="72CCE433" w14:textId="77777777" w:rsidR="00F36684" w:rsidRDefault="00F36684" w:rsidP="00F36684">
      <w:pPr>
        <w:pStyle w:val="NormalWeb"/>
        <w:rPr>
          <w:rFonts w:ascii="TimesNewRomanPS" w:hAnsi="TimesNewRomanPS"/>
          <w:b/>
          <w:bCs/>
        </w:rPr>
      </w:pPr>
      <w:r>
        <w:rPr>
          <w:rFonts w:ascii="TimesNewRomanPS" w:hAnsi="TimesNewRomanPS"/>
          <w:b/>
          <w:bCs/>
        </w:rPr>
        <w:t xml:space="preserve">Using the scale provided as a guide, indicate how much you agree or disagree with each of the following statements by circling the corresponding number. Give only one answer for each statement. </w:t>
      </w:r>
    </w:p>
    <w:p w14:paraId="395B70A3" w14:textId="77777777" w:rsidR="00F36684" w:rsidRPr="00F12A06" w:rsidRDefault="00F36684" w:rsidP="00F36684">
      <w:pPr>
        <w:ind w:left="2160"/>
        <w:rPr>
          <w:b/>
          <w:bCs/>
        </w:rPr>
      </w:pPr>
      <w:r w:rsidRPr="00F12A06">
        <w:rPr>
          <w:b/>
          <w:bCs/>
        </w:rPr>
        <w:t>Circle 1 if you STRONGLY DISAGREE</w:t>
      </w:r>
    </w:p>
    <w:p w14:paraId="03FCFDA7" w14:textId="77777777" w:rsidR="00F36684" w:rsidRPr="00F12A06" w:rsidRDefault="00F36684" w:rsidP="00F36684">
      <w:pPr>
        <w:ind w:left="2160"/>
        <w:rPr>
          <w:b/>
          <w:bCs/>
        </w:rPr>
      </w:pPr>
      <w:r w:rsidRPr="00F12A06">
        <w:rPr>
          <w:b/>
          <w:bCs/>
        </w:rPr>
        <w:t>Circle 2 if you MODERATELY DISAGREE</w:t>
      </w:r>
      <w:r w:rsidRPr="00F12A06">
        <w:rPr>
          <w:b/>
          <w:bCs/>
        </w:rPr>
        <w:br/>
        <w:t>Circle 3 if you NEITHER DISAGREE NOR AGREE</w:t>
      </w:r>
    </w:p>
    <w:p w14:paraId="1B9B9A61" w14:textId="77777777" w:rsidR="00F36684" w:rsidRPr="00F12A06" w:rsidRDefault="00F36684" w:rsidP="00F36684">
      <w:pPr>
        <w:ind w:left="2160"/>
        <w:rPr>
          <w:b/>
          <w:bCs/>
        </w:rPr>
      </w:pPr>
      <w:r w:rsidRPr="00F12A06">
        <w:rPr>
          <w:b/>
          <w:bCs/>
        </w:rPr>
        <w:t>Circle 4 if you MODERATELY AGREE</w:t>
      </w:r>
      <w:r w:rsidRPr="00F12A06">
        <w:rPr>
          <w:b/>
          <w:bCs/>
        </w:rPr>
        <w:br/>
        <w:t>Circle 5 if you STRONGLY AGREE</w:t>
      </w:r>
    </w:p>
    <w:p w14:paraId="3B7E433F" w14:textId="77777777" w:rsidR="00F36684" w:rsidRPr="00FE5C92" w:rsidRDefault="00F36684" w:rsidP="00F36684">
      <w:pPr>
        <w:rPr>
          <w:b/>
          <w:bCs/>
        </w:rPr>
      </w:pPr>
    </w:p>
    <w:tbl>
      <w:tblPr>
        <w:tblW w:w="10637" w:type="dxa"/>
        <w:jc w:val="center"/>
        <w:tblLayout w:type="fixed"/>
        <w:tblLook w:val="04A0" w:firstRow="1" w:lastRow="0" w:firstColumn="1" w:lastColumn="0" w:noHBand="0" w:noVBand="1"/>
      </w:tblPr>
      <w:tblGrid>
        <w:gridCol w:w="5437"/>
        <w:gridCol w:w="876"/>
        <w:gridCol w:w="1081"/>
        <w:gridCol w:w="1081"/>
        <w:gridCol w:w="1081"/>
        <w:gridCol w:w="1081"/>
      </w:tblGrid>
      <w:tr w:rsidR="00F36684" w:rsidRPr="00FE5C92" w14:paraId="01DD81B2" w14:textId="77777777" w:rsidTr="00A42D39">
        <w:trPr>
          <w:trHeight w:val="348"/>
          <w:jc w:val="center"/>
        </w:trPr>
        <w:tc>
          <w:tcPr>
            <w:tcW w:w="5437" w:type="dxa"/>
            <w:tcBorders>
              <w:left w:val="nil"/>
              <w:right w:val="nil"/>
            </w:tcBorders>
            <w:shd w:val="clear" w:color="auto" w:fill="auto"/>
            <w:noWrap/>
            <w:vAlign w:val="bottom"/>
            <w:hideMark/>
          </w:tcPr>
          <w:p w14:paraId="75E690B7" w14:textId="77777777" w:rsidR="00F36684" w:rsidRPr="00FE5C92" w:rsidRDefault="00F36684" w:rsidP="00A42D39">
            <w:pPr>
              <w:rPr>
                <w:color w:val="000000"/>
                <w:sz w:val="20"/>
                <w:szCs w:val="20"/>
              </w:rPr>
            </w:pPr>
          </w:p>
        </w:tc>
        <w:tc>
          <w:tcPr>
            <w:tcW w:w="876" w:type="dxa"/>
            <w:tcBorders>
              <w:left w:val="nil"/>
              <w:right w:val="nil"/>
            </w:tcBorders>
            <w:vAlign w:val="bottom"/>
          </w:tcPr>
          <w:p w14:paraId="294AAB9A" w14:textId="77777777" w:rsidR="00F36684" w:rsidRPr="008247CF" w:rsidRDefault="00F36684" w:rsidP="00A42D39">
            <w:pPr>
              <w:rPr>
                <w:rFonts w:ascii="Helvetica" w:hAnsi="Helvetica" w:cs="Arial"/>
                <w:b/>
                <w:bCs/>
                <w:sz w:val="16"/>
                <w:szCs w:val="16"/>
              </w:rPr>
            </w:pPr>
            <w:r w:rsidRPr="008247CF">
              <w:rPr>
                <w:rFonts w:ascii="Helvetica" w:hAnsi="Helvetica" w:cs="Arial"/>
                <w:b/>
                <w:bCs/>
                <w:sz w:val="16"/>
                <w:szCs w:val="16"/>
              </w:rPr>
              <w:t>Strongly</w:t>
            </w:r>
          </w:p>
          <w:p w14:paraId="30A5F4CF" w14:textId="77777777" w:rsidR="00F36684" w:rsidRDefault="00F36684" w:rsidP="00A42D39">
            <w:pPr>
              <w:rPr>
                <w:rFonts w:ascii="Helvetica" w:hAnsi="Helvetica" w:cs="Arial"/>
                <w:b/>
                <w:bCs/>
                <w:sz w:val="16"/>
                <w:szCs w:val="16"/>
              </w:rPr>
            </w:pPr>
            <w:proofErr w:type="spellStart"/>
            <w:r w:rsidRPr="008247CF">
              <w:rPr>
                <w:rFonts w:ascii="Helvetica" w:hAnsi="Helvetica" w:cs="Arial"/>
                <w:b/>
                <w:bCs/>
                <w:sz w:val="16"/>
                <w:szCs w:val="16"/>
              </w:rPr>
              <w:t>Disgree</w:t>
            </w:r>
            <w:proofErr w:type="spellEnd"/>
          </w:p>
          <w:p w14:paraId="69AD7613" w14:textId="77777777" w:rsidR="00F36684" w:rsidRPr="008247CF" w:rsidRDefault="00F36684" w:rsidP="00A42D39">
            <w:pPr>
              <w:rPr>
                <w:rFonts w:ascii="Helvetica" w:hAnsi="Helvetica" w:cs="Arial"/>
                <w:b/>
                <w:bCs/>
                <w:color w:val="000000"/>
                <w:sz w:val="16"/>
                <w:szCs w:val="16"/>
              </w:rPr>
            </w:pPr>
          </w:p>
        </w:tc>
        <w:tc>
          <w:tcPr>
            <w:tcW w:w="1081" w:type="dxa"/>
            <w:tcBorders>
              <w:left w:val="nil"/>
              <w:right w:val="nil"/>
            </w:tcBorders>
            <w:vAlign w:val="bottom"/>
          </w:tcPr>
          <w:p w14:paraId="3E979EAE" w14:textId="77777777" w:rsidR="00F36684" w:rsidRPr="008247CF" w:rsidRDefault="00F36684" w:rsidP="00A42D39">
            <w:pPr>
              <w:rPr>
                <w:rFonts w:ascii="Helvetica" w:hAnsi="Helvetica" w:cs="Arial"/>
                <w:b/>
                <w:bCs/>
                <w:color w:val="000000"/>
                <w:sz w:val="16"/>
                <w:szCs w:val="16"/>
              </w:rPr>
            </w:pPr>
            <w:r w:rsidRPr="008247CF">
              <w:rPr>
                <w:rFonts w:ascii="Helvetica" w:hAnsi="Helvetica" w:cs="Arial"/>
                <w:b/>
                <w:bCs/>
                <w:color w:val="000000"/>
                <w:sz w:val="16"/>
                <w:szCs w:val="16"/>
              </w:rPr>
              <w:t>Moderately</w:t>
            </w:r>
          </w:p>
          <w:p w14:paraId="59AF42A4" w14:textId="77777777" w:rsidR="00F36684" w:rsidRDefault="00F36684" w:rsidP="00A42D39">
            <w:pPr>
              <w:rPr>
                <w:rFonts w:ascii="Helvetica" w:hAnsi="Helvetica" w:cs="Arial"/>
                <w:b/>
                <w:bCs/>
                <w:color w:val="000000"/>
                <w:sz w:val="16"/>
                <w:szCs w:val="16"/>
              </w:rPr>
            </w:pPr>
            <w:r w:rsidRPr="008247CF">
              <w:rPr>
                <w:rFonts w:ascii="Helvetica" w:hAnsi="Helvetica" w:cs="Arial"/>
                <w:b/>
                <w:bCs/>
                <w:color w:val="000000"/>
                <w:sz w:val="16"/>
                <w:szCs w:val="16"/>
              </w:rPr>
              <w:t>Disagree</w:t>
            </w:r>
          </w:p>
          <w:p w14:paraId="339C67B8" w14:textId="77777777" w:rsidR="00F36684" w:rsidRPr="008247CF" w:rsidRDefault="00F36684" w:rsidP="00A42D39">
            <w:pPr>
              <w:rPr>
                <w:rFonts w:ascii="Helvetica" w:hAnsi="Helvetica" w:cs="Arial"/>
                <w:b/>
                <w:bCs/>
                <w:color w:val="000000"/>
                <w:sz w:val="16"/>
                <w:szCs w:val="16"/>
              </w:rPr>
            </w:pPr>
          </w:p>
        </w:tc>
        <w:tc>
          <w:tcPr>
            <w:tcW w:w="1081" w:type="dxa"/>
            <w:tcBorders>
              <w:left w:val="nil"/>
              <w:right w:val="nil"/>
            </w:tcBorders>
            <w:vAlign w:val="bottom"/>
          </w:tcPr>
          <w:p w14:paraId="1243C507" w14:textId="77777777" w:rsidR="00F36684" w:rsidRDefault="00F36684" w:rsidP="00A42D39">
            <w:pPr>
              <w:rPr>
                <w:rFonts w:ascii="Helvetica" w:hAnsi="Helvetica" w:cs="Arial"/>
                <w:b/>
                <w:bCs/>
                <w:color w:val="000000"/>
                <w:sz w:val="16"/>
                <w:szCs w:val="16"/>
              </w:rPr>
            </w:pPr>
            <w:r w:rsidRPr="008247CF">
              <w:rPr>
                <w:rFonts w:ascii="Helvetica" w:hAnsi="Helvetica" w:cs="Arial"/>
                <w:b/>
                <w:bCs/>
                <w:color w:val="000000"/>
                <w:sz w:val="16"/>
                <w:szCs w:val="16"/>
              </w:rPr>
              <w:t xml:space="preserve">Neither Disagree </w:t>
            </w:r>
            <w:proofErr w:type="gramStart"/>
            <w:r w:rsidRPr="008247CF">
              <w:rPr>
                <w:rFonts w:ascii="Helvetica" w:hAnsi="Helvetica" w:cs="Arial"/>
                <w:b/>
                <w:bCs/>
                <w:color w:val="000000"/>
                <w:sz w:val="16"/>
                <w:szCs w:val="16"/>
              </w:rPr>
              <w:t>Nor</w:t>
            </w:r>
            <w:proofErr w:type="gramEnd"/>
            <w:r w:rsidRPr="008247CF">
              <w:rPr>
                <w:rFonts w:ascii="Helvetica" w:hAnsi="Helvetica" w:cs="Arial"/>
                <w:b/>
                <w:bCs/>
                <w:color w:val="000000"/>
                <w:sz w:val="16"/>
                <w:szCs w:val="16"/>
              </w:rPr>
              <w:t xml:space="preserve"> Agree</w:t>
            </w:r>
          </w:p>
          <w:p w14:paraId="4CEA6673" w14:textId="77777777" w:rsidR="00F36684" w:rsidRPr="008247CF" w:rsidRDefault="00F36684" w:rsidP="00A42D39">
            <w:pPr>
              <w:rPr>
                <w:rFonts w:ascii="Helvetica" w:hAnsi="Helvetica" w:cs="Arial"/>
                <w:b/>
                <w:bCs/>
                <w:color w:val="000000"/>
                <w:sz w:val="16"/>
                <w:szCs w:val="16"/>
              </w:rPr>
            </w:pPr>
          </w:p>
        </w:tc>
        <w:tc>
          <w:tcPr>
            <w:tcW w:w="1081" w:type="dxa"/>
            <w:tcBorders>
              <w:left w:val="nil"/>
              <w:right w:val="nil"/>
            </w:tcBorders>
            <w:vAlign w:val="bottom"/>
          </w:tcPr>
          <w:p w14:paraId="57691980" w14:textId="77777777" w:rsidR="00F36684" w:rsidRPr="008247CF" w:rsidRDefault="00F36684" w:rsidP="00A42D39">
            <w:pPr>
              <w:rPr>
                <w:rFonts w:ascii="Helvetica" w:hAnsi="Helvetica" w:cs="Arial"/>
                <w:b/>
                <w:bCs/>
                <w:color w:val="000000"/>
                <w:sz w:val="16"/>
                <w:szCs w:val="16"/>
              </w:rPr>
            </w:pPr>
            <w:r w:rsidRPr="008247CF">
              <w:rPr>
                <w:rFonts w:ascii="Helvetica" w:hAnsi="Helvetica" w:cs="Arial"/>
                <w:b/>
                <w:bCs/>
                <w:color w:val="000000"/>
                <w:sz w:val="16"/>
                <w:szCs w:val="16"/>
              </w:rPr>
              <w:t>Moderately</w:t>
            </w:r>
          </w:p>
          <w:p w14:paraId="76042787" w14:textId="77777777" w:rsidR="00F36684" w:rsidRDefault="00F36684" w:rsidP="00A42D39">
            <w:pPr>
              <w:rPr>
                <w:rFonts w:ascii="Helvetica" w:hAnsi="Helvetica" w:cs="Arial"/>
                <w:b/>
                <w:bCs/>
                <w:color w:val="000000"/>
                <w:sz w:val="16"/>
                <w:szCs w:val="16"/>
              </w:rPr>
            </w:pPr>
            <w:r w:rsidRPr="008247CF">
              <w:rPr>
                <w:rFonts w:ascii="Helvetica" w:hAnsi="Helvetica" w:cs="Arial"/>
                <w:b/>
                <w:bCs/>
                <w:color w:val="000000"/>
                <w:sz w:val="16"/>
                <w:szCs w:val="16"/>
              </w:rPr>
              <w:t>Agree</w:t>
            </w:r>
          </w:p>
          <w:p w14:paraId="186D52B1" w14:textId="77777777" w:rsidR="00F36684" w:rsidRPr="008247CF" w:rsidRDefault="00F36684" w:rsidP="00A42D39">
            <w:pPr>
              <w:rPr>
                <w:rFonts w:ascii="Helvetica" w:hAnsi="Helvetica" w:cs="Arial"/>
                <w:b/>
                <w:bCs/>
                <w:color w:val="000000"/>
                <w:sz w:val="16"/>
                <w:szCs w:val="16"/>
              </w:rPr>
            </w:pPr>
          </w:p>
        </w:tc>
        <w:tc>
          <w:tcPr>
            <w:tcW w:w="1081" w:type="dxa"/>
            <w:tcBorders>
              <w:left w:val="nil"/>
              <w:right w:val="nil"/>
            </w:tcBorders>
            <w:vAlign w:val="bottom"/>
          </w:tcPr>
          <w:p w14:paraId="350A1277" w14:textId="77777777" w:rsidR="00F36684" w:rsidRDefault="00F36684" w:rsidP="00A42D39">
            <w:pPr>
              <w:rPr>
                <w:rFonts w:ascii="Helvetica" w:hAnsi="Helvetica" w:cs="Arial"/>
                <w:b/>
                <w:bCs/>
                <w:sz w:val="16"/>
                <w:szCs w:val="16"/>
              </w:rPr>
            </w:pPr>
            <w:r w:rsidRPr="008247CF">
              <w:rPr>
                <w:rFonts w:ascii="Helvetica" w:hAnsi="Helvetica" w:cs="Arial"/>
                <w:b/>
                <w:bCs/>
                <w:sz w:val="16"/>
                <w:szCs w:val="16"/>
              </w:rPr>
              <w:t>Strongly Agree</w:t>
            </w:r>
          </w:p>
          <w:p w14:paraId="5E73219E" w14:textId="77777777" w:rsidR="00F36684" w:rsidRPr="008247CF" w:rsidRDefault="00F36684" w:rsidP="00A42D39">
            <w:pPr>
              <w:rPr>
                <w:rFonts w:ascii="Helvetica" w:hAnsi="Helvetica" w:cs="Arial"/>
                <w:b/>
                <w:bCs/>
                <w:color w:val="000000"/>
                <w:sz w:val="16"/>
                <w:szCs w:val="16"/>
              </w:rPr>
            </w:pPr>
          </w:p>
        </w:tc>
      </w:tr>
      <w:tr w:rsidR="00F36684" w:rsidRPr="00FE5C92" w14:paraId="3B38284E" w14:textId="77777777" w:rsidTr="00A42D39">
        <w:trPr>
          <w:trHeight w:val="238"/>
          <w:jc w:val="center"/>
        </w:trPr>
        <w:tc>
          <w:tcPr>
            <w:tcW w:w="5437" w:type="dxa"/>
            <w:tcBorders>
              <w:left w:val="nil"/>
              <w:bottom w:val="nil"/>
              <w:right w:val="nil"/>
            </w:tcBorders>
            <w:shd w:val="clear" w:color="auto" w:fill="auto"/>
            <w:noWrap/>
            <w:vAlign w:val="center"/>
            <w:hideMark/>
          </w:tcPr>
          <w:p w14:paraId="29C52E3B" w14:textId="77777777" w:rsidR="00F36684" w:rsidRPr="00F12A06" w:rsidRDefault="00F36684" w:rsidP="00A42D39">
            <w:pPr>
              <w:spacing w:after="240"/>
              <w:rPr>
                <w:color w:val="000000"/>
              </w:rPr>
            </w:pPr>
            <w:r>
              <w:rPr>
                <w:color w:val="000000"/>
              </w:rPr>
              <w:t xml:space="preserve">1. </w:t>
            </w:r>
            <w:r w:rsidRPr="00F12A06">
              <w:rPr>
                <w:color w:val="000000"/>
              </w:rPr>
              <w:t>I am often confused about what emotion I am feeling.</w:t>
            </w:r>
          </w:p>
        </w:tc>
        <w:tc>
          <w:tcPr>
            <w:tcW w:w="876" w:type="dxa"/>
            <w:tcBorders>
              <w:left w:val="nil"/>
              <w:bottom w:val="nil"/>
              <w:right w:val="nil"/>
            </w:tcBorders>
          </w:tcPr>
          <w:p w14:paraId="0C8B597E" w14:textId="77777777" w:rsidR="00F36684" w:rsidRPr="008247CF" w:rsidRDefault="00F36684" w:rsidP="00A42D39">
            <w:pPr>
              <w:jc w:val="center"/>
              <w:rPr>
                <w:color w:val="000000"/>
              </w:rPr>
            </w:pPr>
            <w:r w:rsidRPr="008247CF">
              <w:rPr>
                <w:color w:val="000000"/>
              </w:rPr>
              <w:t>1</w:t>
            </w:r>
          </w:p>
        </w:tc>
        <w:tc>
          <w:tcPr>
            <w:tcW w:w="1081" w:type="dxa"/>
            <w:tcBorders>
              <w:left w:val="nil"/>
              <w:bottom w:val="nil"/>
              <w:right w:val="nil"/>
            </w:tcBorders>
          </w:tcPr>
          <w:p w14:paraId="58F4E8E6" w14:textId="77777777" w:rsidR="00F36684" w:rsidRPr="008247CF" w:rsidRDefault="00F36684" w:rsidP="00A42D39">
            <w:pPr>
              <w:jc w:val="center"/>
              <w:rPr>
                <w:noProof/>
              </w:rPr>
            </w:pPr>
            <w:r w:rsidRPr="008247CF">
              <w:rPr>
                <w:noProof/>
              </w:rPr>
              <w:t>2</w:t>
            </w:r>
          </w:p>
        </w:tc>
        <w:tc>
          <w:tcPr>
            <w:tcW w:w="1081" w:type="dxa"/>
            <w:tcBorders>
              <w:left w:val="nil"/>
              <w:bottom w:val="nil"/>
              <w:right w:val="nil"/>
            </w:tcBorders>
          </w:tcPr>
          <w:p w14:paraId="4697AD40" w14:textId="77777777" w:rsidR="00F36684" w:rsidRPr="008247CF" w:rsidRDefault="00F36684" w:rsidP="00A42D39">
            <w:pPr>
              <w:jc w:val="center"/>
              <w:rPr>
                <w:noProof/>
              </w:rPr>
            </w:pPr>
            <w:r w:rsidRPr="008247CF">
              <w:rPr>
                <w:noProof/>
              </w:rPr>
              <w:t>3</w:t>
            </w:r>
          </w:p>
        </w:tc>
        <w:tc>
          <w:tcPr>
            <w:tcW w:w="1081" w:type="dxa"/>
            <w:tcBorders>
              <w:left w:val="nil"/>
              <w:bottom w:val="nil"/>
              <w:right w:val="nil"/>
            </w:tcBorders>
          </w:tcPr>
          <w:p w14:paraId="43DE4718" w14:textId="77777777" w:rsidR="00F36684" w:rsidRPr="008247CF" w:rsidRDefault="00F36684" w:rsidP="00A42D39">
            <w:pPr>
              <w:jc w:val="center"/>
              <w:rPr>
                <w:noProof/>
              </w:rPr>
            </w:pPr>
            <w:r w:rsidRPr="008247CF">
              <w:rPr>
                <w:noProof/>
              </w:rPr>
              <w:t>4</w:t>
            </w:r>
          </w:p>
        </w:tc>
        <w:tc>
          <w:tcPr>
            <w:tcW w:w="1081" w:type="dxa"/>
            <w:tcBorders>
              <w:left w:val="nil"/>
              <w:bottom w:val="nil"/>
              <w:right w:val="nil"/>
            </w:tcBorders>
          </w:tcPr>
          <w:p w14:paraId="415A2B33" w14:textId="77777777" w:rsidR="00F36684" w:rsidRPr="008247CF" w:rsidRDefault="00F36684" w:rsidP="00A42D39">
            <w:pPr>
              <w:jc w:val="center"/>
              <w:rPr>
                <w:noProof/>
              </w:rPr>
            </w:pPr>
            <w:r w:rsidRPr="008247CF">
              <w:rPr>
                <w:noProof/>
              </w:rPr>
              <w:t>5</w:t>
            </w:r>
          </w:p>
        </w:tc>
      </w:tr>
      <w:tr w:rsidR="00F36684" w:rsidRPr="00FE5C92" w14:paraId="192EEE35" w14:textId="77777777" w:rsidTr="00A42D39">
        <w:trPr>
          <w:trHeight w:val="238"/>
          <w:jc w:val="center"/>
        </w:trPr>
        <w:tc>
          <w:tcPr>
            <w:tcW w:w="5437" w:type="dxa"/>
            <w:tcBorders>
              <w:top w:val="nil"/>
              <w:left w:val="nil"/>
              <w:bottom w:val="nil"/>
              <w:right w:val="nil"/>
            </w:tcBorders>
            <w:shd w:val="clear" w:color="auto" w:fill="auto"/>
            <w:noWrap/>
            <w:vAlign w:val="center"/>
            <w:hideMark/>
          </w:tcPr>
          <w:p w14:paraId="746F1DF0" w14:textId="77777777" w:rsidR="00F36684" w:rsidRPr="00F12A06" w:rsidRDefault="00F36684" w:rsidP="00A42D39">
            <w:pPr>
              <w:spacing w:after="240"/>
              <w:rPr>
                <w:color w:val="000000"/>
              </w:rPr>
            </w:pPr>
            <w:r w:rsidRPr="00F12A06">
              <w:rPr>
                <w:color w:val="000000"/>
              </w:rPr>
              <w:t xml:space="preserve">2. It is difficult for me to find the right words for my feelings. </w:t>
            </w:r>
          </w:p>
        </w:tc>
        <w:tc>
          <w:tcPr>
            <w:tcW w:w="876" w:type="dxa"/>
            <w:tcBorders>
              <w:top w:val="nil"/>
              <w:left w:val="nil"/>
              <w:bottom w:val="nil"/>
              <w:right w:val="nil"/>
            </w:tcBorders>
          </w:tcPr>
          <w:p w14:paraId="65DC65B7" w14:textId="77777777" w:rsidR="00F36684" w:rsidRPr="008247CF" w:rsidRDefault="00F36684" w:rsidP="00A42D39">
            <w:pPr>
              <w:jc w:val="center"/>
              <w:rPr>
                <w:color w:val="000000"/>
              </w:rPr>
            </w:pPr>
            <w:r w:rsidRPr="008247CF">
              <w:rPr>
                <w:color w:val="000000"/>
              </w:rPr>
              <w:t>1</w:t>
            </w:r>
          </w:p>
        </w:tc>
        <w:tc>
          <w:tcPr>
            <w:tcW w:w="1081" w:type="dxa"/>
            <w:tcBorders>
              <w:top w:val="nil"/>
              <w:left w:val="nil"/>
              <w:bottom w:val="nil"/>
              <w:right w:val="nil"/>
            </w:tcBorders>
          </w:tcPr>
          <w:p w14:paraId="5336FC1D" w14:textId="77777777" w:rsidR="00F36684" w:rsidRPr="008247CF" w:rsidRDefault="00F36684" w:rsidP="00A42D39">
            <w:pPr>
              <w:jc w:val="center"/>
              <w:rPr>
                <w:color w:val="000000"/>
              </w:rPr>
            </w:pPr>
            <w:r w:rsidRPr="008247CF">
              <w:rPr>
                <w:noProof/>
              </w:rPr>
              <w:t>2</w:t>
            </w:r>
          </w:p>
        </w:tc>
        <w:tc>
          <w:tcPr>
            <w:tcW w:w="1081" w:type="dxa"/>
            <w:tcBorders>
              <w:top w:val="nil"/>
              <w:left w:val="nil"/>
              <w:bottom w:val="nil"/>
              <w:right w:val="nil"/>
            </w:tcBorders>
          </w:tcPr>
          <w:p w14:paraId="7F72CE2E" w14:textId="77777777" w:rsidR="00F36684" w:rsidRPr="008247CF" w:rsidRDefault="00F36684" w:rsidP="00A42D39">
            <w:pPr>
              <w:jc w:val="center"/>
              <w:rPr>
                <w:color w:val="000000"/>
              </w:rPr>
            </w:pPr>
            <w:r w:rsidRPr="008247CF">
              <w:rPr>
                <w:noProof/>
              </w:rPr>
              <w:t>3</w:t>
            </w:r>
          </w:p>
        </w:tc>
        <w:tc>
          <w:tcPr>
            <w:tcW w:w="1081" w:type="dxa"/>
            <w:tcBorders>
              <w:top w:val="nil"/>
              <w:left w:val="nil"/>
              <w:bottom w:val="nil"/>
              <w:right w:val="nil"/>
            </w:tcBorders>
          </w:tcPr>
          <w:p w14:paraId="725CBF42" w14:textId="77777777" w:rsidR="00F36684" w:rsidRPr="008247CF" w:rsidRDefault="00F36684" w:rsidP="00A42D39">
            <w:pPr>
              <w:jc w:val="center"/>
              <w:rPr>
                <w:noProof/>
              </w:rPr>
            </w:pPr>
            <w:r w:rsidRPr="008247CF">
              <w:rPr>
                <w:noProof/>
              </w:rPr>
              <w:t>4</w:t>
            </w:r>
          </w:p>
        </w:tc>
        <w:tc>
          <w:tcPr>
            <w:tcW w:w="1081" w:type="dxa"/>
            <w:tcBorders>
              <w:top w:val="nil"/>
              <w:left w:val="nil"/>
              <w:bottom w:val="nil"/>
              <w:right w:val="nil"/>
            </w:tcBorders>
          </w:tcPr>
          <w:p w14:paraId="6B222D40" w14:textId="77777777" w:rsidR="00F36684" w:rsidRPr="008247CF" w:rsidRDefault="00F36684" w:rsidP="00A42D39">
            <w:pPr>
              <w:jc w:val="center"/>
              <w:rPr>
                <w:noProof/>
              </w:rPr>
            </w:pPr>
            <w:r w:rsidRPr="008247CF">
              <w:rPr>
                <w:noProof/>
              </w:rPr>
              <w:t>5</w:t>
            </w:r>
          </w:p>
        </w:tc>
      </w:tr>
      <w:tr w:rsidR="00F36684" w:rsidRPr="00FE5C92" w14:paraId="0378FD69" w14:textId="77777777" w:rsidTr="00A42D39">
        <w:trPr>
          <w:trHeight w:val="238"/>
          <w:jc w:val="center"/>
        </w:trPr>
        <w:tc>
          <w:tcPr>
            <w:tcW w:w="5437" w:type="dxa"/>
            <w:tcBorders>
              <w:top w:val="nil"/>
              <w:left w:val="nil"/>
              <w:bottom w:val="nil"/>
              <w:right w:val="nil"/>
            </w:tcBorders>
            <w:shd w:val="clear" w:color="auto" w:fill="auto"/>
            <w:noWrap/>
            <w:vAlign w:val="center"/>
            <w:hideMark/>
          </w:tcPr>
          <w:p w14:paraId="387527C5" w14:textId="77777777" w:rsidR="00F36684" w:rsidRPr="00F12A06" w:rsidRDefault="00F36684" w:rsidP="00A42D39">
            <w:pPr>
              <w:spacing w:after="240"/>
              <w:rPr>
                <w:color w:val="000000"/>
              </w:rPr>
            </w:pPr>
            <w:r w:rsidRPr="00F12A06">
              <w:rPr>
                <w:color w:val="000000"/>
              </w:rPr>
              <w:t>3. When I am upset, I don’t know if I am sad, frightened, or angry.</w:t>
            </w:r>
          </w:p>
        </w:tc>
        <w:tc>
          <w:tcPr>
            <w:tcW w:w="876" w:type="dxa"/>
            <w:tcBorders>
              <w:top w:val="nil"/>
              <w:left w:val="nil"/>
              <w:bottom w:val="nil"/>
              <w:right w:val="nil"/>
            </w:tcBorders>
          </w:tcPr>
          <w:p w14:paraId="0183731B" w14:textId="77777777" w:rsidR="00F36684" w:rsidRPr="008247CF" w:rsidRDefault="00F36684" w:rsidP="00A42D39">
            <w:pPr>
              <w:jc w:val="center"/>
              <w:rPr>
                <w:color w:val="000000"/>
              </w:rPr>
            </w:pPr>
            <w:r w:rsidRPr="008247CF">
              <w:rPr>
                <w:color w:val="000000"/>
              </w:rPr>
              <w:t>1</w:t>
            </w:r>
          </w:p>
        </w:tc>
        <w:tc>
          <w:tcPr>
            <w:tcW w:w="1081" w:type="dxa"/>
            <w:tcBorders>
              <w:top w:val="nil"/>
              <w:left w:val="nil"/>
              <w:bottom w:val="nil"/>
              <w:right w:val="nil"/>
            </w:tcBorders>
          </w:tcPr>
          <w:p w14:paraId="2AE391AD" w14:textId="77777777" w:rsidR="00F36684" w:rsidRPr="008247CF" w:rsidRDefault="00F36684" w:rsidP="00A42D39">
            <w:pPr>
              <w:jc w:val="center"/>
              <w:rPr>
                <w:color w:val="000000"/>
              </w:rPr>
            </w:pPr>
            <w:r w:rsidRPr="008247CF">
              <w:rPr>
                <w:noProof/>
              </w:rPr>
              <w:t>2</w:t>
            </w:r>
          </w:p>
        </w:tc>
        <w:tc>
          <w:tcPr>
            <w:tcW w:w="1081" w:type="dxa"/>
            <w:tcBorders>
              <w:top w:val="nil"/>
              <w:left w:val="nil"/>
              <w:bottom w:val="nil"/>
              <w:right w:val="nil"/>
            </w:tcBorders>
          </w:tcPr>
          <w:p w14:paraId="77585C88" w14:textId="77777777" w:rsidR="00F36684" w:rsidRPr="008247CF" w:rsidRDefault="00F36684" w:rsidP="00A42D39">
            <w:pPr>
              <w:jc w:val="center"/>
              <w:rPr>
                <w:color w:val="000000"/>
              </w:rPr>
            </w:pPr>
            <w:r w:rsidRPr="008247CF">
              <w:rPr>
                <w:noProof/>
              </w:rPr>
              <w:t>3</w:t>
            </w:r>
          </w:p>
        </w:tc>
        <w:tc>
          <w:tcPr>
            <w:tcW w:w="1081" w:type="dxa"/>
            <w:tcBorders>
              <w:top w:val="nil"/>
              <w:left w:val="nil"/>
              <w:bottom w:val="nil"/>
              <w:right w:val="nil"/>
            </w:tcBorders>
          </w:tcPr>
          <w:p w14:paraId="13E2CC13" w14:textId="77777777" w:rsidR="00F36684" w:rsidRPr="008247CF" w:rsidRDefault="00F36684" w:rsidP="00A42D39">
            <w:pPr>
              <w:jc w:val="center"/>
              <w:rPr>
                <w:noProof/>
              </w:rPr>
            </w:pPr>
            <w:r w:rsidRPr="008247CF">
              <w:rPr>
                <w:noProof/>
              </w:rPr>
              <w:t>4</w:t>
            </w:r>
          </w:p>
        </w:tc>
        <w:tc>
          <w:tcPr>
            <w:tcW w:w="1081" w:type="dxa"/>
            <w:tcBorders>
              <w:top w:val="nil"/>
              <w:left w:val="nil"/>
              <w:bottom w:val="nil"/>
              <w:right w:val="nil"/>
            </w:tcBorders>
          </w:tcPr>
          <w:p w14:paraId="7EBBBE1B" w14:textId="77777777" w:rsidR="00F36684" w:rsidRPr="008247CF" w:rsidRDefault="00F36684" w:rsidP="00A42D39">
            <w:pPr>
              <w:jc w:val="center"/>
              <w:rPr>
                <w:noProof/>
              </w:rPr>
            </w:pPr>
            <w:r w:rsidRPr="008247CF">
              <w:rPr>
                <w:noProof/>
              </w:rPr>
              <w:t>5</w:t>
            </w:r>
          </w:p>
        </w:tc>
      </w:tr>
      <w:tr w:rsidR="00F36684" w:rsidRPr="00FE5C92" w14:paraId="4BA98CE4" w14:textId="77777777" w:rsidTr="00A42D39">
        <w:trPr>
          <w:trHeight w:val="238"/>
          <w:jc w:val="center"/>
        </w:trPr>
        <w:tc>
          <w:tcPr>
            <w:tcW w:w="5437" w:type="dxa"/>
            <w:tcBorders>
              <w:top w:val="nil"/>
              <w:left w:val="nil"/>
              <w:bottom w:val="nil"/>
              <w:right w:val="nil"/>
            </w:tcBorders>
            <w:shd w:val="clear" w:color="auto" w:fill="auto"/>
            <w:noWrap/>
            <w:vAlign w:val="center"/>
            <w:hideMark/>
          </w:tcPr>
          <w:p w14:paraId="539E5253" w14:textId="77777777" w:rsidR="00F36684" w:rsidRPr="00F12A06" w:rsidRDefault="00F36684" w:rsidP="00A42D39">
            <w:pPr>
              <w:spacing w:after="240"/>
              <w:rPr>
                <w:color w:val="000000"/>
              </w:rPr>
            </w:pPr>
            <w:r w:rsidRPr="00F12A06">
              <w:rPr>
                <w:color w:val="000000"/>
              </w:rPr>
              <w:t>4. I have feelings that I can’t quite identify.</w:t>
            </w:r>
          </w:p>
        </w:tc>
        <w:tc>
          <w:tcPr>
            <w:tcW w:w="876" w:type="dxa"/>
            <w:tcBorders>
              <w:top w:val="nil"/>
              <w:left w:val="nil"/>
              <w:bottom w:val="nil"/>
              <w:right w:val="nil"/>
            </w:tcBorders>
            <w:vAlign w:val="center"/>
          </w:tcPr>
          <w:p w14:paraId="7BC9284B" w14:textId="77777777" w:rsidR="00F36684" w:rsidRPr="008247CF" w:rsidRDefault="00F36684" w:rsidP="00A42D39">
            <w:pPr>
              <w:jc w:val="center"/>
              <w:rPr>
                <w:color w:val="000000"/>
              </w:rPr>
            </w:pPr>
            <w:r w:rsidRPr="008247CF">
              <w:rPr>
                <w:color w:val="000000"/>
              </w:rPr>
              <w:t>1</w:t>
            </w:r>
          </w:p>
        </w:tc>
        <w:tc>
          <w:tcPr>
            <w:tcW w:w="1081" w:type="dxa"/>
            <w:tcBorders>
              <w:top w:val="nil"/>
              <w:left w:val="nil"/>
              <w:bottom w:val="nil"/>
              <w:right w:val="nil"/>
            </w:tcBorders>
            <w:vAlign w:val="center"/>
          </w:tcPr>
          <w:p w14:paraId="6F1BC5E5" w14:textId="77777777" w:rsidR="00F36684" w:rsidRPr="008247CF" w:rsidRDefault="00F36684" w:rsidP="00A42D39">
            <w:pPr>
              <w:jc w:val="center"/>
              <w:rPr>
                <w:color w:val="000000"/>
              </w:rPr>
            </w:pPr>
            <w:r w:rsidRPr="008247CF">
              <w:rPr>
                <w:noProof/>
              </w:rPr>
              <w:t>2</w:t>
            </w:r>
          </w:p>
        </w:tc>
        <w:tc>
          <w:tcPr>
            <w:tcW w:w="1081" w:type="dxa"/>
            <w:tcBorders>
              <w:top w:val="nil"/>
              <w:left w:val="nil"/>
              <w:bottom w:val="nil"/>
              <w:right w:val="nil"/>
            </w:tcBorders>
            <w:vAlign w:val="center"/>
          </w:tcPr>
          <w:p w14:paraId="1783DDC0" w14:textId="77777777" w:rsidR="00F36684" w:rsidRPr="008247CF" w:rsidRDefault="00F36684" w:rsidP="00A42D39">
            <w:pPr>
              <w:jc w:val="center"/>
              <w:rPr>
                <w:color w:val="000000"/>
              </w:rPr>
            </w:pPr>
            <w:r w:rsidRPr="008247CF">
              <w:rPr>
                <w:noProof/>
              </w:rPr>
              <w:t>3</w:t>
            </w:r>
          </w:p>
        </w:tc>
        <w:tc>
          <w:tcPr>
            <w:tcW w:w="1081" w:type="dxa"/>
            <w:tcBorders>
              <w:top w:val="nil"/>
              <w:left w:val="nil"/>
              <w:bottom w:val="nil"/>
              <w:right w:val="nil"/>
            </w:tcBorders>
            <w:vAlign w:val="center"/>
          </w:tcPr>
          <w:p w14:paraId="38DED675" w14:textId="77777777" w:rsidR="00F36684" w:rsidRPr="008247CF" w:rsidRDefault="00F36684" w:rsidP="00A42D39">
            <w:pPr>
              <w:jc w:val="center"/>
              <w:rPr>
                <w:noProof/>
              </w:rPr>
            </w:pPr>
            <w:r w:rsidRPr="008247CF">
              <w:rPr>
                <w:noProof/>
              </w:rPr>
              <w:t>4</w:t>
            </w:r>
          </w:p>
        </w:tc>
        <w:tc>
          <w:tcPr>
            <w:tcW w:w="1081" w:type="dxa"/>
            <w:tcBorders>
              <w:top w:val="nil"/>
              <w:left w:val="nil"/>
              <w:bottom w:val="nil"/>
              <w:right w:val="nil"/>
            </w:tcBorders>
            <w:vAlign w:val="center"/>
          </w:tcPr>
          <w:p w14:paraId="57D619D3" w14:textId="77777777" w:rsidR="00F36684" w:rsidRPr="008247CF" w:rsidRDefault="00F36684" w:rsidP="00A42D39">
            <w:pPr>
              <w:jc w:val="center"/>
              <w:rPr>
                <w:noProof/>
              </w:rPr>
            </w:pPr>
            <w:r w:rsidRPr="008247CF">
              <w:rPr>
                <w:noProof/>
              </w:rPr>
              <w:t>5</w:t>
            </w:r>
          </w:p>
        </w:tc>
      </w:tr>
      <w:tr w:rsidR="00F36684" w:rsidRPr="00FE5C92" w14:paraId="2AD4AE5E" w14:textId="77777777" w:rsidTr="00A42D39">
        <w:trPr>
          <w:trHeight w:val="238"/>
          <w:jc w:val="center"/>
        </w:trPr>
        <w:tc>
          <w:tcPr>
            <w:tcW w:w="5437" w:type="dxa"/>
            <w:tcBorders>
              <w:top w:val="nil"/>
              <w:left w:val="nil"/>
              <w:bottom w:val="nil"/>
              <w:right w:val="nil"/>
            </w:tcBorders>
            <w:shd w:val="clear" w:color="auto" w:fill="auto"/>
            <w:noWrap/>
            <w:vAlign w:val="center"/>
            <w:hideMark/>
          </w:tcPr>
          <w:p w14:paraId="428EED7B" w14:textId="77777777" w:rsidR="00F36684" w:rsidRPr="00F12A06" w:rsidRDefault="00F36684" w:rsidP="00A42D39">
            <w:pPr>
              <w:spacing w:after="240"/>
              <w:rPr>
                <w:color w:val="000000"/>
              </w:rPr>
            </w:pPr>
            <w:r w:rsidRPr="00F12A06">
              <w:rPr>
                <w:color w:val="000000"/>
              </w:rPr>
              <w:t>5. I find it hard to describe how I feel about people.</w:t>
            </w:r>
          </w:p>
        </w:tc>
        <w:tc>
          <w:tcPr>
            <w:tcW w:w="876" w:type="dxa"/>
            <w:tcBorders>
              <w:top w:val="nil"/>
              <w:left w:val="nil"/>
              <w:bottom w:val="nil"/>
              <w:right w:val="nil"/>
            </w:tcBorders>
            <w:vAlign w:val="center"/>
          </w:tcPr>
          <w:p w14:paraId="00395BAF" w14:textId="77777777" w:rsidR="00F36684" w:rsidRPr="008247CF" w:rsidRDefault="00F36684" w:rsidP="00A42D39">
            <w:pPr>
              <w:jc w:val="center"/>
              <w:rPr>
                <w:color w:val="000000"/>
              </w:rPr>
            </w:pPr>
            <w:r w:rsidRPr="008247CF">
              <w:rPr>
                <w:color w:val="000000"/>
              </w:rPr>
              <w:t>1</w:t>
            </w:r>
          </w:p>
        </w:tc>
        <w:tc>
          <w:tcPr>
            <w:tcW w:w="1081" w:type="dxa"/>
            <w:tcBorders>
              <w:top w:val="nil"/>
              <w:left w:val="nil"/>
              <w:bottom w:val="nil"/>
              <w:right w:val="nil"/>
            </w:tcBorders>
            <w:vAlign w:val="center"/>
          </w:tcPr>
          <w:p w14:paraId="337EED71" w14:textId="77777777" w:rsidR="00F36684" w:rsidRPr="008247CF" w:rsidRDefault="00F36684" w:rsidP="00A42D39">
            <w:pPr>
              <w:jc w:val="center"/>
              <w:rPr>
                <w:color w:val="000000"/>
              </w:rPr>
            </w:pPr>
            <w:r w:rsidRPr="008247CF">
              <w:rPr>
                <w:noProof/>
              </w:rPr>
              <w:t>2</w:t>
            </w:r>
          </w:p>
        </w:tc>
        <w:tc>
          <w:tcPr>
            <w:tcW w:w="1081" w:type="dxa"/>
            <w:tcBorders>
              <w:top w:val="nil"/>
              <w:left w:val="nil"/>
              <w:bottom w:val="nil"/>
              <w:right w:val="nil"/>
            </w:tcBorders>
            <w:vAlign w:val="center"/>
          </w:tcPr>
          <w:p w14:paraId="2767C99E" w14:textId="77777777" w:rsidR="00F36684" w:rsidRPr="008247CF" w:rsidRDefault="00F36684" w:rsidP="00A42D39">
            <w:pPr>
              <w:jc w:val="center"/>
              <w:rPr>
                <w:color w:val="000000"/>
              </w:rPr>
            </w:pPr>
            <w:r w:rsidRPr="008247CF">
              <w:rPr>
                <w:noProof/>
              </w:rPr>
              <w:t>3</w:t>
            </w:r>
          </w:p>
        </w:tc>
        <w:tc>
          <w:tcPr>
            <w:tcW w:w="1081" w:type="dxa"/>
            <w:tcBorders>
              <w:top w:val="nil"/>
              <w:left w:val="nil"/>
              <w:bottom w:val="nil"/>
              <w:right w:val="nil"/>
            </w:tcBorders>
            <w:vAlign w:val="center"/>
          </w:tcPr>
          <w:p w14:paraId="53AE71C9" w14:textId="77777777" w:rsidR="00F36684" w:rsidRPr="008247CF" w:rsidRDefault="00F36684" w:rsidP="00A42D39">
            <w:pPr>
              <w:jc w:val="center"/>
              <w:rPr>
                <w:noProof/>
              </w:rPr>
            </w:pPr>
            <w:r w:rsidRPr="008247CF">
              <w:rPr>
                <w:noProof/>
              </w:rPr>
              <w:t>4</w:t>
            </w:r>
          </w:p>
        </w:tc>
        <w:tc>
          <w:tcPr>
            <w:tcW w:w="1081" w:type="dxa"/>
            <w:tcBorders>
              <w:top w:val="nil"/>
              <w:left w:val="nil"/>
              <w:bottom w:val="nil"/>
              <w:right w:val="nil"/>
            </w:tcBorders>
            <w:vAlign w:val="center"/>
          </w:tcPr>
          <w:p w14:paraId="66501F7B" w14:textId="77777777" w:rsidR="00F36684" w:rsidRPr="008247CF" w:rsidRDefault="00F36684" w:rsidP="00A42D39">
            <w:pPr>
              <w:jc w:val="center"/>
              <w:rPr>
                <w:noProof/>
              </w:rPr>
            </w:pPr>
            <w:r w:rsidRPr="008247CF">
              <w:rPr>
                <w:noProof/>
              </w:rPr>
              <w:t>5</w:t>
            </w:r>
          </w:p>
        </w:tc>
      </w:tr>
      <w:tr w:rsidR="00F36684" w:rsidRPr="00FE5C92" w14:paraId="04E712CB" w14:textId="77777777" w:rsidTr="00A42D39">
        <w:trPr>
          <w:trHeight w:val="238"/>
          <w:jc w:val="center"/>
        </w:trPr>
        <w:tc>
          <w:tcPr>
            <w:tcW w:w="5437" w:type="dxa"/>
            <w:tcBorders>
              <w:top w:val="nil"/>
              <w:left w:val="nil"/>
              <w:bottom w:val="nil"/>
              <w:right w:val="nil"/>
            </w:tcBorders>
            <w:shd w:val="clear" w:color="auto" w:fill="auto"/>
            <w:noWrap/>
            <w:vAlign w:val="center"/>
            <w:hideMark/>
          </w:tcPr>
          <w:p w14:paraId="3C320937" w14:textId="77777777" w:rsidR="00F36684" w:rsidRPr="00F12A06" w:rsidRDefault="00F36684" w:rsidP="00A42D39">
            <w:pPr>
              <w:spacing w:after="240"/>
              <w:rPr>
                <w:color w:val="000000"/>
              </w:rPr>
            </w:pPr>
            <w:r w:rsidRPr="00F12A06">
              <w:rPr>
                <w:color w:val="000000"/>
              </w:rPr>
              <w:t xml:space="preserve">6. People tell me to describe my feelings more. </w:t>
            </w:r>
          </w:p>
        </w:tc>
        <w:tc>
          <w:tcPr>
            <w:tcW w:w="876" w:type="dxa"/>
            <w:tcBorders>
              <w:top w:val="nil"/>
              <w:left w:val="nil"/>
              <w:bottom w:val="nil"/>
              <w:right w:val="nil"/>
            </w:tcBorders>
            <w:vAlign w:val="center"/>
          </w:tcPr>
          <w:p w14:paraId="66985E3E" w14:textId="77777777" w:rsidR="00F36684" w:rsidRPr="008247CF" w:rsidRDefault="00F36684" w:rsidP="00A42D39">
            <w:pPr>
              <w:jc w:val="center"/>
              <w:rPr>
                <w:color w:val="000000"/>
              </w:rPr>
            </w:pPr>
            <w:r w:rsidRPr="008247CF">
              <w:rPr>
                <w:color w:val="000000"/>
              </w:rPr>
              <w:t>1</w:t>
            </w:r>
          </w:p>
        </w:tc>
        <w:tc>
          <w:tcPr>
            <w:tcW w:w="1081" w:type="dxa"/>
            <w:tcBorders>
              <w:top w:val="nil"/>
              <w:left w:val="nil"/>
              <w:bottom w:val="nil"/>
              <w:right w:val="nil"/>
            </w:tcBorders>
            <w:vAlign w:val="center"/>
          </w:tcPr>
          <w:p w14:paraId="7E645380" w14:textId="77777777" w:rsidR="00F36684" w:rsidRPr="008247CF" w:rsidRDefault="00F36684" w:rsidP="00A42D39">
            <w:pPr>
              <w:jc w:val="center"/>
              <w:rPr>
                <w:color w:val="000000"/>
              </w:rPr>
            </w:pPr>
            <w:r w:rsidRPr="008247CF">
              <w:rPr>
                <w:noProof/>
              </w:rPr>
              <w:t>2</w:t>
            </w:r>
          </w:p>
        </w:tc>
        <w:tc>
          <w:tcPr>
            <w:tcW w:w="1081" w:type="dxa"/>
            <w:tcBorders>
              <w:top w:val="nil"/>
              <w:left w:val="nil"/>
              <w:bottom w:val="nil"/>
              <w:right w:val="nil"/>
            </w:tcBorders>
            <w:vAlign w:val="center"/>
          </w:tcPr>
          <w:p w14:paraId="69E453AD" w14:textId="77777777" w:rsidR="00F36684" w:rsidRPr="008247CF" w:rsidRDefault="00F36684" w:rsidP="00A42D39">
            <w:pPr>
              <w:jc w:val="center"/>
              <w:rPr>
                <w:color w:val="000000"/>
              </w:rPr>
            </w:pPr>
            <w:r w:rsidRPr="008247CF">
              <w:rPr>
                <w:noProof/>
              </w:rPr>
              <w:t>3</w:t>
            </w:r>
          </w:p>
        </w:tc>
        <w:tc>
          <w:tcPr>
            <w:tcW w:w="1081" w:type="dxa"/>
            <w:tcBorders>
              <w:top w:val="nil"/>
              <w:left w:val="nil"/>
              <w:bottom w:val="nil"/>
              <w:right w:val="nil"/>
            </w:tcBorders>
            <w:vAlign w:val="center"/>
          </w:tcPr>
          <w:p w14:paraId="776B0F8D" w14:textId="77777777" w:rsidR="00F36684" w:rsidRPr="008247CF" w:rsidRDefault="00F36684" w:rsidP="00A42D39">
            <w:pPr>
              <w:jc w:val="center"/>
              <w:rPr>
                <w:noProof/>
              </w:rPr>
            </w:pPr>
            <w:r w:rsidRPr="008247CF">
              <w:rPr>
                <w:noProof/>
              </w:rPr>
              <w:t>4</w:t>
            </w:r>
          </w:p>
        </w:tc>
        <w:tc>
          <w:tcPr>
            <w:tcW w:w="1081" w:type="dxa"/>
            <w:tcBorders>
              <w:top w:val="nil"/>
              <w:left w:val="nil"/>
              <w:bottom w:val="nil"/>
              <w:right w:val="nil"/>
            </w:tcBorders>
            <w:vAlign w:val="center"/>
          </w:tcPr>
          <w:p w14:paraId="61409027" w14:textId="77777777" w:rsidR="00F36684" w:rsidRPr="008247CF" w:rsidRDefault="00F36684" w:rsidP="00A42D39">
            <w:pPr>
              <w:jc w:val="center"/>
              <w:rPr>
                <w:noProof/>
              </w:rPr>
            </w:pPr>
            <w:r w:rsidRPr="008247CF">
              <w:rPr>
                <w:noProof/>
              </w:rPr>
              <w:t>5</w:t>
            </w:r>
          </w:p>
        </w:tc>
      </w:tr>
      <w:tr w:rsidR="00F36684" w:rsidRPr="00FE5C92" w14:paraId="0B394459" w14:textId="77777777" w:rsidTr="00A42D39">
        <w:trPr>
          <w:trHeight w:val="238"/>
          <w:jc w:val="center"/>
        </w:trPr>
        <w:tc>
          <w:tcPr>
            <w:tcW w:w="5437" w:type="dxa"/>
            <w:tcBorders>
              <w:top w:val="nil"/>
              <w:left w:val="nil"/>
              <w:right w:val="nil"/>
            </w:tcBorders>
            <w:shd w:val="clear" w:color="auto" w:fill="auto"/>
            <w:noWrap/>
            <w:vAlign w:val="center"/>
            <w:hideMark/>
          </w:tcPr>
          <w:p w14:paraId="2FC8BB6E" w14:textId="77777777" w:rsidR="00F36684" w:rsidRPr="00F12A06" w:rsidRDefault="00F36684" w:rsidP="00A42D39">
            <w:pPr>
              <w:spacing w:after="240"/>
              <w:rPr>
                <w:color w:val="000000"/>
              </w:rPr>
            </w:pPr>
            <w:r w:rsidRPr="00F12A06">
              <w:rPr>
                <w:color w:val="000000"/>
              </w:rPr>
              <w:t xml:space="preserve">7. I don’t know what’s going on inside me. </w:t>
            </w:r>
          </w:p>
        </w:tc>
        <w:tc>
          <w:tcPr>
            <w:tcW w:w="876" w:type="dxa"/>
            <w:tcBorders>
              <w:top w:val="nil"/>
              <w:left w:val="nil"/>
              <w:right w:val="nil"/>
            </w:tcBorders>
            <w:vAlign w:val="center"/>
          </w:tcPr>
          <w:p w14:paraId="42CB41F4" w14:textId="77777777" w:rsidR="00F36684" w:rsidRPr="008247CF" w:rsidRDefault="00F36684" w:rsidP="00A42D39">
            <w:pPr>
              <w:jc w:val="center"/>
              <w:rPr>
                <w:color w:val="000000"/>
              </w:rPr>
            </w:pPr>
            <w:r w:rsidRPr="008247CF">
              <w:rPr>
                <w:color w:val="000000"/>
              </w:rPr>
              <w:t>1</w:t>
            </w:r>
          </w:p>
        </w:tc>
        <w:tc>
          <w:tcPr>
            <w:tcW w:w="1081" w:type="dxa"/>
            <w:tcBorders>
              <w:top w:val="nil"/>
              <w:left w:val="nil"/>
              <w:right w:val="nil"/>
            </w:tcBorders>
            <w:vAlign w:val="center"/>
          </w:tcPr>
          <w:p w14:paraId="0AAE0310" w14:textId="77777777" w:rsidR="00F36684" w:rsidRPr="008247CF" w:rsidRDefault="00F36684" w:rsidP="00A42D39">
            <w:pPr>
              <w:jc w:val="center"/>
              <w:rPr>
                <w:color w:val="000000"/>
              </w:rPr>
            </w:pPr>
            <w:r w:rsidRPr="008247CF">
              <w:rPr>
                <w:noProof/>
              </w:rPr>
              <w:t>2</w:t>
            </w:r>
          </w:p>
        </w:tc>
        <w:tc>
          <w:tcPr>
            <w:tcW w:w="1081" w:type="dxa"/>
            <w:tcBorders>
              <w:top w:val="nil"/>
              <w:left w:val="nil"/>
              <w:right w:val="nil"/>
            </w:tcBorders>
            <w:vAlign w:val="center"/>
          </w:tcPr>
          <w:p w14:paraId="50B832FC" w14:textId="77777777" w:rsidR="00F36684" w:rsidRPr="008247CF" w:rsidRDefault="00F36684" w:rsidP="00A42D39">
            <w:pPr>
              <w:jc w:val="center"/>
              <w:rPr>
                <w:color w:val="000000"/>
              </w:rPr>
            </w:pPr>
            <w:r w:rsidRPr="008247CF">
              <w:rPr>
                <w:noProof/>
              </w:rPr>
              <w:t>3</w:t>
            </w:r>
          </w:p>
        </w:tc>
        <w:tc>
          <w:tcPr>
            <w:tcW w:w="1081" w:type="dxa"/>
            <w:tcBorders>
              <w:top w:val="nil"/>
              <w:left w:val="nil"/>
              <w:right w:val="nil"/>
            </w:tcBorders>
            <w:vAlign w:val="center"/>
          </w:tcPr>
          <w:p w14:paraId="4588D3E6" w14:textId="77777777" w:rsidR="00F36684" w:rsidRPr="008247CF" w:rsidRDefault="00F36684" w:rsidP="00A42D39">
            <w:pPr>
              <w:jc w:val="center"/>
              <w:rPr>
                <w:noProof/>
              </w:rPr>
            </w:pPr>
            <w:r w:rsidRPr="008247CF">
              <w:rPr>
                <w:noProof/>
              </w:rPr>
              <w:t>4</w:t>
            </w:r>
          </w:p>
        </w:tc>
        <w:tc>
          <w:tcPr>
            <w:tcW w:w="1081" w:type="dxa"/>
            <w:tcBorders>
              <w:top w:val="nil"/>
              <w:left w:val="nil"/>
              <w:right w:val="nil"/>
            </w:tcBorders>
            <w:vAlign w:val="center"/>
          </w:tcPr>
          <w:p w14:paraId="2D35FD0A" w14:textId="77777777" w:rsidR="00F36684" w:rsidRPr="008247CF" w:rsidRDefault="00F36684" w:rsidP="00A42D39">
            <w:pPr>
              <w:jc w:val="center"/>
              <w:rPr>
                <w:noProof/>
              </w:rPr>
            </w:pPr>
            <w:r w:rsidRPr="008247CF">
              <w:rPr>
                <w:noProof/>
              </w:rPr>
              <w:t>5</w:t>
            </w:r>
          </w:p>
        </w:tc>
      </w:tr>
      <w:tr w:rsidR="00F36684" w:rsidRPr="00FE5C92" w14:paraId="71471B77" w14:textId="77777777" w:rsidTr="00A42D39">
        <w:trPr>
          <w:trHeight w:val="238"/>
          <w:jc w:val="center"/>
        </w:trPr>
        <w:tc>
          <w:tcPr>
            <w:tcW w:w="5437" w:type="dxa"/>
            <w:tcBorders>
              <w:top w:val="nil"/>
              <w:left w:val="nil"/>
              <w:right w:val="nil"/>
            </w:tcBorders>
            <w:shd w:val="clear" w:color="auto" w:fill="auto"/>
            <w:noWrap/>
            <w:vAlign w:val="center"/>
            <w:hideMark/>
          </w:tcPr>
          <w:p w14:paraId="2EFFCA66" w14:textId="77777777" w:rsidR="00F36684" w:rsidRPr="00F12A06" w:rsidRDefault="00F36684" w:rsidP="00A42D39">
            <w:pPr>
              <w:spacing w:after="240"/>
              <w:rPr>
                <w:color w:val="000000"/>
              </w:rPr>
            </w:pPr>
            <w:r w:rsidRPr="00F12A06">
              <w:rPr>
                <w:color w:val="000000"/>
              </w:rPr>
              <w:t xml:space="preserve">8. I often don’t know why I am angry. </w:t>
            </w:r>
          </w:p>
          <w:p w14:paraId="26046A25" w14:textId="77777777" w:rsidR="00F36684" w:rsidRPr="00F12A06" w:rsidRDefault="00F36684" w:rsidP="00A42D39">
            <w:pPr>
              <w:spacing w:after="240"/>
              <w:rPr>
                <w:color w:val="000000"/>
              </w:rPr>
            </w:pPr>
          </w:p>
        </w:tc>
        <w:tc>
          <w:tcPr>
            <w:tcW w:w="876" w:type="dxa"/>
            <w:tcBorders>
              <w:top w:val="nil"/>
              <w:left w:val="nil"/>
              <w:right w:val="nil"/>
            </w:tcBorders>
            <w:vAlign w:val="center"/>
          </w:tcPr>
          <w:p w14:paraId="1268E509" w14:textId="77777777" w:rsidR="00F36684" w:rsidRPr="008247CF" w:rsidRDefault="00F36684" w:rsidP="00A42D39">
            <w:pPr>
              <w:jc w:val="center"/>
              <w:rPr>
                <w:color w:val="000000"/>
              </w:rPr>
            </w:pPr>
            <w:r w:rsidRPr="008247CF">
              <w:rPr>
                <w:color w:val="000000"/>
              </w:rPr>
              <w:t>1</w:t>
            </w:r>
          </w:p>
        </w:tc>
        <w:tc>
          <w:tcPr>
            <w:tcW w:w="1081" w:type="dxa"/>
            <w:tcBorders>
              <w:top w:val="nil"/>
              <w:left w:val="nil"/>
              <w:right w:val="nil"/>
            </w:tcBorders>
            <w:vAlign w:val="center"/>
          </w:tcPr>
          <w:p w14:paraId="5D274AB5" w14:textId="77777777" w:rsidR="00F36684" w:rsidRPr="008247CF" w:rsidRDefault="00F36684" w:rsidP="00A42D39">
            <w:pPr>
              <w:jc w:val="center"/>
              <w:rPr>
                <w:color w:val="000000"/>
              </w:rPr>
            </w:pPr>
            <w:r w:rsidRPr="008247CF">
              <w:rPr>
                <w:noProof/>
              </w:rPr>
              <w:t>2</w:t>
            </w:r>
          </w:p>
        </w:tc>
        <w:tc>
          <w:tcPr>
            <w:tcW w:w="1081" w:type="dxa"/>
            <w:tcBorders>
              <w:top w:val="nil"/>
              <w:left w:val="nil"/>
              <w:right w:val="nil"/>
            </w:tcBorders>
            <w:vAlign w:val="center"/>
          </w:tcPr>
          <w:p w14:paraId="4769E3AF" w14:textId="77777777" w:rsidR="00F36684" w:rsidRPr="008247CF" w:rsidRDefault="00F36684" w:rsidP="00A42D39">
            <w:pPr>
              <w:jc w:val="center"/>
              <w:rPr>
                <w:color w:val="000000"/>
              </w:rPr>
            </w:pPr>
            <w:r w:rsidRPr="008247CF">
              <w:rPr>
                <w:noProof/>
              </w:rPr>
              <w:t>3</w:t>
            </w:r>
          </w:p>
        </w:tc>
        <w:tc>
          <w:tcPr>
            <w:tcW w:w="1081" w:type="dxa"/>
            <w:tcBorders>
              <w:top w:val="nil"/>
              <w:left w:val="nil"/>
              <w:right w:val="nil"/>
            </w:tcBorders>
            <w:vAlign w:val="center"/>
          </w:tcPr>
          <w:p w14:paraId="445099EC" w14:textId="77777777" w:rsidR="00F36684" w:rsidRPr="008247CF" w:rsidRDefault="00F36684" w:rsidP="00A42D39">
            <w:pPr>
              <w:jc w:val="center"/>
              <w:rPr>
                <w:noProof/>
              </w:rPr>
            </w:pPr>
            <w:r w:rsidRPr="008247CF">
              <w:rPr>
                <w:noProof/>
              </w:rPr>
              <w:t>4</w:t>
            </w:r>
          </w:p>
        </w:tc>
        <w:tc>
          <w:tcPr>
            <w:tcW w:w="1081" w:type="dxa"/>
            <w:tcBorders>
              <w:top w:val="nil"/>
              <w:left w:val="nil"/>
              <w:right w:val="nil"/>
            </w:tcBorders>
            <w:vAlign w:val="center"/>
          </w:tcPr>
          <w:p w14:paraId="632DDB68" w14:textId="77777777" w:rsidR="00F36684" w:rsidRPr="008247CF" w:rsidRDefault="00F36684" w:rsidP="00A42D39">
            <w:pPr>
              <w:jc w:val="center"/>
              <w:rPr>
                <w:noProof/>
              </w:rPr>
            </w:pPr>
            <w:r w:rsidRPr="008247CF">
              <w:rPr>
                <w:noProof/>
              </w:rPr>
              <w:t>5</w:t>
            </w:r>
          </w:p>
        </w:tc>
      </w:tr>
    </w:tbl>
    <w:p w14:paraId="4FF599A4" w14:textId="77777777" w:rsidR="00F36684" w:rsidRDefault="00F36684" w:rsidP="00F36684">
      <w:pPr>
        <w:spacing w:line="480" w:lineRule="auto"/>
        <w:rPr>
          <w:color w:val="000000" w:themeColor="text1"/>
        </w:rPr>
      </w:pPr>
      <w:r>
        <w:rPr>
          <w:color w:val="000000" w:themeColor="text1"/>
        </w:rPr>
        <w:t>______________________________________________________________________________</w:t>
      </w:r>
    </w:p>
    <w:p w14:paraId="1C141AB2" w14:textId="77777777" w:rsidR="00F36684" w:rsidRPr="00B30A29" w:rsidRDefault="00F36684" w:rsidP="00F36684">
      <w:pPr>
        <w:spacing w:line="480" w:lineRule="auto"/>
        <w:rPr>
          <w:color w:val="000000" w:themeColor="text1"/>
        </w:rPr>
      </w:pPr>
      <w:r>
        <w:rPr>
          <w:color w:val="000000" w:themeColor="text1"/>
        </w:rPr>
        <w:t xml:space="preserve">Scoring tool available at: </w:t>
      </w:r>
      <w:hyperlink r:id="rId11" w:history="1">
        <w:r w:rsidRPr="00FA0139">
          <w:rPr>
            <w:rStyle w:val="Hyperlink"/>
          </w:rPr>
          <w:t>https://asdmeasures.shinyapps.io/TAS8_Score/</w:t>
        </w:r>
      </w:hyperlink>
      <w:r>
        <w:rPr>
          <w:color w:val="000000" w:themeColor="text1"/>
        </w:rPr>
        <w:t xml:space="preserve"> </w:t>
      </w:r>
    </w:p>
    <w:p w14:paraId="39DC79C5" w14:textId="7D4F72D5" w:rsidR="00F12A06" w:rsidRDefault="00F12A06" w:rsidP="00F36684">
      <w:pPr>
        <w:pStyle w:val="Heading1"/>
        <w:jc w:val="center"/>
        <w:rPr>
          <w:color w:val="000000" w:themeColor="text1"/>
        </w:rPr>
      </w:pPr>
    </w:p>
    <w:p w14:paraId="6BF55A13" w14:textId="3E8D7F1E" w:rsidR="00CD157D" w:rsidRDefault="00CD157D" w:rsidP="00CD157D"/>
    <w:p w14:paraId="5552713F" w14:textId="56CF6570" w:rsidR="00CD157D" w:rsidRDefault="00CD157D" w:rsidP="00CD157D"/>
    <w:p w14:paraId="6D735493" w14:textId="7C8071E7" w:rsidR="00CD157D" w:rsidRDefault="00CD157D" w:rsidP="00CD157D"/>
    <w:p w14:paraId="669E9756" w14:textId="6D20B826" w:rsidR="00CD157D" w:rsidRDefault="00CD157D" w:rsidP="00CD157D"/>
    <w:p w14:paraId="1B4577F4" w14:textId="53177FB7" w:rsidR="00CD157D" w:rsidRDefault="00CD157D" w:rsidP="00CD157D"/>
    <w:p w14:paraId="478B7289" w14:textId="530CC307" w:rsidR="00CD157D" w:rsidRPr="00CD157D" w:rsidRDefault="00CD157D" w:rsidP="00CD157D">
      <w:pPr>
        <w:pStyle w:val="NormalWeb"/>
        <w:rPr>
          <w:b/>
          <w:bCs/>
          <w:sz w:val="20"/>
          <w:szCs w:val="20"/>
        </w:rPr>
      </w:pPr>
      <w:r w:rsidRPr="007925D4">
        <w:rPr>
          <w:b/>
          <w:bCs/>
          <w:sz w:val="20"/>
          <w:szCs w:val="20"/>
        </w:rPr>
        <w:t xml:space="preserve">Items </w:t>
      </w:r>
      <w:r>
        <w:rPr>
          <w:b/>
          <w:bCs/>
          <w:sz w:val="20"/>
          <w:szCs w:val="20"/>
        </w:rPr>
        <w:t xml:space="preserve">drawn </w:t>
      </w:r>
      <w:r w:rsidRPr="007925D4">
        <w:rPr>
          <w:b/>
          <w:bCs/>
          <w:sz w:val="20"/>
          <w:szCs w:val="20"/>
        </w:rPr>
        <w:t>from the</w:t>
      </w:r>
      <w:r>
        <w:rPr>
          <w:b/>
          <w:bCs/>
          <w:sz w:val="20"/>
          <w:szCs w:val="20"/>
        </w:rPr>
        <w:t xml:space="preserve"> Twenty-item</w:t>
      </w:r>
      <w:r w:rsidRPr="007925D4">
        <w:rPr>
          <w:b/>
          <w:bCs/>
          <w:sz w:val="20"/>
          <w:szCs w:val="20"/>
        </w:rPr>
        <w:t xml:space="preserve"> Toronto Alexithymia Scale (Taylor, </w:t>
      </w:r>
      <w:proofErr w:type="spellStart"/>
      <w:r w:rsidRPr="007925D4">
        <w:rPr>
          <w:b/>
          <w:bCs/>
          <w:sz w:val="20"/>
          <w:szCs w:val="20"/>
        </w:rPr>
        <w:t>Bagby</w:t>
      </w:r>
      <w:proofErr w:type="spellEnd"/>
      <w:r w:rsidRPr="007925D4">
        <w:rPr>
          <w:b/>
          <w:bCs/>
          <w:sz w:val="20"/>
          <w:szCs w:val="20"/>
        </w:rPr>
        <w:t xml:space="preserve"> &amp; Parker, 1992)</w:t>
      </w:r>
    </w:p>
    <w:sectPr w:rsidR="00CD157D" w:rsidRPr="00CD157D" w:rsidSect="008247CF">
      <w:pgSz w:w="12240" w:h="15840"/>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DDC099F" w14:textId="77777777" w:rsidR="00590626" w:rsidRDefault="00590626" w:rsidP="0077760B">
      <w:r>
        <w:separator/>
      </w:r>
    </w:p>
  </w:endnote>
  <w:endnote w:type="continuationSeparator" w:id="0">
    <w:p w14:paraId="0131564A" w14:textId="77777777" w:rsidR="00590626" w:rsidRDefault="00590626" w:rsidP="007776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 w:name="TimesNewRomanPS">
    <w:altName w:val="Times New Roman"/>
    <w:panose1 w:val="020B0604020202020204"/>
    <w:charset w:val="00"/>
    <w:family w:val="roman"/>
    <w:notTrueType/>
    <w:pitch w:val="default"/>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41208893"/>
      <w:docPartObj>
        <w:docPartGallery w:val="Page Numbers (Bottom of Page)"/>
        <w:docPartUnique/>
      </w:docPartObj>
    </w:sdtPr>
    <w:sdtEndPr>
      <w:rPr>
        <w:rStyle w:val="PageNumber"/>
      </w:rPr>
    </w:sdtEndPr>
    <w:sdtContent>
      <w:p w14:paraId="097A9A76" w14:textId="77777777" w:rsidR="008247CF" w:rsidRDefault="008247CF" w:rsidP="0077760B">
        <w:pPr>
          <w:pStyle w:val="Footer"/>
          <w:framePr w:wrap="none" w:vAnchor="text" w:hAnchor="margin" w:xAlign="right" w:y="1"/>
          <w:rPr>
            <w:rStyle w:val="PageNumber"/>
          </w:rPr>
        </w:pPr>
        <w:r>
          <w:rPr>
            <w:rStyle w:val="PageNumber"/>
          </w:rPr>
          <w:t>S</w:t>
        </w: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sdtContent>
  </w:sdt>
  <w:p w14:paraId="59850311" w14:textId="77777777" w:rsidR="008247CF" w:rsidRDefault="008247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55D439" w14:textId="77777777" w:rsidR="00590626" w:rsidRDefault="00590626" w:rsidP="0077760B">
      <w:r>
        <w:separator/>
      </w:r>
    </w:p>
  </w:footnote>
  <w:footnote w:type="continuationSeparator" w:id="0">
    <w:p w14:paraId="5EF077C4" w14:textId="77777777" w:rsidR="00590626" w:rsidRDefault="00590626" w:rsidP="007776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00C1E2" w14:textId="7C192D3A" w:rsidR="008247CF" w:rsidRPr="00507616" w:rsidRDefault="008247CF" w:rsidP="0077760B">
    <w:pPr>
      <w:pStyle w:val="Header"/>
      <w:jc w:val="both"/>
      <w:rPr>
        <w:i/>
        <w:iCs/>
        <w:sz w:val="20"/>
        <w:szCs w:val="20"/>
      </w:rPr>
    </w:pPr>
    <w:r w:rsidRPr="00507616">
      <w:rPr>
        <w:sz w:val="20"/>
        <w:szCs w:val="20"/>
      </w:rPr>
      <w:t>Williams</w:t>
    </w:r>
    <w:r>
      <w:rPr>
        <w:sz w:val="20"/>
        <w:szCs w:val="20"/>
      </w:rPr>
      <w:t xml:space="preserve"> &amp; Gotham</w:t>
    </w:r>
    <w:r>
      <w:rPr>
        <w:i/>
        <w:iCs/>
        <w:sz w:val="20"/>
        <w:szCs w:val="20"/>
      </w:rPr>
      <w:tab/>
    </w:r>
    <w:r>
      <w:rPr>
        <w:i/>
        <w:iCs/>
        <w:sz w:val="20"/>
        <w:szCs w:val="20"/>
      </w:rPr>
      <w:tab/>
      <w:t xml:space="preserve"> Supplemental Material</w:t>
    </w:r>
  </w:p>
  <w:p w14:paraId="64717736" w14:textId="77777777" w:rsidR="008247CF" w:rsidRDefault="008247C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F567F2"/>
    <w:multiLevelType w:val="multilevel"/>
    <w:tmpl w:val="158289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4931BC3"/>
    <w:multiLevelType w:val="hybridMultilevel"/>
    <w:tmpl w:val="D0A000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E4C314D"/>
    <w:multiLevelType w:val="multilevel"/>
    <w:tmpl w:val="1FE0464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ED649AF"/>
    <w:multiLevelType w:val="multilevel"/>
    <w:tmpl w:val="0FEA02A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FEF6906"/>
    <w:multiLevelType w:val="multilevel"/>
    <w:tmpl w:val="BDE8DCC6"/>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2200751"/>
    <w:multiLevelType w:val="hybridMultilevel"/>
    <w:tmpl w:val="D1FC43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6CF2605"/>
    <w:multiLevelType w:val="multilevel"/>
    <w:tmpl w:val="8FFE6B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2FD0107"/>
    <w:multiLevelType w:val="multilevel"/>
    <w:tmpl w:val="40DA66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8C402FC"/>
    <w:multiLevelType w:val="multilevel"/>
    <w:tmpl w:val="63B45712"/>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959369D"/>
    <w:multiLevelType w:val="multilevel"/>
    <w:tmpl w:val="CB8E9B0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0"/>
  </w:num>
  <w:num w:numId="3">
    <w:abstractNumId w:val="7"/>
  </w:num>
  <w:num w:numId="4">
    <w:abstractNumId w:val="9"/>
  </w:num>
  <w:num w:numId="5">
    <w:abstractNumId w:val="8"/>
  </w:num>
  <w:num w:numId="6">
    <w:abstractNumId w:val="4"/>
  </w:num>
  <w:num w:numId="7">
    <w:abstractNumId w:val="3"/>
  </w:num>
  <w:num w:numId="8">
    <w:abstractNumId w:val="2"/>
  </w:num>
  <w:num w:numId="9">
    <w:abstractNumId w:val="1"/>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7"/>
  <w:proofState w:spelling="clean" w:grammar="clean"/>
  <w:defaultTabStop w:val="720"/>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760B"/>
    <w:rsid w:val="0000328B"/>
    <w:rsid w:val="00005C9C"/>
    <w:rsid w:val="000152CC"/>
    <w:rsid w:val="00081DF7"/>
    <w:rsid w:val="00116E48"/>
    <w:rsid w:val="00126A87"/>
    <w:rsid w:val="00150B27"/>
    <w:rsid w:val="001679E5"/>
    <w:rsid w:val="00175DD7"/>
    <w:rsid w:val="001A246D"/>
    <w:rsid w:val="00253DD2"/>
    <w:rsid w:val="002D376D"/>
    <w:rsid w:val="003071A7"/>
    <w:rsid w:val="00372F7D"/>
    <w:rsid w:val="00391AE4"/>
    <w:rsid w:val="00480481"/>
    <w:rsid w:val="004D45DC"/>
    <w:rsid w:val="00590626"/>
    <w:rsid w:val="005942F9"/>
    <w:rsid w:val="005C48C6"/>
    <w:rsid w:val="00675910"/>
    <w:rsid w:val="00683119"/>
    <w:rsid w:val="006B57FA"/>
    <w:rsid w:val="00741DFB"/>
    <w:rsid w:val="0077760B"/>
    <w:rsid w:val="008010FC"/>
    <w:rsid w:val="00820329"/>
    <w:rsid w:val="008247CF"/>
    <w:rsid w:val="00857490"/>
    <w:rsid w:val="0088689A"/>
    <w:rsid w:val="008B0E26"/>
    <w:rsid w:val="00951962"/>
    <w:rsid w:val="00994233"/>
    <w:rsid w:val="009B3535"/>
    <w:rsid w:val="009F408B"/>
    <w:rsid w:val="00B11507"/>
    <w:rsid w:val="00B30A29"/>
    <w:rsid w:val="00B71048"/>
    <w:rsid w:val="00B8259F"/>
    <w:rsid w:val="00BB321D"/>
    <w:rsid w:val="00CD157D"/>
    <w:rsid w:val="00CD7217"/>
    <w:rsid w:val="00D9315B"/>
    <w:rsid w:val="00E12253"/>
    <w:rsid w:val="00E2300E"/>
    <w:rsid w:val="00E44002"/>
    <w:rsid w:val="00E646C7"/>
    <w:rsid w:val="00F12A06"/>
    <w:rsid w:val="00F275DB"/>
    <w:rsid w:val="00F36684"/>
    <w:rsid w:val="00F90456"/>
    <w:rsid w:val="00FA0B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117A58"/>
  <w14:defaultImageDpi w14:val="32767"/>
  <w15:chartTrackingRefBased/>
  <w15:docId w15:val="{9C1CD030-C87A-2048-B0D9-4F27D9E1AD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77760B"/>
    <w:rPr>
      <w:rFonts w:eastAsia="Times New Roman"/>
    </w:rPr>
  </w:style>
  <w:style w:type="paragraph" w:styleId="Heading1">
    <w:name w:val="heading 1"/>
    <w:basedOn w:val="Normal"/>
    <w:next w:val="Normal"/>
    <w:link w:val="Heading1Char"/>
    <w:uiPriority w:val="9"/>
    <w:qFormat/>
    <w:rsid w:val="00B30A29"/>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30A29"/>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B30A29"/>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77760B"/>
    <w:pPr>
      <w:tabs>
        <w:tab w:val="center" w:pos="4680"/>
        <w:tab w:val="right" w:pos="9360"/>
      </w:tabs>
    </w:pPr>
  </w:style>
  <w:style w:type="character" w:customStyle="1" w:styleId="HeaderChar">
    <w:name w:val="Header Char"/>
    <w:basedOn w:val="DefaultParagraphFont"/>
    <w:link w:val="Header"/>
    <w:uiPriority w:val="99"/>
    <w:rsid w:val="0077760B"/>
    <w:rPr>
      <w:rFonts w:eastAsia="Times New Roman"/>
    </w:rPr>
  </w:style>
  <w:style w:type="paragraph" w:styleId="Footer">
    <w:name w:val="footer"/>
    <w:basedOn w:val="Normal"/>
    <w:link w:val="FooterChar"/>
    <w:uiPriority w:val="99"/>
    <w:unhideWhenUsed/>
    <w:rsid w:val="0077760B"/>
    <w:pPr>
      <w:tabs>
        <w:tab w:val="center" w:pos="4680"/>
        <w:tab w:val="right" w:pos="9360"/>
      </w:tabs>
    </w:pPr>
  </w:style>
  <w:style w:type="character" w:customStyle="1" w:styleId="FooterChar">
    <w:name w:val="Footer Char"/>
    <w:basedOn w:val="DefaultParagraphFont"/>
    <w:link w:val="Footer"/>
    <w:uiPriority w:val="99"/>
    <w:rsid w:val="0077760B"/>
    <w:rPr>
      <w:rFonts w:eastAsia="Times New Roman"/>
    </w:rPr>
  </w:style>
  <w:style w:type="character" w:styleId="PageNumber">
    <w:name w:val="page number"/>
    <w:basedOn w:val="DefaultParagraphFont"/>
    <w:uiPriority w:val="99"/>
    <w:semiHidden/>
    <w:unhideWhenUsed/>
    <w:rsid w:val="0077760B"/>
  </w:style>
  <w:style w:type="character" w:styleId="Hyperlink">
    <w:name w:val="Hyperlink"/>
    <w:basedOn w:val="DefaultParagraphFont"/>
    <w:uiPriority w:val="99"/>
    <w:rsid w:val="00B30A29"/>
    <w:rPr>
      <w:color w:val="0563C1"/>
      <w:u w:val="single"/>
    </w:rPr>
  </w:style>
  <w:style w:type="character" w:customStyle="1" w:styleId="Heading1Char">
    <w:name w:val="Heading 1 Char"/>
    <w:basedOn w:val="DefaultParagraphFont"/>
    <w:link w:val="Heading1"/>
    <w:uiPriority w:val="9"/>
    <w:rsid w:val="00B30A29"/>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B30A29"/>
    <w:pPr>
      <w:spacing w:before="480" w:line="276" w:lineRule="auto"/>
      <w:outlineLvl w:val="9"/>
    </w:pPr>
    <w:rPr>
      <w:b/>
      <w:bCs/>
      <w:sz w:val="28"/>
      <w:szCs w:val="28"/>
    </w:rPr>
  </w:style>
  <w:style w:type="paragraph" w:styleId="TOC1">
    <w:name w:val="toc 1"/>
    <w:basedOn w:val="Normal"/>
    <w:next w:val="Normal"/>
    <w:autoRedefine/>
    <w:uiPriority w:val="39"/>
    <w:unhideWhenUsed/>
    <w:rsid w:val="00B30A29"/>
    <w:pPr>
      <w:spacing w:before="120"/>
    </w:pPr>
    <w:rPr>
      <w:rFonts w:asciiTheme="minorHAnsi" w:hAnsiTheme="minorHAnsi" w:cstheme="minorHAnsi"/>
      <w:b/>
      <w:bCs/>
      <w:i/>
      <w:iCs/>
    </w:rPr>
  </w:style>
  <w:style w:type="paragraph" w:styleId="TOC2">
    <w:name w:val="toc 2"/>
    <w:basedOn w:val="Normal"/>
    <w:next w:val="Normal"/>
    <w:autoRedefine/>
    <w:uiPriority w:val="39"/>
    <w:unhideWhenUsed/>
    <w:rsid w:val="00B30A29"/>
    <w:pPr>
      <w:spacing w:before="120"/>
      <w:ind w:left="240"/>
    </w:pPr>
    <w:rPr>
      <w:rFonts w:asciiTheme="minorHAnsi" w:hAnsiTheme="minorHAnsi" w:cstheme="minorHAnsi"/>
      <w:b/>
      <w:bCs/>
      <w:sz w:val="22"/>
      <w:szCs w:val="22"/>
    </w:rPr>
  </w:style>
  <w:style w:type="paragraph" w:styleId="TOC3">
    <w:name w:val="toc 3"/>
    <w:basedOn w:val="Normal"/>
    <w:next w:val="Normal"/>
    <w:autoRedefine/>
    <w:uiPriority w:val="39"/>
    <w:unhideWhenUsed/>
    <w:rsid w:val="00B30A29"/>
    <w:pPr>
      <w:ind w:left="480"/>
    </w:pPr>
    <w:rPr>
      <w:rFonts w:asciiTheme="minorHAnsi" w:hAnsiTheme="minorHAnsi" w:cstheme="minorHAnsi"/>
      <w:sz w:val="20"/>
      <w:szCs w:val="20"/>
    </w:rPr>
  </w:style>
  <w:style w:type="paragraph" w:styleId="TOC4">
    <w:name w:val="toc 4"/>
    <w:basedOn w:val="Normal"/>
    <w:next w:val="Normal"/>
    <w:autoRedefine/>
    <w:uiPriority w:val="39"/>
    <w:semiHidden/>
    <w:unhideWhenUsed/>
    <w:rsid w:val="00B30A29"/>
    <w:pPr>
      <w:ind w:left="72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B30A29"/>
    <w:pPr>
      <w:ind w:left="96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B30A29"/>
    <w:pPr>
      <w:ind w:left="12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B30A29"/>
    <w:pPr>
      <w:ind w:left="144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B30A29"/>
    <w:pPr>
      <w:ind w:left="168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B30A29"/>
    <w:pPr>
      <w:ind w:left="1920"/>
    </w:pPr>
    <w:rPr>
      <w:rFonts w:asciiTheme="minorHAnsi" w:hAnsiTheme="minorHAnsi" w:cstheme="minorHAnsi"/>
      <w:sz w:val="20"/>
      <w:szCs w:val="20"/>
    </w:rPr>
  </w:style>
  <w:style w:type="character" w:customStyle="1" w:styleId="Heading2Char">
    <w:name w:val="Heading 2 Char"/>
    <w:basedOn w:val="DefaultParagraphFont"/>
    <w:link w:val="Heading2"/>
    <w:uiPriority w:val="9"/>
    <w:rsid w:val="00B30A29"/>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B30A29"/>
    <w:rPr>
      <w:rFonts w:asciiTheme="majorHAnsi" w:eastAsiaTheme="majorEastAsia" w:hAnsiTheme="majorHAnsi" w:cstheme="majorBidi"/>
      <w:color w:val="1F3763" w:themeColor="accent1" w:themeShade="7F"/>
    </w:rPr>
  </w:style>
  <w:style w:type="character" w:styleId="UnresolvedMention">
    <w:name w:val="Unresolved Mention"/>
    <w:basedOn w:val="DefaultParagraphFont"/>
    <w:uiPriority w:val="99"/>
    <w:rsid w:val="00B30A29"/>
    <w:rPr>
      <w:color w:val="605E5C"/>
      <w:shd w:val="clear" w:color="auto" w:fill="E1DFDD"/>
    </w:rPr>
  </w:style>
  <w:style w:type="paragraph" w:styleId="Bibliography">
    <w:name w:val="Bibliography"/>
    <w:basedOn w:val="Normal"/>
    <w:next w:val="Normal"/>
    <w:uiPriority w:val="37"/>
    <w:unhideWhenUsed/>
    <w:rsid w:val="00175DD7"/>
    <w:pPr>
      <w:spacing w:line="480" w:lineRule="auto"/>
      <w:ind w:left="720" w:hanging="720"/>
    </w:pPr>
  </w:style>
  <w:style w:type="paragraph" w:styleId="BalloonText">
    <w:name w:val="Balloon Text"/>
    <w:basedOn w:val="Normal"/>
    <w:link w:val="BalloonTextChar"/>
    <w:uiPriority w:val="99"/>
    <w:semiHidden/>
    <w:unhideWhenUsed/>
    <w:rsid w:val="009F408B"/>
    <w:rPr>
      <w:sz w:val="18"/>
      <w:szCs w:val="18"/>
    </w:rPr>
  </w:style>
  <w:style w:type="character" w:customStyle="1" w:styleId="BalloonTextChar">
    <w:name w:val="Balloon Text Char"/>
    <w:basedOn w:val="DefaultParagraphFont"/>
    <w:link w:val="BalloonText"/>
    <w:uiPriority w:val="99"/>
    <w:semiHidden/>
    <w:rsid w:val="009F408B"/>
    <w:rPr>
      <w:rFonts w:eastAsia="Times New Roman"/>
      <w:sz w:val="18"/>
      <w:szCs w:val="18"/>
    </w:rPr>
  </w:style>
  <w:style w:type="paragraph" w:styleId="NormalWeb">
    <w:name w:val="Normal (Web)"/>
    <w:basedOn w:val="Normal"/>
    <w:uiPriority w:val="99"/>
    <w:unhideWhenUsed/>
    <w:rsid w:val="008247CF"/>
    <w:pPr>
      <w:spacing w:before="100" w:beforeAutospacing="1" w:after="100" w:afterAutospacing="1"/>
    </w:pPr>
  </w:style>
  <w:style w:type="paragraph" w:styleId="ListParagraph">
    <w:name w:val="List Paragraph"/>
    <w:basedOn w:val="Normal"/>
    <w:uiPriority w:val="34"/>
    <w:qFormat/>
    <w:rsid w:val="00F12A0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8620134">
      <w:bodyDiv w:val="1"/>
      <w:marLeft w:val="0"/>
      <w:marRight w:val="0"/>
      <w:marTop w:val="0"/>
      <w:marBottom w:val="0"/>
      <w:divBdr>
        <w:top w:val="none" w:sz="0" w:space="0" w:color="auto"/>
        <w:left w:val="none" w:sz="0" w:space="0" w:color="auto"/>
        <w:bottom w:val="none" w:sz="0" w:space="0" w:color="auto"/>
        <w:right w:val="none" w:sz="0" w:space="0" w:color="auto"/>
      </w:divBdr>
      <w:divsChild>
        <w:div w:id="604112960">
          <w:marLeft w:val="0"/>
          <w:marRight w:val="0"/>
          <w:marTop w:val="0"/>
          <w:marBottom w:val="0"/>
          <w:divBdr>
            <w:top w:val="none" w:sz="0" w:space="0" w:color="auto"/>
            <w:left w:val="none" w:sz="0" w:space="0" w:color="auto"/>
            <w:bottom w:val="none" w:sz="0" w:space="0" w:color="auto"/>
            <w:right w:val="none" w:sz="0" w:space="0" w:color="auto"/>
          </w:divBdr>
          <w:divsChild>
            <w:div w:id="432898011">
              <w:marLeft w:val="0"/>
              <w:marRight w:val="0"/>
              <w:marTop w:val="0"/>
              <w:marBottom w:val="0"/>
              <w:divBdr>
                <w:top w:val="none" w:sz="0" w:space="0" w:color="auto"/>
                <w:left w:val="none" w:sz="0" w:space="0" w:color="auto"/>
                <w:bottom w:val="none" w:sz="0" w:space="0" w:color="auto"/>
                <w:right w:val="none" w:sz="0" w:space="0" w:color="auto"/>
              </w:divBdr>
              <w:divsChild>
                <w:div w:id="1561331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924114">
      <w:bodyDiv w:val="1"/>
      <w:marLeft w:val="0"/>
      <w:marRight w:val="0"/>
      <w:marTop w:val="0"/>
      <w:marBottom w:val="0"/>
      <w:divBdr>
        <w:top w:val="none" w:sz="0" w:space="0" w:color="auto"/>
        <w:left w:val="none" w:sz="0" w:space="0" w:color="auto"/>
        <w:bottom w:val="none" w:sz="0" w:space="0" w:color="auto"/>
        <w:right w:val="none" w:sz="0" w:space="0" w:color="auto"/>
      </w:divBdr>
      <w:divsChild>
        <w:div w:id="91246544">
          <w:marLeft w:val="0"/>
          <w:marRight w:val="0"/>
          <w:marTop w:val="0"/>
          <w:marBottom w:val="0"/>
          <w:divBdr>
            <w:top w:val="none" w:sz="0" w:space="0" w:color="auto"/>
            <w:left w:val="none" w:sz="0" w:space="0" w:color="auto"/>
            <w:bottom w:val="none" w:sz="0" w:space="0" w:color="auto"/>
            <w:right w:val="none" w:sz="0" w:space="0" w:color="auto"/>
          </w:divBdr>
          <w:divsChild>
            <w:div w:id="1764839146">
              <w:marLeft w:val="0"/>
              <w:marRight w:val="0"/>
              <w:marTop w:val="0"/>
              <w:marBottom w:val="0"/>
              <w:divBdr>
                <w:top w:val="none" w:sz="0" w:space="0" w:color="auto"/>
                <w:left w:val="none" w:sz="0" w:space="0" w:color="auto"/>
                <w:bottom w:val="none" w:sz="0" w:space="0" w:color="auto"/>
                <w:right w:val="none" w:sz="0" w:space="0" w:color="auto"/>
              </w:divBdr>
              <w:divsChild>
                <w:div w:id="577785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46798">
      <w:bodyDiv w:val="1"/>
      <w:marLeft w:val="0"/>
      <w:marRight w:val="0"/>
      <w:marTop w:val="0"/>
      <w:marBottom w:val="0"/>
      <w:divBdr>
        <w:top w:val="none" w:sz="0" w:space="0" w:color="auto"/>
        <w:left w:val="none" w:sz="0" w:space="0" w:color="auto"/>
        <w:bottom w:val="none" w:sz="0" w:space="0" w:color="auto"/>
        <w:right w:val="none" w:sz="0" w:space="0" w:color="auto"/>
      </w:divBdr>
      <w:divsChild>
        <w:div w:id="1421607179">
          <w:marLeft w:val="0"/>
          <w:marRight w:val="0"/>
          <w:marTop w:val="0"/>
          <w:marBottom w:val="0"/>
          <w:divBdr>
            <w:top w:val="none" w:sz="0" w:space="0" w:color="auto"/>
            <w:left w:val="none" w:sz="0" w:space="0" w:color="auto"/>
            <w:bottom w:val="none" w:sz="0" w:space="0" w:color="auto"/>
            <w:right w:val="none" w:sz="0" w:space="0" w:color="auto"/>
          </w:divBdr>
          <w:divsChild>
            <w:div w:id="1596673065">
              <w:marLeft w:val="0"/>
              <w:marRight w:val="0"/>
              <w:marTop w:val="0"/>
              <w:marBottom w:val="0"/>
              <w:divBdr>
                <w:top w:val="none" w:sz="0" w:space="0" w:color="auto"/>
                <w:left w:val="none" w:sz="0" w:space="0" w:color="auto"/>
                <w:bottom w:val="none" w:sz="0" w:space="0" w:color="auto"/>
                <w:right w:val="none" w:sz="0" w:space="0" w:color="auto"/>
              </w:divBdr>
              <w:divsChild>
                <w:div w:id="699471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443127">
      <w:bodyDiv w:val="1"/>
      <w:marLeft w:val="0"/>
      <w:marRight w:val="0"/>
      <w:marTop w:val="0"/>
      <w:marBottom w:val="0"/>
      <w:divBdr>
        <w:top w:val="none" w:sz="0" w:space="0" w:color="auto"/>
        <w:left w:val="none" w:sz="0" w:space="0" w:color="auto"/>
        <w:bottom w:val="none" w:sz="0" w:space="0" w:color="auto"/>
        <w:right w:val="none" w:sz="0" w:space="0" w:color="auto"/>
      </w:divBdr>
      <w:divsChild>
        <w:div w:id="1435832365">
          <w:marLeft w:val="0"/>
          <w:marRight w:val="0"/>
          <w:marTop w:val="0"/>
          <w:marBottom w:val="0"/>
          <w:divBdr>
            <w:top w:val="none" w:sz="0" w:space="0" w:color="auto"/>
            <w:left w:val="none" w:sz="0" w:space="0" w:color="auto"/>
            <w:bottom w:val="none" w:sz="0" w:space="0" w:color="auto"/>
            <w:right w:val="none" w:sz="0" w:space="0" w:color="auto"/>
          </w:divBdr>
          <w:divsChild>
            <w:div w:id="432283993">
              <w:marLeft w:val="0"/>
              <w:marRight w:val="0"/>
              <w:marTop w:val="0"/>
              <w:marBottom w:val="0"/>
              <w:divBdr>
                <w:top w:val="none" w:sz="0" w:space="0" w:color="auto"/>
                <w:left w:val="none" w:sz="0" w:space="0" w:color="auto"/>
                <w:bottom w:val="none" w:sz="0" w:space="0" w:color="auto"/>
                <w:right w:val="none" w:sz="0" w:space="0" w:color="auto"/>
              </w:divBdr>
              <w:divsChild>
                <w:div w:id="397361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1683501">
      <w:bodyDiv w:val="1"/>
      <w:marLeft w:val="0"/>
      <w:marRight w:val="0"/>
      <w:marTop w:val="0"/>
      <w:marBottom w:val="0"/>
      <w:divBdr>
        <w:top w:val="none" w:sz="0" w:space="0" w:color="auto"/>
        <w:left w:val="none" w:sz="0" w:space="0" w:color="auto"/>
        <w:bottom w:val="none" w:sz="0" w:space="0" w:color="auto"/>
        <w:right w:val="none" w:sz="0" w:space="0" w:color="auto"/>
      </w:divBdr>
      <w:divsChild>
        <w:div w:id="426388096">
          <w:marLeft w:val="0"/>
          <w:marRight w:val="0"/>
          <w:marTop w:val="0"/>
          <w:marBottom w:val="0"/>
          <w:divBdr>
            <w:top w:val="none" w:sz="0" w:space="0" w:color="auto"/>
            <w:left w:val="none" w:sz="0" w:space="0" w:color="auto"/>
            <w:bottom w:val="none" w:sz="0" w:space="0" w:color="auto"/>
            <w:right w:val="none" w:sz="0" w:space="0" w:color="auto"/>
          </w:divBdr>
          <w:divsChild>
            <w:div w:id="423889855">
              <w:marLeft w:val="0"/>
              <w:marRight w:val="0"/>
              <w:marTop w:val="0"/>
              <w:marBottom w:val="0"/>
              <w:divBdr>
                <w:top w:val="none" w:sz="0" w:space="0" w:color="auto"/>
                <w:left w:val="none" w:sz="0" w:space="0" w:color="auto"/>
                <w:bottom w:val="none" w:sz="0" w:space="0" w:color="auto"/>
                <w:right w:val="none" w:sz="0" w:space="0" w:color="auto"/>
              </w:divBdr>
              <w:divsChild>
                <w:div w:id="1295984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8093992">
      <w:bodyDiv w:val="1"/>
      <w:marLeft w:val="0"/>
      <w:marRight w:val="0"/>
      <w:marTop w:val="0"/>
      <w:marBottom w:val="0"/>
      <w:divBdr>
        <w:top w:val="none" w:sz="0" w:space="0" w:color="auto"/>
        <w:left w:val="none" w:sz="0" w:space="0" w:color="auto"/>
        <w:bottom w:val="none" w:sz="0" w:space="0" w:color="auto"/>
        <w:right w:val="none" w:sz="0" w:space="0" w:color="auto"/>
      </w:divBdr>
      <w:divsChild>
        <w:div w:id="1478036792">
          <w:marLeft w:val="0"/>
          <w:marRight w:val="0"/>
          <w:marTop w:val="0"/>
          <w:marBottom w:val="0"/>
          <w:divBdr>
            <w:top w:val="none" w:sz="0" w:space="0" w:color="auto"/>
            <w:left w:val="none" w:sz="0" w:space="0" w:color="auto"/>
            <w:bottom w:val="none" w:sz="0" w:space="0" w:color="auto"/>
            <w:right w:val="none" w:sz="0" w:space="0" w:color="auto"/>
          </w:divBdr>
          <w:divsChild>
            <w:div w:id="1913461874">
              <w:marLeft w:val="0"/>
              <w:marRight w:val="0"/>
              <w:marTop w:val="0"/>
              <w:marBottom w:val="0"/>
              <w:divBdr>
                <w:top w:val="none" w:sz="0" w:space="0" w:color="auto"/>
                <w:left w:val="none" w:sz="0" w:space="0" w:color="auto"/>
                <w:bottom w:val="none" w:sz="0" w:space="0" w:color="auto"/>
                <w:right w:val="none" w:sz="0" w:space="0" w:color="auto"/>
              </w:divBdr>
              <w:divsChild>
                <w:div w:id="109729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73151">
      <w:bodyDiv w:val="1"/>
      <w:marLeft w:val="0"/>
      <w:marRight w:val="0"/>
      <w:marTop w:val="0"/>
      <w:marBottom w:val="0"/>
      <w:divBdr>
        <w:top w:val="none" w:sz="0" w:space="0" w:color="auto"/>
        <w:left w:val="none" w:sz="0" w:space="0" w:color="auto"/>
        <w:bottom w:val="none" w:sz="0" w:space="0" w:color="auto"/>
        <w:right w:val="none" w:sz="0" w:space="0" w:color="auto"/>
      </w:divBdr>
      <w:divsChild>
        <w:div w:id="1126580189">
          <w:marLeft w:val="0"/>
          <w:marRight w:val="0"/>
          <w:marTop w:val="0"/>
          <w:marBottom w:val="0"/>
          <w:divBdr>
            <w:top w:val="none" w:sz="0" w:space="0" w:color="auto"/>
            <w:left w:val="none" w:sz="0" w:space="0" w:color="auto"/>
            <w:bottom w:val="none" w:sz="0" w:space="0" w:color="auto"/>
            <w:right w:val="none" w:sz="0" w:space="0" w:color="auto"/>
          </w:divBdr>
          <w:divsChild>
            <w:div w:id="680011203">
              <w:marLeft w:val="0"/>
              <w:marRight w:val="0"/>
              <w:marTop w:val="0"/>
              <w:marBottom w:val="0"/>
              <w:divBdr>
                <w:top w:val="none" w:sz="0" w:space="0" w:color="auto"/>
                <w:left w:val="none" w:sz="0" w:space="0" w:color="auto"/>
                <w:bottom w:val="none" w:sz="0" w:space="0" w:color="auto"/>
                <w:right w:val="none" w:sz="0" w:space="0" w:color="auto"/>
              </w:divBdr>
              <w:divsChild>
                <w:div w:id="1580745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5553853">
      <w:bodyDiv w:val="1"/>
      <w:marLeft w:val="0"/>
      <w:marRight w:val="0"/>
      <w:marTop w:val="0"/>
      <w:marBottom w:val="0"/>
      <w:divBdr>
        <w:top w:val="none" w:sz="0" w:space="0" w:color="auto"/>
        <w:left w:val="none" w:sz="0" w:space="0" w:color="auto"/>
        <w:bottom w:val="none" w:sz="0" w:space="0" w:color="auto"/>
        <w:right w:val="none" w:sz="0" w:space="0" w:color="auto"/>
      </w:divBdr>
      <w:divsChild>
        <w:div w:id="267734923">
          <w:marLeft w:val="0"/>
          <w:marRight w:val="0"/>
          <w:marTop w:val="0"/>
          <w:marBottom w:val="0"/>
          <w:divBdr>
            <w:top w:val="none" w:sz="0" w:space="0" w:color="auto"/>
            <w:left w:val="none" w:sz="0" w:space="0" w:color="auto"/>
            <w:bottom w:val="none" w:sz="0" w:space="0" w:color="auto"/>
            <w:right w:val="none" w:sz="0" w:space="0" w:color="auto"/>
          </w:divBdr>
          <w:divsChild>
            <w:div w:id="1371950723">
              <w:marLeft w:val="0"/>
              <w:marRight w:val="0"/>
              <w:marTop w:val="0"/>
              <w:marBottom w:val="0"/>
              <w:divBdr>
                <w:top w:val="none" w:sz="0" w:space="0" w:color="auto"/>
                <w:left w:val="none" w:sz="0" w:space="0" w:color="auto"/>
                <w:bottom w:val="none" w:sz="0" w:space="0" w:color="auto"/>
                <w:right w:val="none" w:sz="0" w:space="0" w:color="auto"/>
              </w:divBdr>
              <w:divsChild>
                <w:div w:id="121330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9763500">
      <w:bodyDiv w:val="1"/>
      <w:marLeft w:val="0"/>
      <w:marRight w:val="0"/>
      <w:marTop w:val="0"/>
      <w:marBottom w:val="0"/>
      <w:divBdr>
        <w:top w:val="none" w:sz="0" w:space="0" w:color="auto"/>
        <w:left w:val="none" w:sz="0" w:space="0" w:color="auto"/>
        <w:bottom w:val="none" w:sz="0" w:space="0" w:color="auto"/>
        <w:right w:val="none" w:sz="0" w:space="0" w:color="auto"/>
      </w:divBdr>
      <w:divsChild>
        <w:div w:id="51659598">
          <w:marLeft w:val="0"/>
          <w:marRight w:val="0"/>
          <w:marTop w:val="0"/>
          <w:marBottom w:val="0"/>
          <w:divBdr>
            <w:top w:val="none" w:sz="0" w:space="0" w:color="auto"/>
            <w:left w:val="none" w:sz="0" w:space="0" w:color="auto"/>
            <w:bottom w:val="none" w:sz="0" w:space="0" w:color="auto"/>
            <w:right w:val="none" w:sz="0" w:space="0" w:color="auto"/>
          </w:divBdr>
          <w:divsChild>
            <w:div w:id="852378822">
              <w:marLeft w:val="0"/>
              <w:marRight w:val="0"/>
              <w:marTop w:val="0"/>
              <w:marBottom w:val="0"/>
              <w:divBdr>
                <w:top w:val="none" w:sz="0" w:space="0" w:color="auto"/>
                <w:left w:val="none" w:sz="0" w:space="0" w:color="auto"/>
                <w:bottom w:val="none" w:sz="0" w:space="0" w:color="auto"/>
                <w:right w:val="none" w:sz="0" w:space="0" w:color="auto"/>
              </w:divBdr>
              <w:divsChild>
                <w:div w:id="566381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160191">
      <w:bodyDiv w:val="1"/>
      <w:marLeft w:val="0"/>
      <w:marRight w:val="0"/>
      <w:marTop w:val="0"/>
      <w:marBottom w:val="0"/>
      <w:divBdr>
        <w:top w:val="none" w:sz="0" w:space="0" w:color="auto"/>
        <w:left w:val="none" w:sz="0" w:space="0" w:color="auto"/>
        <w:bottom w:val="none" w:sz="0" w:space="0" w:color="auto"/>
        <w:right w:val="none" w:sz="0" w:space="0" w:color="auto"/>
      </w:divBdr>
      <w:divsChild>
        <w:div w:id="802238244">
          <w:marLeft w:val="0"/>
          <w:marRight w:val="0"/>
          <w:marTop w:val="0"/>
          <w:marBottom w:val="0"/>
          <w:divBdr>
            <w:top w:val="none" w:sz="0" w:space="0" w:color="auto"/>
            <w:left w:val="none" w:sz="0" w:space="0" w:color="auto"/>
            <w:bottom w:val="none" w:sz="0" w:space="0" w:color="auto"/>
            <w:right w:val="none" w:sz="0" w:space="0" w:color="auto"/>
          </w:divBdr>
        </w:div>
      </w:divsChild>
    </w:div>
    <w:div w:id="1040400246">
      <w:bodyDiv w:val="1"/>
      <w:marLeft w:val="0"/>
      <w:marRight w:val="0"/>
      <w:marTop w:val="0"/>
      <w:marBottom w:val="0"/>
      <w:divBdr>
        <w:top w:val="none" w:sz="0" w:space="0" w:color="auto"/>
        <w:left w:val="none" w:sz="0" w:space="0" w:color="auto"/>
        <w:bottom w:val="none" w:sz="0" w:space="0" w:color="auto"/>
        <w:right w:val="none" w:sz="0" w:space="0" w:color="auto"/>
      </w:divBdr>
      <w:divsChild>
        <w:div w:id="1118569203">
          <w:marLeft w:val="0"/>
          <w:marRight w:val="0"/>
          <w:marTop w:val="0"/>
          <w:marBottom w:val="0"/>
          <w:divBdr>
            <w:top w:val="none" w:sz="0" w:space="0" w:color="auto"/>
            <w:left w:val="none" w:sz="0" w:space="0" w:color="auto"/>
            <w:bottom w:val="none" w:sz="0" w:space="0" w:color="auto"/>
            <w:right w:val="none" w:sz="0" w:space="0" w:color="auto"/>
          </w:divBdr>
          <w:divsChild>
            <w:div w:id="2059234083">
              <w:marLeft w:val="0"/>
              <w:marRight w:val="0"/>
              <w:marTop w:val="0"/>
              <w:marBottom w:val="0"/>
              <w:divBdr>
                <w:top w:val="none" w:sz="0" w:space="0" w:color="auto"/>
                <w:left w:val="none" w:sz="0" w:space="0" w:color="auto"/>
                <w:bottom w:val="none" w:sz="0" w:space="0" w:color="auto"/>
                <w:right w:val="none" w:sz="0" w:space="0" w:color="auto"/>
              </w:divBdr>
              <w:divsChild>
                <w:div w:id="773553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7183929">
      <w:bodyDiv w:val="1"/>
      <w:marLeft w:val="0"/>
      <w:marRight w:val="0"/>
      <w:marTop w:val="0"/>
      <w:marBottom w:val="0"/>
      <w:divBdr>
        <w:top w:val="none" w:sz="0" w:space="0" w:color="auto"/>
        <w:left w:val="none" w:sz="0" w:space="0" w:color="auto"/>
        <w:bottom w:val="none" w:sz="0" w:space="0" w:color="auto"/>
        <w:right w:val="none" w:sz="0" w:space="0" w:color="auto"/>
      </w:divBdr>
      <w:divsChild>
        <w:div w:id="678233978">
          <w:marLeft w:val="0"/>
          <w:marRight w:val="0"/>
          <w:marTop w:val="0"/>
          <w:marBottom w:val="0"/>
          <w:divBdr>
            <w:top w:val="none" w:sz="0" w:space="0" w:color="auto"/>
            <w:left w:val="none" w:sz="0" w:space="0" w:color="auto"/>
            <w:bottom w:val="none" w:sz="0" w:space="0" w:color="auto"/>
            <w:right w:val="none" w:sz="0" w:space="0" w:color="auto"/>
          </w:divBdr>
          <w:divsChild>
            <w:div w:id="1712916765">
              <w:marLeft w:val="0"/>
              <w:marRight w:val="0"/>
              <w:marTop w:val="0"/>
              <w:marBottom w:val="0"/>
              <w:divBdr>
                <w:top w:val="none" w:sz="0" w:space="0" w:color="auto"/>
                <w:left w:val="none" w:sz="0" w:space="0" w:color="auto"/>
                <w:bottom w:val="none" w:sz="0" w:space="0" w:color="auto"/>
                <w:right w:val="none" w:sz="0" w:space="0" w:color="auto"/>
              </w:divBdr>
              <w:divsChild>
                <w:div w:id="459543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633834">
      <w:bodyDiv w:val="1"/>
      <w:marLeft w:val="0"/>
      <w:marRight w:val="0"/>
      <w:marTop w:val="0"/>
      <w:marBottom w:val="0"/>
      <w:divBdr>
        <w:top w:val="none" w:sz="0" w:space="0" w:color="auto"/>
        <w:left w:val="none" w:sz="0" w:space="0" w:color="auto"/>
        <w:bottom w:val="none" w:sz="0" w:space="0" w:color="auto"/>
        <w:right w:val="none" w:sz="0" w:space="0" w:color="auto"/>
      </w:divBdr>
      <w:divsChild>
        <w:div w:id="1059523970">
          <w:marLeft w:val="0"/>
          <w:marRight w:val="0"/>
          <w:marTop w:val="0"/>
          <w:marBottom w:val="0"/>
          <w:divBdr>
            <w:top w:val="none" w:sz="0" w:space="0" w:color="auto"/>
            <w:left w:val="none" w:sz="0" w:space="0" w:color="auto"/>
            <w:bottom w:val="none" w:sz="0" w:space="0" w:color="auto"/>
            <w:right w:val="none" w:sz="0" w:space="0" w:color="auto"/>
          </w:divBdr>
          <w:divsChild>
            <w:div w:id="1512647114">
              <w:marLeft w:val="0"/>
              <w:marRight w:val="0"/>
              <w:marTop w:val="0"/>
              <w:marBottom w:val="0"/>
              <w:divBdr>
                <w:top w:val="none" w:sz="0" w:space="0" w:color="auto"/>
                <w:left w:val="none" w:sz="0" w:space="0" w:color="auto"/>
                <w:bottom w:val="none" w:sz="0" w:space="0" w:color="auto"/>
                <w:right w:val="none" w:sz="0" w:space="0" w:color="auto"/>
              </w:divBdr>
              <w:divsChild>
                <w:div w:id="1158375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5650138">
      <w:bodyDiv w:val="1"/>
      <w:marLeft w:val="0"/>
      <w:marRight w:val="0"/>
      <w:marTop w:val="0"/>
      <w:marBottom w:val="0"/>
      <w:divBdr>
        <w:top w:val="none" w:sz="0" w:space="0" w:color="auto"/>
        <w:left w:val="none" w:sz="0" w:space="0" w:color="auto"/>
        <w:bottom w:val="none" w:sz="0" w:space="0" w:color="auto"/>
        <w:right w:val="none" w:sz="0" w:space="0" w:color="auto"/>
      </w:divBdr>
      <w:divsChild>
        <w:div w:id="366175502">
          <w:marLeft w:val="0"/>
          <w:marRight w:val="0"/>
          <w:marTop w:val="0"/>
          <w:marBottom w:val="0"/>
          <w:divBdr>
            <w:top w:val="none" w:sz="0" w:space="0" w:color="auto"/>
            <w:left w:val="none" w:sz="0" w:space="0" w:color="auto"/>
            <w:bottom w:val="none" w:sz="0" w:space="0" w:color="auto"/>
            <w:right w:val="none" w:sz="0" w:space="0" w:color="auto"/>
          </w:divBdr>
          <w:divsChild>
            <w:div w:id="1237279851">
              <w:marLeft w:val="0"/>
              <w:marRight w:val="0"/>
              <w:marTop w:val="0"/>
              <w:marBottom w:val="0"/>
              <w:divBdr>
                <w:top w:val="none" w:sz="0" w:space="0" w:color="auto"/>
                <w:left w:val="none" w:sz="0" w:space="0" w:color="auto"/>
                <w:bottom w:val="none" w:sz="0" w:space="0" w:color="auto"/>
                <w:right w:val="none" w:sz="0" w:space="0" w:color="auto"/>
              </w:divBdr>
              <w:divsChild>
                <w:div w:id="1035421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413007">
      <w:bodyDiv w:val="1"/>
      <w:marLeft w:val="0"/>
      <w:marRight w:val="0"/>
      <w:marTop w:val="0"/>
      <w:marBottom w:val="0"/>
      <w:divBdr>
        <w:top w:val="none" w:sz="0" w:space="0" w:color="auto"/>
        <w:left w:val="none" w:sz="0" w:space="0" w:color="auto"/>
        <w:bottom w:val="none" w:sz="0" w:space="0" w:color="auto"/>
        <w:right w:val="none" w:sz="0" w:space="0" w:color="auto"/>
      </w:divBdr>
      <w:divsChild>
        <w:div w:id="2100711302">
          <w:marLeft w:val="0"/>
          <w:marRight w:val="0"/>
          <w:marTop w:val="0"/>
          <w:marBottom w:val="0"/>
          <w:divBdr>
            <w:top w:val="none" w:sz="0" w:space="0" w:color="auto"/>
            <w:left w:val="none" w:sz="0" w:space="0" w:color="auto"/>
            <w:bottom w:val="none" w:sz="0" w:space="0" w:color="auto"/>
            <w:right w:val="none" w:sz="0" w:space="0" w:color="auto"/>
          </w:divBdr>
          <w:divsChild>
            <w:div w:id="175657846">
              <w:marLeft w:val="0"/>
              <w:marRight w:val="0"/>
              <w:marTop w:val="0"/>
              <w:marBottom w:val="0"/>
              <w:divBdr>
                <w:top w:val="none" w:sz="0" w:space="0" w:color="auto"/>
                <w:left w:val="none" w:sz="0" w:space="0" w:color="auto"/>
                <w:bottom w:val="none" w:sz="0" w:space="0" w:color="auto"/>
                <w:right w:val="none" w:sz="0" w:space="0" w:color="auto"/>
              </w:divBdr>
              <w:divsChild>
                <w:div w:id="84976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sdmeasures.shinyapps.io/bdi_scor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sdmeasures.shinyapps.io/TAS8_Score/" TargetMode="Externa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25DD36-2DAC-D94F-925C-32FEB7FB0D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TotalTime>
  <Pages>15</Pages>
  <Words>15984</Words>
  <Characters>91113</Characters>
  <Application>Microsoft Office Word</Application>
  <DocSecurity>0</DocSecurity>
  <Lines>759</Lines>
  <Paragraphs>213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 Zachary J</dc:creator>
  <cp:keywords/>
  <dc:description/>
  <cp:lastModifiedBy>Williams, Zachary J</cp:lastModifiedBy>
  <cp:revision>16</cp:revision>
  <dcterms:created xsi:type="dcterms:W3CDTF">2020-09-27T16:09:00Z</dcterms:created>
  <dcterms:modified xsi:type="dcterms:W3CDTF">2020-10-10T14:10:00Z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zotero-version="5.0.90"&gt;&lt;session id="UYLPowfs"/&gt;&lt;style id="http://www.zotero.org/styles/apa" locale="en-US" hasBibliography="1" bibliographyStyleHasBeenSet="1"/&gt;&lt;prefs&gt;&lt;pref name="fieldType" value="Field"/&gt;&lt;pref name="automaticJourn</vt:lpwstr>
  </property>
  <property fmtid="{D5CDD505-2E9C-101B-9397-08002B2CF9AE}" pid="3" name="ZOTERO_PREF_2">
    <vt:lpwstr>alAbbreviations" value="true"/&gt;&lt;/prefs&gt;&lt;/data&gt;</vt:lpwstr>
  </property>
</Properties>
</file>