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67F48">
      <w:pPr>
        <w:jc w:val="center"/>
        <w:outlineLvl w:val="0"/>
        <w:rPr>
          <w:rFonts w:hint="default" w:ascii="Times New Roman" w:hAnsi="Times New Roman" w:cs="Times New Roman"/>
          <w:sz w:val="32"/>
          <w:szCs w:val="32"/>
        </w:rPr>
      </w:pPr>
      <w:bookmarkStart w:id="0" w:name="_Toc11562"/>
      <w:r>
        <w:rPr>
          <w:rFonts w:hint="default" w:ascii="Times New Roman" w:hAnsi="Times New Roman" w:cs="Times New Roman"/>
          <w:sz w:val="32"/>
          <w:szCs w:val="32"/>
        </w:rPr>
        <w:t>Supporting Information</w:t>
      </w:r>
      <w:bookmarkEnd w:id="0"/>
    </w:p>
    <w:p w14:paraId="3E83E6B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auto"/>
        <w:rPr>
          <w:rFonts w:hint="default" w:ascii="Times New Roman" w:hAnsi="Times New Roman" w:cs="Times New Roman"/>
          <w:b w:val="0"/>
          <w:bCs/>
          <w:sz w:val="22"/>
          <w:szCs w:val="22"/>
          <w:shd w:val="clear" w:color="auto" w:fill="auto"/>
          <w:vertAlign w:val="superscript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  <w:t>Hanwen Liu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  <w:t>, Ying Zhu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  <w:t>, Haibo Cai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vertAlign w:val="superscript"/>
          <w:lang w:val="en-US" w:eastAsia="zh-CN"/>
        </w:rPr>
        <w:t>1, *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  <w:t>, Yongchun Zhou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vertAlign w:val="superscript"/>
          <w:lang w:val="en-US" w:eastAsia="zh-CN"/>
        </w:rPr>
        <w:t>2, *</w:t>
      </w:r>
    </w:p>
    <w:p w14:paraId="77D0E4C6">
      <w:pPr>
        <w:spacing w:line="276" w:lineRule="auto"/>
        <w:rPr>
          <w:rFonts w:hint="eastAsia" w:ascii="Times New Roman" w:hAnsi="Times New Roman" w:cs="Times New Roman" w:eastAsiaTheme="minorEastAsia"/>
          <w:b w:val="0"/>
          <w:bCs/>
          <w:sz w:val="22"/>
          <w:szCs w:val="22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vertAlign w:val="superscript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  <w:t>State Key Laboratory of Bioreactor Engineering, East China University of Science and Technology, 130 Meilong Road, Shanghai 200237, China.</w:t>
      </w:r>
      <w:r>
        <w:rPr>
          <w:rFonts w:ascii="Times New Roman" w:hAnsi="Times New Roman" w:cs="Times New Roman"/>
          <w:sz w:val="22"/>
          <w:szCs w:val="22"/>
        </w:rPr>
        <w:t>ORCID: 0000-0001-6449-8643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  <w:bookmarkStart w:id="1" w:name="_GoBack"/>
      <w:bookmarkEnd w:id="1"/>
    </w:p>
    <w:p w14:paraId="7A5D852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both"/>
        <w:textAlignment w:val="auto"/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  <w:t>Shanghai Chemo Wanbang Biopharma Co., LTD. 1098 Yuegong Road, Shanghai 201508, China.</w:t>
      </w:r>
    </w:p>
    <w:p w14:paraId="6ED327B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both"/>
        <w:textAlignment w:val="auto"/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  <w:t xml:space="preserve">*Corresponding authors: Haibo Cai, E-mail address: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"mailto:caihaibo@ecust.edu.cn" </w:instrTex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caihaibo@ecust.edu.cn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61AC21C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00" w:firstLineChars="1000"/>
        <w:jc w:val="both"/>
        <w:textAlignment w:val="auto"/>
        <w:rPr>
          <w:rFonts w:hint="default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sz w:val="22"/>
          <w:szCs w:val="22"/>
          <w:shd w:val="clear" w:color="auto" w:fill="auto"/>
          <w:lang w:val="en-US" w:eastAsia="zh-CN"/>
        </w:rPr>
        <w:t>Yongchun Zhou, E-mail address: zhouyc@chemowanbang.cn</w:t>
      </w:r>
    </w:p>
    <w:p w14:paraId="15497FA8">
      <w:pP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br w:type="page"/>
      </w:r>
    </w:p>
    <w:p w14:paraId="15C9F986">
      <w:pPr>
        <w:jc w:val="center"/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</w:p>
    <w:p w14:paraId="7BBECCB9">
      <w:pPr>
        <w:jc w:val="center"/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</w:pPr>
    </w:p>
    <w:p w14:paraId="0A32FBE2">
      <w:pPr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Table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Primer sequences for the SV40 promoter</w:t>
      </w:r>
    </w:p>
    <w:tbl>
      <w:tblPr>
        <w:tblStyle w:val="4"/>
        <w:tblW w:w="0" w:type="auto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1"/>
        <w:gridCol w:w="6086"/>
      </w:tblGrid>
      <w:tr w14:paraId="329FF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1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  <w:tl2br w:val="nil"/>
            </w:tcBorders>
            <w:shd w:val="clear" w:color="auto" w:fill="FFFFFF"/>
            <w:noWrap w:val="0"/>
            <w:vAlign w:val="center"/>
          </w:tcPr>
          <w:p w14:paraId="5FAEA31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Primer</w:t>
            </w:r>
          </w:p>
        </w:tc>
        <w:tc>
          <w:tcPr>
            <w:tcW w:w="6086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1BA71E6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Sequences（5’→3’）</w:t>
            </w:r>
          </w:p>
        </w:tc>
      </w:tr>
      <w:tr w14:paraId="7F37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7EF1C8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SV40-F</w:t>
            </w:r>
          </w:p>
        </w:tc>
        <w:tc>
          <w:tcPr>
            <w:tcW w:w="608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C95732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  <w:u w:val="single"/>
              </w:rPr>
              <w:t>GTCGAC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CATCTCAATTAGTCAGCAACCATA</w:t>
            </w:r>
          </w:p>
        </w:tc>
      </w:tr>
      <w:tr w14:paraId="4221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4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6C5DD2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SV40-R</w:t>
            </w:r>
          </w:p>
        </w:tc>
        <w:tc>
          <w:tcPr>
            <w:tcW w:w="60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2A35733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GCT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  <w:u w:val="single"/>
              </w:rPr>
              <w:t>GAGCTC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TTGCAAAAGCCTAGGCCTT</w:t>
            </w:r>
          </w:p>
        </w:tc>
      </w:tr>
    </w:tbl>
    <w:p w14:paraId="0557AD9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Table 2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Primer sequences for the MAR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2"/>
        <w:gridCol w:w="5790"/>
      </w:tblGrid>
      <w:tr w14:paraId="44CD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2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  <w:tl2br w:val="nil"/>
            </w:tcBorders>
            <w:shd w:val="clear" w:color="auto" w:fill="FFFFFF"/>
            <w:noWrap w:val="0"/>
            <w:vAlign w:val="center"/>
          </w:tcPr>
          <w:p w14:paraId="69B586A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Primer</w:t>
            </w:r>
          </w:p>
        </w:tc>
        <w:tc>
          <w:tcPr>
            <w:tcW w:w="5790" w:type="dxa"/>
            <w:tcBorders>
              <w:top w:val="single" w:color="000000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4E261C8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lang w:val="en-US" w:eastAsia="zh-CN"/>
              </w:rPr>
              <w:t>Sequences（5’→3’）</w:t>
            </w:r>
          </w:p>
        </w:tc>
      </w:tr>
      <w:tr w14:paraId="3290F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C6FA70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4"/>
                <w:szCs w:val="24"/>
              </w:rPr>
              <w:t>iMAR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  <w:t>-F1</w:t>
            </w:r>
          </w:p>
        </w:tc>
        <w:tc>
          <w:tcPr>
            <w:tcW w:w="57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6557B7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  <w:t>CG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4"/>
                <w:szCs w:val="24"/>
                <w:u w:val="single"/>
              </w:rPr>
              <w:t>ACGCAC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  <w:t>GCGTGAATTCAGCAAGGTCG</w:t>
            </w:r>
          </w:p>
        </w:tc>
      </w:tr>
      <w:tr w14:paraId="52953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2DB5A0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4"/>
                <w:szCs w:val="24"/>
              </w:rPr>
              <w:t>iMAR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  <w:t>-F2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D4E98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4"/>
                <w:szCs w:val="24"/>
                <w:u w:val="single"/>
              </w:rPr>
              <w:t>AAGCTT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  <w:t>CGAATTCAGCAAGGTCGCCACGC</w:t>
            </w:r>
          </w:p>
        </w:tc>
      </w:tr>
      <w:tr w14:paraId="4D3A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0BD741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4"/>
                <w:szCs w:val="24"/>
              </w:rPr>
              <w:t>iMAR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  <w:t>-R1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A11A12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sz w:val="24"/>
                <w:szCs w:val="24"/>
                <w:u w:val="single"/>
              </w:rPr>
              <w:t>GTCGAC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24"/>
                <w:szCs w:val="24"/>
              </w:rPr>
              <w:t>CAATAATCAATGTCCTATCAAGATA</w:t>
            </w:r>
          </w:p>
        </w:tc>
      </w:tr>
      <w:tr w14:paraId="4391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79115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</w:rPr>
              <w:t>iMAR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-R2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7A0A0F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  <w:u w:val="single"/>
              </w:rPr>
              <w:t>GCGGCCGC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AAATCTACTATCAAGATATTTA</w:t>
            </w:r>
          </w:p>
        </w:tc>
      </w:tr>
      <w:tr w14:paraId="4D243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93088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</w:rPr>
              <w:t>gMAR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-F1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E53F9E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CG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  <w:u w:val="single"/>
              </w:rPr>
              <w:t>ACGCAC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CGTGTCATCAAACAGAGAAAAAAGT</w:t>
            </w:r>
          </w:p>
        </w:tc>
      </w:tr>
      <w:tr w14:paraId="14484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A7C3C8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</w:rPr>
              <w:t>gMAR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-F2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792B62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  <w:u w:val="single"/>
              </w:rPr>
              <w:t>AAGCTT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CGTGTCATCAAACAGAGAAAAAAGT</w:t>
            </w:r>
          </w:p>
        </w:tc>
      </w:tr>
      <w:tr w14:paraId="45A2C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1131A1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</w:rPr>
              <w:t>gMAR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-R1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7EAC8B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GC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  <w:u w:val="single"/>
              </w:rPr>
              <w:t>GTCGAC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TTAATTGGTTAAAAAAAATT</w:t>
            </w:r>
          </w:p>
        </w:tc>
      </w:tr>
      <w:tr w14:paraId="227F5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3DD9448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</w:rPr>
              <w:t>gMAR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-R2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center"/>
          </w:tcPr>
          <w:p w14:paraId="598D31E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TT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24"/>
                <w:szCs w:val="24"/>
                <w:u w:val="single"/>
              </w:rPr>
              <w:t>GCGGCCGC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</w:rPr>
              <w:t>CTTAATTGGTTAAAAAAAATTAT</w:t>
            </w:r>
          </w:p>
        </w:tc>
      </w:tr>
    </w:tbl>
    <w:p w14:paraId="1E8E1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jc w:val="center"/>
        <w:textAlignment w:val="auto"/>
        <w:rPr>
          <w:rFonts w:hint="eastAsia" w:eastAsia="宋体" w:cs="Times New Roman"/>
          <w:szCs w:val="24"/>
          <w:lang w:eastAsia="zh-CN"/>
        </w:rPr>
      </w:pPr>
      <w:r>
        <w:rPr>
          <w:rFonts w:hint="eastAsia" w:eastAsia="宋体" w:cs="Times New Roman"/>
          <w:szCs w:val="24"/>
          <w:lang w:eastAsia="zh-CN"/>
        </w:rPr>
        <w:drawing>
          <wp:inline distT="0" distB="0" distL="114300" distR="114300">
            <wp:extent cx="3412490" cy="2594610"/>
            <wp:effectExtent l="0" t="0" r="6985" b="5715"/>
            <wp:docPr id="24" name="图片 24" descr="IL-2标准品曲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L-2标准品曲线"/>
                    <pic:cNvPicPr>
                      <a:picLocks noChangeAspect="1"/>
                    </pic:cNvPicPr>
                  </pic:nvPicPr>
                  <pic:blipFill>
                    <a:blip r:embed="rId4"/>
                    <a:srcRect b="2424"/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D167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 xml:space="preserve">Fig. 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1  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</w:rPr>
        <w:t xml:space="preserve">Standard curves of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IL-2</w:t>
      </w: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</w:rPr>
        <w:t xml:space="preserve"> fusion protein</w:t>
      </w:r>
    </w:p>
    <w:p w14:paraId="129CA3C8">
      <w:pPr>
        <w:rPr>
          <w:rFonts w:hint="eastAsia" w:ascii="Times New Roman" w:hAnsi="Times New Roman" w:eastAsia="宋体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 w:val="0"/>
          <w:bCs/>
          <w:sz w:val="24"/>
          <w:szCs w:val="24"/>
        </w:rPr>
        <w:br w:type="page"/>
      </w:r>
    </w:p>
    <w:p w14:paraId="33E8F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 Central combination experiment of selected variable range</w:t>
      </w:r>
    </w:p>
    <w:tbl>
      <w:tblPr>
        <w:tblStyle w:val="4"/>
        <w:tblW w:w="8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3308"/>
        <w:gridCol w:w="1170"/>
        <w:gridCol w:w="1252"/>
        <w:gridCol w:w="1361"/>
      </w:tblGrid>
      <w:tr w14:paraId="59F56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5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6B3ABE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Symbol</w:t>
            </w:r>
          </w:p>
        </w:tc>
        <w:tc>
          <w:tcPr>
            <w:tcW w:w="330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F5A8CD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sz w:val="24"/>
                <w:szCs w:val="24"/>
                <w:lang w:val="en-US" w:eastAsia="zh-CN"/>
              </w:rPr>
              <w:t>Factor</w:t>
            </w:r>
          </w:p>
        </w:tc>
        <w:tc>
          <w:tcPr>
            <w:tcW w:w="3783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968F37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231F20"/>
                <w:sz w:val="24"/>
                <w:szCs w:val="24"/>
                <w:lang w:val="en-US" w:eastAsia="zh-CN"/>
              </w:rPr>
              <w:t>Level</w:t>
            </w:r>
          </w:p>
        </w:tc>
      </w:tr>
      <w:tr w14:paraId="21EBE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F0802C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7B176C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</w:p>
        </w:tc>
        <w:tc>
          <w:tcPr>
            <w:tcW w:w="125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B6940D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DF2119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+1</w:t>
            </w:r>
          </w:p>
        </w:tc>
      </w:tr>
      <w:tr w14:paraId="587BE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FEB347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tbl>
            <w:tblPr>
              <w:tblStyle w:val="3"/>
              <w:tblW w:w="0" w:type="auto"/>
              <w:tblInd w:w="-1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320"/>
              <w:gridCol w:w="4320"/>
            </w:tblGrid>
            <w:tr w14:paraId="20836FB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4320" w:type="dxa"/>
                  <w:shd w:val="clear" w:color="auto" w:fill="FFFFFF"/>
                  <w:tcMar>
                    <w:top w:w="75" w:type="dxa"/>
                    <w:left w:w="120" w:type="dxa"/>
                    <w:bottom w:w="75" w:type="dxa"/>
                    <w:right w:w="120" w:type="dxa"/>
                  </w:tcMar>
                  <w:vAlign w:val="center"/>
                </w:tcPr>
                <w:p w14:paraId="67328411">
                  <w:pPr>
                    <w:pStyle w:val="2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00" w:lineRule="auto"/>
                    <w:jc w:val="both"/>
                    <w:textAlignment w:val="auto"/>
                    <w:rPr>
                      <w:rFonts w:hint="eastAsia" w:ascii="Times New Roman" w:hAnsi="Times New Roman" w:cs="Times New Roman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en-US" w:eastAsia="zh-CN"/>
                    </w:rPr>
                    <w:t>DNA-to-PEI</w:t>
                  </w:r>
                  <w:r>
                    <w:rPr>
                      <w:rFonts w:hint="eastAsia" w:ascii="Times New Roman" w:hAnsi="Times New Roman" w:cs="Times New Roman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/>
                      <w:sz w:val="24"/>
                      <w:szCs w:val="24"/>
                      <w:lang w:val="en-US" w:eastAsia="zh-CN"/>
                    </w:rPr>
                    <w:t>ratio</w:t>
                  </w:r>
                </w:p>
              </w:tc>
              <w:tc>
                <w:tcPr>
                  <w:tcW w:w="4320" w:type="dxa"/>
                  <w:shd w:val="clear" w:color="auto" w:fill="FFFFFF"/>
                  <w:tcMar>
                    <w:top w:w="75" w:type="dxa"/>
                    <w:left w:w="120" w:type="dxa"/>
                    <w:bottom w:w="75" w:type="dxa"/>
                    <w:right w:w="120" w:type="dxa"/>
                  </w:tcMar>
                  <w:vAlign w:val="center"/>
                </w:tcPr>
                <w:p w14:paraId="5957901D">
                  <w:pPr>
                    <w:pStyle w:val="2"/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 w:line="300" w:lineRule="auto"/>
                    <w:jc w:val="center"/>
                    <w:textAlignment w:val="auto"/>
                    <w:rPr>
                      <w:rFonts w:hint="default" w:ascii="Times New Roman" w:hAnsi="Times New Roman" w:cs="Times New Roman"/>
                      <w:sz w:val="24"/>
                      <w:szCs w:val="24"/>
                      <w:lang w:val="en-US" w:eastAsia="zh-CN"/>
                    </w:rPr>
                  </w:pPr>
                </w:p>
              </w:tc>
            </w:tr>
          </w:tbl>
          <w:p w14:paraId="07255C3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BE589F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1: 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B3DC2D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1: 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5D03F2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1: 3</w:t>
            </w:r>
          </w:p>
        </w:tc>
      </w:tr>
      <w:tr w14:paraId="7878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7B8C375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6D4269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DNA-PEI incubation time (min)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744B1D4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421ACD7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2330DE9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15</w:t>
            </w:r>
          </w:p>
        </w:tc>
      </w:tr>
    </w:tbl>
    <w:p w14:paraId="57A5E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Experimental design with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Minitab</w:t>
      </w:r>
    </w:p>
    <w:tbl>
      <w:tblPr>
        <w:tblStyle w:val="4"/>
        <w:tblW w:w="81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2685"/>
        <w:gridCol w:w="2837"/>
      </w:tblGrid>
      <w:tr w14:paraId="76CF1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420D92C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Experiment No.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685E034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DNA-to-PEI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ratio</w:t>
            </w:r>
          </w:p>
        </w:tc>
        <w:tc>
          <w:tcPr>
            <w:tcW w:w="283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vAlign w:val="center"/>
          </w:tcPr>
          <w:p w14:paraId="2930718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DNA-PEI incubation time </w:t>
            </w:r>
          </w:p>
        </w:tc>
      </w:tr>
      <w:tr w14:paraId="55F31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FBCBB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4B6A2F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7D39C0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</w:p>
        </w:tc>
      </w:tr>
      <w:tr w14:paraId="58A8E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2B240E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C901D7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2D8241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5B818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E38556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E50B7C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6A8F3E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4307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0D5978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C4D6A1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4F7388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</w:tr>
      <w:tr w14:paraId="451B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B2350E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963A7E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211CF6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EE81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FBB27F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3C63A3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8059F8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</w:p>
        </w:tc>
      </w:tr>
      <w:tr w14:paraId="3217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ED5DC5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0C40C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9E2BCF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9D87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04B8C9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738C35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E6A825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-1</w:t>
            </w:r>
          </w:p>
        </w:tc>
      </w:tr>
      <w:tr w14:paraId="4ED95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61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4182155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788BE37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8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252795F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0BE19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auto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 Result of expansion of IL-2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Fc </w:t>
      </w:r>
      <w:r>
        <w:rPr>
          <w:rFonts w:hint="default" w:ascii="Times New Roman" w:hAnsi="Times New Roman" w:eastAsia="宋体" w:cs="Times New Roman"/>
          <w:sz w:val="24"/>
          <w:szCs w:val="24"/>
        </w:rPr>
        <w:t>concentration</w:t>
      </w:r>
    </w:p>
    <w:tbl>
      <w:tblPr>
        <w:tblStyle w:val="4"/>
        <w:tblW w:w="8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1680"/>
        <w:gridCol w:w="2100"/>
        <w:gridCol w:w="2130"/>
      </w:tblGrid>
      <w:tr w14:paraId="21F78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7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CC430A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Experiment No.</w:t>
            </w:r>
          </w:p>
        </w:tc>
        <w:tc>
          <w:tcPr>
            <w:tcW w:w="168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5B476B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DNA-to-PEI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ratio</w:t>
            </w:r>
          </w:p>
        </w:tc>
        <w:tc>
          <w:tcPr>
            <w:tcW w:w="210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7DF855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DNA-PEI incubation time </w:t>
            </w: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55F8F7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IL-2 fusion protein expression level (ng/mL)</w:t>
            </w:r>
          </w:p>
        </w:tc>
      </w:tr>
      <w:tr w14:paraId="0CB4F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AB6BD4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12011D0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1: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5E1BB6B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14D2502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586.46</w:t>
            </w:r>
          </w:p>
        </w:tc>
      </w:tr>
      <w:tr w14:paraId="22053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E2BE51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5CC9F45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1: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3AB0C14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193ED68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632.25</w:t>
            </w:r>
          </w:p>
        </w:tc>
      </w:tr>
      <w:tr w14:paraId="144C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BAEB77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EAC880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1: 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40A25F2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C739E4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554.73</w:t>
            </w:r>
          </w:p>
        </w:tc>
      </w:tr>
      <w:tr w14:paraId="65D1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4938CC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B10F1A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1: 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2A66444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309FF80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592.64</w:t>
            </w:r>
          </w:p>
        </w:tc>
      </w:tr>
      <w:tr w14:paraId="48D8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6AC9236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CF6E6C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1: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021D0C3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491B01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662.45</w:t>
            </w:r>
          </w:p>
        </w:tc>
      </w:tr>
      <w:tr w14:paraId="094F3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0C1F3E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EE4D7C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1: 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5468154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13AA2D2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599.17</w:t>
            </w:r>
          </w:p>
        </w:tc>
      </w:tr>
      <w:tr w14:paraId="265F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DCAFA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ACA3D8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1: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2021A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2A9A6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634.45</w:t>
            </w:r>
          </w:p>
        </w:tc>
      </w:tr>
      <w:tr w14:paraId="57854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DB1CC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779B1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1: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319263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BA9F64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646.91</w:t>
            </w:r>
          </w:p>
        </w:tc>
      </w:tr>
      <w:tr w14:paraId="73BF3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7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486934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4D5B204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1: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4E0615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65BD75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690.47</w:t>
            </w:r>
          </w:p>
        </w:tc>
      </w:tr>
    </w:tbl>
    <w:p w14:paraId="55189DE0">
      <w:pPr>
        <w:tabs>
          <w:tab w:val="left" w:pos="1786"/>
        </w:tabs>
        <w:jc w:val="center"/>
        <w:rPr>
          <w:rFonts w:hint="eastAsia"/>
          <w:lang w:val="en-US" w:eastAsia="zh-CN"/>
        </w:rPr>
      </w:pPr>
    </w:p>
    <w:p w14:paraId="61F1537E">
      <w:pPr>
        <w:rPr>
          <w:rFonts w:hint="eastAsia"/>
          <w:lang w:val="en-US" w:eastAsia="zh-CN"/>
        </w:rPr>
      </w:pPr>
    </w:p>
    <w:p w14:paraId="1C54A970">
      <w:pPr>
        <w:rPr>
          <w:rFonts w:hint="eastAsia"/>
          <w:lang w:val="en-US" w:eastAsia="zh-CN"/>
        </w:rPr>
      </w:pPr>
    </w:p>
    <w:p w14:paraId="1EA44CD9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2216C"/>
    <w:rsid w:val="055F2E0A"/>
    <w:rsid w:val="0C800F2E"/>
    <w:rsid w:val="10BF6EF9"/>
    <w:rsid w:val="2B634913"/>
    <w:rsid w:val="2CB63E8E"/>
    <w:rsid w:val="2EF7784D"/>
    <w:rsid w:val="30AE50D6"/>
    <w:rsid w:val="4D22216C"/>
    <w:rsid w:val="5FEF2D12"/>
    <w:rsid w:val="60CB2763"/>
    <w:rsid w:val="64CA7118"/>
    <w:rsid w:val="64EF46A6"/>
    <w:rsid w:val="68CB34CF"/>
    <w:rsid w:val="6D293FA7"/>
    <w:rsid w:val="709C34A3"/>
    <w:rsid w:val="71763E02"/>
    <w:rsid w:val="767C19B2"/>
    <w:rsid w:val="79A1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标题一"/>
    <w:basedOn w:val="1"/>
    <w:qFormat/>
    <w:uiPriority w:val="0"/>
    <w:pPr>
      <w:spacing w:line="360" w:lineRule="auto"/>
    </w:pPr>
    <w:rPr>
      <w:rFonts w:ascii="Calibri" w:hAnsi="Calibri" w:cs="Times New Roman"/>
      <w:b/>
      <w:color w:val="auto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246</Words>
  <Characters>1391</Characters>
  <Lines>0</Lines>
  <Paragraphs>0</Paragraphs>
  <TotalTime>0</TotalTime>
  <ScaleCrop>false</ScaleCrop>
  <LinksUpToDate>false</LinksUpToDate>
  <CharactersWithSpaces>1515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2026-04-08T02:30:00Z</dcterms:created>
  <dc:creator>奈何执笔画浮沉</dc:creator>
  <cp:lastModifiedBy>奈何执笔画浮沉</cp:lastModifiedBy>
  <dcterms:modified xsi:type="dcterms:W3CDTF">2026-04-23T06:39:33Z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653E4B88979B40B3B1CB589C8FF305E1_11</vt:lpwstr>
  </property>
  <property fmtid="{D5CDD505-2E9C-101B-9397-08002B2CF9AE}" pid="4" name="KSOTemplateDocerSaveRecord">
    <vt:lpwstr>eyJoZGlkIjoiZWRhYTBhOTUxZjRkMTI0MTM1OGI3YjczMDhkNTIxZmYiLCJ1c2VySWQiOiI0MTE1MjM2NDUifQ==</vt:lpwstr>
  </property>
</Properties>
</file>