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B046" w14:textId="77777777" w:rsidR="00C65D32" w:rsidRDefault="00C65D32" w:rsidP="00C65D32">
      <w:pPr>
        <w:spacing w:line="278" w:lineRule="auto"/>
        <w:rPr>
          <w:b/>
          <w:bCs/>
        </w:rPr>
      </w:pPr>
      <w:r>
        <w:rPr>
          <w:b/>
          <w:bCs/>
        </w:rPr>
        <w:t>Supplemental Table 1: Kidney Outcomes by AKI Severity</w:t>
      </w:r>
    </w:p>
    <w:tbl>
      <w:tblPr>
        <w:tblW w:w="7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85"/>
        <w:gridCol w:w="1485"/>
        <w:gridCol w:w="1485"/>
        <w:gridCol w:w="1485"/>
      </w:tblGrid>
      <w:tr w:rsidR="00C65D32" w:rsidRPr="00312DBC" w14:paraId="4A8EE095" w14:textId="77777777" w:rsidTr="00C00208">
        <w:trPr>
          <w:trHeight w:val="696"/>
          <w:tblHeader/>
        </w:trPr>
        <w:tc>
          <w:tcPr>
            <w:tcW w:w="1620" w:type="dxa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25AB4DDD" w14:textId="77777777" w:rsidR="00C65D32" w:rsidRPr="00312DBC" w:rsidRDefault="00C65D32" w:rsidP="00C00208">
            <w:pPr>
              <w:spacing w:after="0"/>
            </w:pPr>
          </w:p>
          <w:p w14:paraId="37D6E85C" w14:textId="77777777" w:rsidR="00C65D32" w:rsidRPr="00312DBC" w:rsidRDefault="00C65D32" w:rsidP="00C00208">
            <w:pPr>
              <w:spacing w:after="0"/>
            </w:pPr>
          </w:p>
        </w:tc>
        <w:tc>
          <w:tcPr>
            <w:tcW w:w="1485" w:type="dxa"/>
          </w:tcPr>
          <w:p w14:paraId="4A9CD96D" w14:textId="77777777" w:rsidR="00C65D32" w:rsidRPr="00312DBC" w:rsidRDefault="00C65D32" w:rsidP="00C00208">
            <w:pPr>
              <w:spacing w:after="0"/>
              <w:jc w:val="center"/>
              <w:rPr>
                <w:b/>
                <w:bCs/>
              </w:rPr>
            </w:pPr>
            <w:r w:rsidRPr="00312DBC">
              <w:rPr>
                <w:b/>
                <w:bCs/>
              </w:rPr>
              <w:t>n</w:t>
            </w:r>
          </w:p>
          <w:p w14:paraId="7E4E19CA" w14:textId="77777777" w:rsidR="00C65D32" w:rsidRPr="00312DBC" w:rsidRDefault="00C65D32" w:rsidP="00C00208">
            <w:pPr>
              <w:spacing w:after="0"/>
              <w:jc w:val="center"/>
              <w:rPr>
                <w:b/>
                <w:bCs/>
              </w:rPr>
            </w:pPr>
            <w:r w:rsidRPr="00312DBC">
              <w:rPr>
                <w:b/>
                <w:bCs/>
              </w:rPr>
              <w:t>(%)</w:t>
            </w:r>
          </w:p>
        </w:tc>
        <w:tc>
          <w:tcPr>
            <w:tcW w:w="1485" w:type="dxa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404981" w14:textId="77777777" w:rsidR="00C65D32" w:rsidRDefault="00C65D32" w:rsidP="00C0020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AKI </w:t>
            </w:r>
          </w:p>
          <w:p w14:paraId="5E509BB9" w14:textId="77777777" w:rsidR="00C65D32" w:rsidRPr="00312DBC" w:rsidRDefault="00C65D32" w:rsidP="00C0020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312DBC">
              <w:rPr>
                <w:b/>
                <w:bCs/>
              </w:rPr>
              <w:t>tage II</w:t>
            </w:r>
            <w:r>
              <w:rPr>
                <w:b/>
                <w:bCs/>
                <w:vertAlign w:val="superscript"/>
              </w:rPr>
              <w:t>a</w:t>
            </w:r>
            <w:r w:rsidRPr="00312DBC">
              <w:rPr>
                <w:b/>
                <w:bCs/>
              </w:rPr>
              <w:br/>
              <w:t>(N=28)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572FB72" w14:textId="77777777" w:rsidR="00C65D32" w:rsidRDefault="00C65D32" w:rsidP="00C0020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AKI </w:t>
            </w:r>
          </w:p>
          <w:p w14:paraId="37252C31" w14:textId="77777777" w:rsidR="00C65D32" w:rsidRPr="00312DBC" w:rsidRDefault="00C65D32" w:rsidP="00C0020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312DBC">
              <w:rPr>
                <w:b/>
                <w:bCs/>
              </w:rPr>
              <w:t>tage III</w:t>
            </w:r>
            <w:r>
              <w:rPr>
                <w:b/>
                <w:bCs/>
                <w:vertAlign w:val="superscript"/>
              </w:rPr>
              <w:t>a</w:t>
            </w:r>
            <w:r w:rsidRPr="00312DBC">
              <w:rPr>
                <w:b/>
                <w:bCs/>
              </w:rPr>
              <w:br/>
              <w:t>(N=29)</w:t>
            </w:r>
          </w:p>
        </w:tc>
        <w:tc>
          <w:tcPr>
            <w:tcW w:w="1485" w:type="dxa"/>
            <w:shd w:val="clear" w:color="auto" w:fill="FFFFFF"/>
          </w:tcPr>
          <w:p w14:paraId="281D1D3B" w14:textId="77777777" w:rsidR="00C65D32" w:rsidRDefault="00C65D32" w:rsidP="00C00208">
            <w:pPr>
              <w:spacing w:after="0"/>
              <w:jc w:val="center"/>
              <w:rPr>
                <w:b/>
                <w:bCs/>
              </w:rPr>
            </w:pPr>
          </w:p>
          <w:p w14:paraId="7FF73A92" w14:textId="77777777" w:rsidR="00C65D32" w:rsidRPr="00131605" w:rsidRDefault="00C65D32" w:rsidP="00C00208">
            <w:pPr>
              <w:spacing w:after="0"/>
              <w:jc w:val="center"/>
              <w:rPr>
                <w:b/>
                <w:bCs/>
                <w:vertAlign w:val="superscript"/>
              </w:rPr>
            </w:pPr>
            <w:r w:rsidRPr="00312DBC">
              <w:rPr>
                <w:b/>
                <w:bCs/>
              </w:rPr>
              <w:t>p-value</w:t>
            </w:r>
            <w:r>
              <w:rPr>
                <w:b/>
                <w:bCs/>
                <w:vertAlign w:val="superscript"/>
              </w:rPr>
              <w:t>d</w:t>
            </w:r>
          </w:p>
        </w:tc>
      </w:tr>
      <w:tr w:rsidR="00C65D32" w:rsidRPr="00312DBC" w14:paraId="0E5FC70F" w14:textId="77777777" w:rsidTr="00C00208">
        <w:trPr>
          <w:trHeight w:val="332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64AA38C" w14:textId="77777777" w:rsidR="00C65D32" w:rsidRDefault="00C65D32" w:rsidP="00C00208">
            <w:pPr>
              <w:spacing w:after="0"/>
            </w:pPr>
          </w:p>
          <w:p w14:paraId="58710F85" w14:textId="77777777" w:rsidR="00C65D32" w:rsidRDefault="00C65D32" w:rsidP="00C00208">
            <w:pPr>
              <w:spacing w:after="0"/>
            </w:pPr>
            <w:proofErr w:type="spellStart"/>
            <w:r w:rsidRPr="00312DBC">
              <w:t>CKD</w:t>
            </w:r>
            <w:r>
              <w:rPr>
                <w:vertAlign w:val="superscript"/>
              </w:rPr>
              <w:t>b</w:t>
            </w:r>
            <w:proofErr w:type="spellEnd"/>
            <w:r w:rsidRPr="00312DBC">
              <w:t xml:space="preserve"> </w:t>
            </w:r>
          </w:p>
          <w:p w14:paraId="046D3D1C" w14:textId="77777777" w:rsidR="00C65D32" w:rsidRPr="00312DBC" w:rsidRDefault="00C65D32" w:rsidP="00C00208">
            <w:pPr>
              <w:spacing w:after="0"/>
            </w:pPr>
          </w:p>
        </w:tc>
        <w:tc>
          <w:tcPr>
            <w:tcW w:w="1485" w:type="dxa"/>
          </w:tcPr>
          <w:p w14:paraId="6DCDFBD7" w14:textId="77777777" w:rsidR="00C65D32" w:rsidRDefault="00C65D32" w:rsidP="00C00208">
            <w:pPr>
              <w:spacing w:after="0"/>
              <w:jc w:val="center"/>
              <w:rPr>
                <w:b/>
                <w:bCs/>
              </w:rPr>
            </w:pPr>
          </w:p>
          <w:p w14:paraId="12434871" w14:textId="77777777" w:rsidR="00C65D32" w:rsidRPr="00C218FD" w:rsidRDefault="00C65D32" w:rsidP="00C00208">
            <w:pPr>
              <w:spacing w:after="0"/>
              <w:jc w:val="center"/>
            </w:pPr>
            <w:r w:rsidRPr="00C218FD">
              <w:t>57</w:t>
            </w:r>
          </w:p>
        </w:tc>
        <w:tc>
          <w:tcPr>
            <w:tcW w:w="1485" w:type="dxa"/>
            <w:tcBorders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A3EC8BB" w14:textId="77777777" w:rsidR="00C65D32" w:rsidRPr="00312DBC" w:rsidRDefault="00C65D32" w:rsidP="00C00208">
            <w:pPr>
              <w:spacing w:after="0"/>
              <w:rPr>
                <w:b/>
                <w:bCs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A771D2" w14:textId="77777777" w:rsidR="00C65D32" w:rsidRPr="00312DBC" w:rsidRDefault="00C65D32" w:rsidP="00C00208">
            <w:pPr>
              <w:spacing w:after="0"/>
            </w:pPr>
          </w:p>
        </w:tc>
        <w:tc>
          <w:tcPr>
            <w:tcW w:w="1485" w:type="dxa"/>
            <w:shd w:val="clear" w:color="auto" w:fill="FFFFFF"/>
          </w:tcPr>
          <w:p w14:paraId="53C64E7E" w14:textId="77777777" w:rsidR="00C65D32" w:rsidRDefault="00C65D32" w:rsidP="00C00208">
            <w:pPr>
              <w:spacing w:after="0"/>
              <w:jc w:val="center"/>
            </w:pPr>
          </w:p>
          <w:p w14:paraId="79BE235E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p = 0.16</w:t>
            </w:r>
          </w:p>
        </w:tc>
      </w:tr>
      <w:tr w:rsidR="00C65D32" w:rsidRPr="00312DBC" w14:paraId="37606BF8" w14:textId="77777777" w:rsidTr="00C00208">
        <w:trPr>
          <w:trHeight w:val="348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B64524F" w14:textId="77777777" w:rsidR="00C65D32" w:rsidRPr="00312DBC" w:rsidRDefault="00C65D32" w:rsidP="00C00208">
            <w:pPr>
              <w:spacing w:after="0"/>
            </w:pPr>
            <w:r w:rsidRPr="00312DBC">
              <w:t>No</w:t>
            </w:r>
          </w:p>
        </w:tc>
        <w:tc>
          <w:tcPr>
            <w:tcW w:w="1485" w:type="dxa"/>
          </w:tcPr>
          <w:p w14:paraId="22B65B98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33 (57.9)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8E4A737" w14:textId="77777777" w:rsidR="00C65D32" w:rsidRPr="00312DBC" w:rsidRDefault="00C65D32" w:rsidP="00C00208">
            <w:pPr>
              <w:spacing w:after="0"/>
            </w:pPr>
            <w:r w:rsidRPr="00312DBC">
              <w:t>19 (67.9%)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6EFD063" w14:textId="77777777" w:rsidR="00C65D32" w:rsidRPr="00312DBC" w:rsidRDefault="00C65D32" w:rsidP="00C00208">
            <w:pPr>
              <w:spacing w:after="0"/>
            </w:pPr>
            <w:r w:rsidRPr="00312DBC">
              <w:t>14 (48.3%)</w:t>
            </w:r>
          </w:p>
        </w:tc>
        <w:tc>
          <w:tcPr>
            <w:tcW w:w="1485" w:type="dxa"/>
            <w:shd w:val="clear" w:color="auto" w:fill="FFFFFF"/>
          </w:tcPr>
          <w:p w14:paraId="391A0C8E" w14:textId="77777777" w:rsidR="00C65D32" w:rsidRPr="00312DBC" w:rsidRDefault="00C65D32" w:rsidP="00C00208">
            <w:pPr>
              <w:spacing w:after="0"/>
            </w:pPr>
          </w:p>
        </w:tc>
      </w:tr>
      <w:tr w:rsidR="00C65D32" w:rsidRPr="00312DBC" w14:paraId="79E5F3E6" w14:textId="77777777" w:rsidTr="00C00208">
        <w:trPr>
          <w:trHeight w:val="348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91ACE68" w14:textId="77777777" w:rsidR="00C65D32" w:rsidRPr="00312DBC" w:rsidRDefault="00C65D32" w:rsidP="00C00208">
            <w:pPr>
              <w:spacing w:after="0"/>
            </w:pPr>
            <w:r w:rsidRPr="00312DBC">
              <w:t>Yes</w:t>
            </w:r>
          </w:p>
        </w:tc>
        <w:tc>
          <w:tcPr>
            <w:tcW w:w="1485" w:type="dxa"/>
          </w:tcPr>
          <w:p w14:paraId="646D1FEE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23 (40.4)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96ED77C" w14:textId="77777777" w:rsidR="00C65D32" w:rsidRPr="00312DBC" w:rsidRDefault="00C65D32" w:rsidP="00C00208">
            <w:pPr>
              <w:spacing w:after="0"/>
            </w:pPr>
            <w:r w:rsidRPr="00312DBC">
              <w:t>8 (28.6%)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4D8AB6" w14:textId="77777777" w:rsidR="00C65D32" w:rsidRPr="00312DBC" w:rsidRDefault="00C65D32" w:rsidP="00C00208">
            <w:pPr>
              <w:spacing w:after="0"/>
            </w:pPr>
            <w:r w:rsidRPr="00312DBC">
              <w:t>15 (51.7%)</w:t>
            </w:r>
          </w:p>
        </w:tc>
        <w:tc>
          <w:tcPr>
            <w:tcW w:w="1485" w:type="dxa"/>
            <w:shd w:val="clear" w:color="auto" w:fill="FFFFFF"/>
          </w:tcPr>
          <w:p w14:paraId="05CF39B8" w14:textId="77777777" w:rsidR="00C65D32" w:rsidRPr="00312DBC" w:rsidRDefault="00C65D32" w:rsidP="00C00208">
            <w:pPr>
              <w:spacing w:after="0"/>
            </w:pPr>
          </w:p>
        </w:tc>
      </w:tr>
      <w:tr w:rsidR="00C65D32" w:rsidRPr="00312DBC" w14:paraId="46AFBB55" w14:textId="77777777" w:rsidTr="00C00208">
        <w:trPr>
          <w:trHeight w:val="348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05CAB745" w14:textId="77777777" w:rsidR="00C65D32" w:rsidRPr="00776F21" w:rsidRDefault="00C65D32" w:rsidP="00C00208">
            <w:pPr>
              <w:spacing w:after="0"/>
              <w:rPr>
                <w:highlight w:val="yellow"/>
              </w:rPr>
            </w:pPr>
            <w:r w:rsidRPr="00E616F2">
              <w:t>Missing</w:t>
            </w:r>
          </w:p>
        </w:tc>
        <w:tc>
          <w:tcPr>
            <w:tcW w:w="1485" w:type="dxa"/>
          </w:tcPr>
          <w:p w14:paraId="4CE57728" w14:textId="77777777" w:rsidR="00C65D32" w:rsidRPr="00B57F55" w:rsidRDefault="00C65D32" w:rsidP="00C00208">
            <w:pPr>
              <w:spacing w:after="0"/>
              <w:jc w:val="center"/>
            </w:pPr>
            <w:r w:rsidRPr="00B57F55">
              <w:t>1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A191000" w14:textId="77777777" w:rsidR="00C65D32" w:rsidRPr="00B57F55" w:rsidRDefault="00C65D32" w:rsidP="00C00208">
            <w:pPr>
              <w:spacing w:after="0"/>
            </w:pPr>
            <w:r w:rsidRPr="00B57F55">
              <w:t>1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E879B01" w14:textId="77777777" w:rsidR="00C65D32" w:rsidRPr="00B57F55" w:rsidRDefault="00C65D32" w:rsidP="00C00208">
            <w:pPr>
              <w:spacing w:after="0"/>
            </w:pPr>
            <w:r w:rsidRPr="00B57F55">
              <w:t>0</w:t>
            </w:r>
          </w:p>
        </w:tc>
        <w:tc>
          <w:tcPr>
            <w:tcW w:w="1485" w:type="dxa"/>
            <w:shd w:val="clear" w:color="auto" w:fill="FFFFFF"/>
          </w:tcPr>
          <w:p w14:paraId="43524862" w14:textId="77777777" w:rsidR="00C65D32" w:rsidRPr="00312DBC" w:rsidRDefault="00C65D32" w:rsidP="00C00208">
            <w:pPr>
              <w:spacing w:after="0"/>
            </w:pPr>
          </w:p>
        </w:tc>
      </w:tr>
      <w:tr w:rsidR="00C65D32" w:rsidRPr="00312DBC" w14:paraId="55F366F9" w14:textId="77777777" w:rsidTr="00C00208">
        <w:trPr>
          <w:trHeight w:val="348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EB27CA6" w14:textId="77777777" w:rsidR="00C65D32" w:rsidRDefault="00C65D32" w:rsidP="00C00208">
            <w:pPr>
              <w:spacing w:after="0"/>
            </w:pPr>
          </w:p>
          <w:p w14:paraId="0064E52B" w14:textId="77777777" w:rsidR="00C65D32" w:rsidRPr="00131605" w:rsidRDefault="00C65D32" w:rsidP="00C00208">
            <w:pPr>
              <w:spacing w:after="0"/>
              <w:rPr>
                <w:vertAlign w:val="superscript"/>
              </w:rPr>
            </w:pPr>
            <w:r w:rsidRPr="00312DBC">
              <w:t xml:space="preserve">CKD </w:t>
            </w:r>
            <w:proofErr w:type="spellStart"/>
            <w:r w:rsidRPr="00312DBC">
              <w:t>Stage</w:t>
            </w:r>
            <w:r>
              <w:rPr>
                <w:vertAlign w:val="superscript"/>
              </w:rPr>
              <w:t>b</w:t>
            </w:r>
            <w:proofErr w:type="spellEnd"/>
          </w:p>
          <w:p w14:paraId="39B85593" w14:textId="77777777" w:rsidR="00C65D32" w:rsidRPr="00312DBC" w:rsidRDefault="00C65D32" w:rsidP="00C00208">
            <w:pPr>
              <w:spacing w:after="0"/>
            </w:pPr>
            <w:r w:rsidRPr="00312DBC">
              <w:t xml:space="preserve"> </w:t>
            </w:r>
          </w:p>
        </w:tc>
        <w:tc>
          <w:tcPr>
            <w:tcW w:w="1485" w:type="dxa"/>
          </w:tcPr>
          <w:p w14:paraId="6FB7AFA8" w14:textId="77777777" w:rsidR="00C65D32" w:rsidRDefault="00C65D32" w:rsidP="00C00208">
            <w:pPr>
              <w:spacing w:after="0"/>
              <w:jc w:val="center"/>
              <w:rPr>
                <w:b/>
                <w:bCs/>
              </w:rPr>
            </w:pPr>
          </w:p>
          <w:p w14:paraId="74DAC4A7" w14:textId="77777777" w:rsidR="00C65D32" w:rsidRPr="00C218FD" w:rsidRDefault="00C65D32" w:rsidP="00C00208">
            <w:pPr>
              <w:spacing w:after="0"/>
              <w:jc w:val="center"/>
            </w:pPr>
            <w:r w:rsidRPr="00C218FD">
              <w:t>57</w:t>
            </w:r>
          </w:p>
        </w:tc>
        <w:tc>
          <w:tcPr>
            <w:tcW w:w="1485" w:type="dxa"/>
            <w:tcBorders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7B727FE" w14:textId="77777777" w:rsidR="00C65D32" w:rsidRPr="00312DBC" w:rsidRDefault="00C65D32" w:rsidP="00C00208">
            <w:pPr>
              <w:spacing w:after="0"/>
              <w:rPr>
                <w:b/>
                <w:bCs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885EF5A" w14:textId="77777777" w:rsidR="00C65D32" w:rsidRPr="00312DBC" w:rsidRDefault="00C65D32" w:rsidP="00C00208">
            <w:pPr>
              <w:spacing w:after="0"/>
            </w:pPr>
          </w:p>
        </w:tc>
        <w:tc>
          <w:tcPr>
            <w:tcW w:w="1485" w:type="dxa"/>
            <w:shd w:val="clear" w:color="auto" w:fill="FFFFFF"/>
          </w:tcPr>
          <w:p w14:paraId="653C0C63" w14:textId="77777777" w:rsidR="00C65D32" w:rsidRDefault="00C65D32" w:rsidP="00C00208">
            <w:pPr>
              <w:spacing w:after="0"/>
              <w:jc w:val="center"/>
            </w:pPr>
          </w:p>
          <w:p w14:paraId="4BB410C0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p = 0.40</w:t>
            </w:r>
          </w:p>
        </w:tc>
      </w:tr>
      <w:tr w:rsidR="00C65D32" w:rsidRPr="00312DBC" w14:paraId="64FCECA2" w14:textId="77777777" w:rsidTr="00C00208">
        <w:trPr>
          <w:trHeight w:val="348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5C23466" w14:textId="77777777" w:rsidR="00C65D32" w:rsidRPr="00312DBC" w:rsidRDefault="00C65D32" w:rsidP="00C00208">
            <w:pPr>
              <w:spacing w:after="0"/>
            </w:pPr>
            <w:r w:rsidRPr="00312DBC">
              <w:t xml:space="preserve">Stage </w:t>
            </w:r>
            <w:r>
              <w:t>II</w:t>
            </w:r>
          </w:p>
        </w:tc>
        <w:tc>
          <w:tcPr>
            <w:tcW w:w="1485" w:type="dxa"/>
          </w:tcPr>
          <w:p w14:paraId="36611402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14 (24.6)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495A62" w14:textId="77777777" w:rsidR="00C65D32" w:rsidRPr="00312DBC" w:rsidRDefault="00C65D32" w:rsidP="00C00208">
            <w:pPr>
              <w:spacing w:after="0"/>
            </w:pPr>
            <w:r w:rsidRPr="00312DBC">
              <w:t>5 (17.9%)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A1D2A49" w14:textId="77777777" w:rsidR="00C65D32" w:rsidRPr="00312DBC" w:rsidRDefault="00C65D32" w:rsidP="00C00208">
            <w:pPr>
              <w:spacing w:after="0"/>
            </w:pPr>
            <w:r w:rsidRPr="00312DBC">
              <w:t>9 (31.0%)</w:t>
            </w:r>
          </w:p>
        </w:tc>
        <w:tc>
          <w:tcPr>
            <w:tcW w:w="1485" w:type="dxa"/>
            <w:shd w:val="clear" w:color="auto" w:fill="FFFFFF"/>
          </w:tcPr>
          <w:p w14:paraId="3BEBED57" w14:textId="77777777" w:rsidR="00C65D32" w:rsidRPr="00312DBC" w:rsidRDefault="00C65D32" w:rsidP="00C00208">
            <w:pPr>
              <w:spacing w:after="0"/>
            </w:pPr>
          </w:p>
        </w:tc>
      </w:tr>
      <w:tr w:rsidR="00C65D32" w:rsidRPr="00312DBC" w14:paraId="22C3EECA" w14:textId="77777777" w:rsidTr="00C00208">
        <w:trPr>
          <w:trHeight w:val="332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60EEE5F" w14:textId="77777777" w:rsidR="00C65D32" w:rsidRPr="00312DBC" w:rsidRDefault="00C65D32" w:rsidP="00C00208">
            <w:pPr>
              <w:spacing w:after="0"/>
            </w:pPr>
            <w:r>
              <w:t>S</w:t>
            </w:r>
            <w:r w:rsidRPr="00312DBC">
              <w:t xml:space="preserve">tage </w:t>
            </w:r>
            <w:r>
              <w:t>III</w:t>
            </w:r>
          </w:p>
        </w:tc>
        <w:tc>
          <w:tcPr>
            <w:tcW w:w="1485" w:type="dxa"/>
          </w:tcPr>
          <w:p w14:paraId="15DBA574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6 (10.5)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6671F0B" w14:textId="77777777" w:rsidR="00C65D32" w:rsidRPr="00312DBC" w:rsidRDefault="00C65D32" w:rsidP="00C00208">
            <w:pPr>
              <w:spacing w:after="0"/>
            </w:pPr>
            <w:r w:rsidRPr="00312DBC">
              <w:t>3 (10.7%)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D1EC2E9" w14:textId="77777777" w:rsidR="00C65D32" w:rsidRPr="00312DBC" w:rsidRDefault="00C65D32" w:rsidP="00C00208">
            <w:pPr>
              <w:spacing w:after="0"/>
            </w:pPr>
            <w:r w:rsidRPr="00312DBC">
              <w:t>3 (10.3%)</w:t>
            </w:r>
          </w:p>
        </w:tc>
        <w:tc>
          <w:tcPr>
            <w:tcW w:w="1485" w:type="dxa"/>
            <w:shd w:val="clear" w:color="auto" w:fill="FFFFFF"/>
          </w:tcPr>
          <w:p w14:paraId="00283D4A" w14:textId="77777777" w:rsidR="00C65D32" w:rsidRPr="00312DBC" w:rsidRDefault="00C65D32" w:rsidP="00C00208">
            <w:pPr>
              <w:spacing w:after="0"/>
            </w:pPr>
          </w:p>
        </w:tc>
      </w:tr>
      <w:tr w:rsidR="00C65D32" w:rsidRPr="00312DBC" w14:paraId="2A2C49A8" w14:textId="77777777" w:rsidTr="00C00208">
        <w:trPr>
          <w:trHeight w:val="348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1AC89FC" w14:textId="77777777" w:rsidR="00C65D32" w:rsidRPr="00312DBC" w:rsidRDefault="00C65D32" w:rsidP="00C00208">
            <w:pPr>
              <w:spacing w:after="0"/>
            </w:pPr>
            <w:r>
              <w:t>S</w:t>
            </w:r>
            <w:r w:rsidRPr="00312DBC">
              <w:t xml:space="preserve">tage </w:t>
            </w:r>
            <w:r>
              <w:t>IV</w:t>
            </w:r>
          </w:p>
        </w:tc>
        <w:tc>
          <w:tcPr>
            <w:tcW w:w="1485" w:type="dxa"/>
          </w:tcPr>
          <w:p w14:paraId="63365F2A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3 (5.3)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7EDA733" w14:textId="77777777" w:rsidR="00C65D32" w:rsidRPr="00312DBC" w:rsidRDefault="00C65D32" w:rsidP="00C00208">
            <w:pPr>
              <w:spacing w:after="0"/>
            </w:pPr>
            <w:r w:rsidRPr="00312DBC">
              <w:t>0 (0%)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3341A4F" w14:textId="77777777" w:rsidR="00C65D32" w:rsidRPr="00312DBC" w:rsidRDefault="00C65D32" w:rsidP="00C00208">
            <w:pPr>
              <w:spacing w:after="0"/>
            </w:pPr>
            <w:r w:rsidRPr="00312DBC">
              <w:t>3 (10.3%)</w:t>
            </w:r>
          </w:p>
        </w:tc>
        <w:tc>
          <w:tcPr>
            <w:tcW w:w="1485" w:type="dxa"/>
            <w:shd w:val="clear" w:color="auto" w:fill="FFFFFF"/>
          </w:tcPr>
          <w:p w14:paraId="70E206D0" w14:textId="77777777" w:rsidR="00C65D32" w:rsidRPr="00312DBC" w:rsidRDefault="00C65D32" w:rsidP="00C00208">
            <w:pPr>
              <w:spacing w:after="0"/>
            </w:pPr>
          </w:p>
        </w:tc>
      </w:tr>
    </w:tbl>
    <w:p w14:paraId="001281AF" w14:textId="77777777" w:rsidR="00C65D32" w:rsidRDefault="00C65D32" w:rsidP="00C65D32">
      <w:r>
        <w:br w:type="page"/>
      </w:r>
    </w:p>
    <w:tbl>
      <w:tblPr>
        <w:tblW w:w="7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85"/>
        <w:gridCol w:w="1485"/>
        <w:gridCol w:w="1485"/>
        <w:gridCol w:w="1485"/>
      </w:tblGrid>
      <w:tr w:rsidR="00C65D32" w:rsidRPr="00312DBC" w14:paraId="3F0A0405" w14:textId="77777777" w:rsidTr="00C00208">
        <w:trPr>
          <w:trHeight w:val="332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105CD45" w14:textId="77777777" w:rsidR="00C65D32" w:rsidRDefault="00C65D32" w:rsidP="00C00208">
            <w:pPr>
              <w:spacing w:after="0"/>
            </w:pPr>
          </w:p>
          <w:p w14:paraId="36A0C0D6" w14:textId="77777777" w:rsidR="00C65D32" w:rsidRPr="00131605" w:rsidRDefault="00C65D32" w:rsidP="00C00208">
            <w:pPr>
              <w:spacing w:after="0"/>
              <w:rPr>
                <w:vertAlign w:val="superscript"/>
              </w:rPr>
            </w:pPr>
            <w:r>
              <w:t>Kidney</w:t>
            </w:r>
            <w:r w:rsidRPr="00312DBC">
              <w:t xml:space="preserve"> </w:t>
            </w:r>
            <w:proofErr w:type="spellStart"/>
            <w:r w:rsidRPr="00312DBC">
              <w:t>Recovery</w:t>
            </w:r>
            <w:r>
              <w:rPr>
                <w:vertAlign w:val="superscript"/>
              </w:rPr>
              <w:t>c</w:t>
            </w:r>
            <w:proofErr w:type="spellEnd"/>
          </w:p>
          <w:p w14:paraId="5012A104" w14:textId="77777777" w:rsidR="00C65D32" w:rsidRPr="00312DBC" w:rsidRDefault="00C65D32" w:rsidP="00C00208">
            <w:pPr>
              <w:spacing w:after="0"/>
            </w:pPr>
          </w:p>
        </w:tc>
        <w:tc>
          <w:tcPr>
            <w:tcW w:w="1485" w:type="dxa"/>
          </w:tcPr>
          <w:p w14:paraId="75B7F708" w14:textId="77777777" w:rsidR="00C65D32" w:rsidRPr="00312DBC" w:rsidRDefault="00C65D32" w:rsidP="00C00208">
            <w:pPr>
              <w:spacing w:after="0"/>
              <w:rPr>
                <w:b/>
                <w:bCs/>
              </w:rPr>
            </w:pPr>
          </w:p>
        </w:tc>
        <w:tc>
          <w:tcPr>
            <w:tcW w:w="1485" w:type="dxa"/>
            <w:tcBorders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D8CF348" w14:textId="77777777" w:rsidR="00C65D32" w:rsidRPr="00312DBC" w:rsidRDefault="00C65D32" w:rsidP="00C00208">
            <w:pPr>
              <w:spacing w:after="0"/>
              <w:rPr>
                <w:b/>
                <w:bCs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35DD0EC" w14:textId="77777777" w:rsidR="00C65D32" w:rsidRPr="00312DBC" w:rsidRDefault="00C65D32" w:rsidP="00C00208">
            <w:pPr>
              <w:spacing w:after="0"/>
            </w:pPr>
          </w:p>
        </w:tc>
        <w:tc>
          <w:tcPr>
            <w:tcW w:w="1485" w:type="dxa"/>
            <w:shd w:val="clear" w:color="auto" w:fill="FFFFFF"/>
          </w:tcPr>
          <w:p w14:paraId="1124B751" w14:textId="77777777" w:rsidR="00C65D32" w:rsidRDefault="00C65D32" w:rsidP="00C00208">
            <w:pPr>
              <w:spacing w:after="0"/>
              <w:jc w:val="center"/>
            </w:pPr>
          </w:p>
          <w:p w14:paraId="48996023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p = 0.20</w:t>
            </w:r>
          </w:p>
        </w:tc>
      </w:tr>
      <w:tr w:rsidR="00C65D32" w:rsidRPr="00312DBC" w14:paraId="4D852626" w14:textId="77777777" w:rsidTr="00C00208">
        <w:trPr>
          <w:trHeight w:val="348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E48FD78" w14:textId="77777777" w:rsidR="00C65D32" w:rsidRPr="00312DBC" w:rsidRDefault="00C65D32" w:rsidP="00C00208">
            <w:pPr>
              <w:spacing w:after="0"/>
            </w:pPr>
            <w:r w:rsidRPr="00312DBC">
              <w:t>No</w:t>
            </w:r>
          </w:p>
        </w:tc>
        <w:tc>
          <w:tcPr>
            <w:tcW w:w="1485" w:type="dxa"/>
          </w:tcPr>
          <w:p w14:paraId="5130D3A3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17 (29.8)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933F58C" w14:textId="77777777" w:rsidR="00C65D32" w:rsidRPr="00312DBC" w:rsidRDefault="00C65D32" w:rsidP="00C00208">
            <w:pPr>
              <w:spacing w:after="0"/>
            </w:pPr>
            <w:r w:rsidRPr="00312DBC">
              <w:t>6 (21.4%)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95FD3D3" w14:textId="77777777" w:rsidR="00C65D32" w:rsidRPr="00312DBC" w:rsidRDefault="00C65D32" w:rsidP="00C00208">
            <w:pPr>
              <w:spacing w:after="0"/>
            </w:pPr>
            <w:r w:rsidRPr="00312DBC">
              <w:t>11 (37.9%)</w:t>
            </w:r>
          </w:p>
        </w:tc>
        <w:tc>
          <w:tcPr>
            <w:tcW w:w="1485" w:type="dxa"/>
            <w:shd w:val="clear" w:color="auto" w:fill="FFFFFF"/>
          </w:tcPr>
          <w:p w14:paraId="2C4E28EF" w14:textId="77777777" w:rsidR="00C65D32" w:rsidRPr="00312DBC" w:rsidRDefault="00C65D32" w:rsidP="00C00208">
            <w:pPr>
              <w:spacing w:after="0"/>
            </w:pPr>
          </w:p>
        </w:tc>
      </w:tr>
      <w:tr w:rsidR="00C65D32" w:rsidRPr="00312DBC" w14:paraId="76C7C10D" w14:textId="77777777" w:rsidTr="00C00208">
        <w:trPr>
          <w:trHeight w:val="332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8156B08" w14:textId="77777777" w:rsidR="00C65D32" w:rsidRPr="00312DBC" w:rsidRDefault="00C65D32" w:rsidP="00C00208">
            <w:pPr>
              <w:spacing w:after="0"/>
            </w:pPr>
            <w:r w:rsidRPr="00312DBC">
              <w:t>Yes</w:t>
            </w:r>
          </w:p>
        </w:tc>
        <w:tc>
          <w:tcPr>
            <w:tcW w:w="1485" w:type="dxa"/>
          </w:tcPr>
          <w:p w14:paraId="38B7C29C" w14:textId="77777777" w:rsidR="00C65D32" w:rsidRPr="00312DBC" w:rsidRDefault="00C65D32" w:rsidP="00C00208">
            <w:pPr>
              <w:spacing w:after="0"/>
              <w:jc w:val="center"/>
            </w:pPr>
            <w:r w:rsidRPr="00312DBC">
              <w:t>34 (59.6)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CB1B70E" w14:textId="77777777" w:rsidR="00C65D32" w:rsidRPr="00312DBC" w:rsidRDefault="00C65D32" w:rsidP="00C00208">
            <w:pPr>
              <w:spacing w:after="0"/>
            </w:pPr>
            <w:r w:rsidRPr="00312DBC">
              <w:t>20 (71.4%)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8C892DD" w14:textId="77777777" w:rsidR="00C65D32" w:rsidRPr="00312DBC" w:rsidRDefault="00C65D32" w:rsidP="00C00208">
            <w:pPr>
              <w:spacing w:after="0"/>
            </w:pPr>
            <w:r w:rsidRPr="00312DBC">
              <w:t>14 (48.3%)</w:t>
            </w:r>
          </w:p>
        </w:tc>
        <w:tc>
          <w:tcPr>
            <w:tcW w:w="1485" w:type="dxa"/>
            <w:shd w:val="clear" w:color="auto" w:fill="FFFFFF"/>
          </w:tcPr>
          <w:p w14:paraId="51B70F03" w14:textId="77777777" w:rsidR="00C65D32" w:rsidRPr="00312DBC" w:rsidRDefault="00C65D32" w:rsidP="00C00208">
            <w:pPr>
              <w:spacing w:after="0"/>
            </w:pPr>
          </w:p>
        </w:tc>
      </w:tr>
      <w:tr w:rsidR="00C65D32" w:rsidRPr="00312DBC" w14:paraId="2CC4402D" w14:textId="77777777" w:rsidTr="00C00208">
        <w:trPr>
          <w:trHeight w:val="332"/>
        </w:trPr>
        <w:tc>
          <w:tcPr>
            <w:tcW w:w="1620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</w:tcPr>
          <w:p w14:paraId="6845FD31" w14:textId="77777777" w:rsidR="00C65D32" w:rsidRPr="00312DBC" w:rsidRDefault="00C65D32" w:rsidP="00C00208">
            <w:pPr>
              <w:spacing w:after="0"/>
            </w:pPr>
            <w:r>
              <w:t>Missing</w:t>
            </w:r>
          </w:p>
        </w:tc>
        <w:tc>
          <w:tcPr>
            <w:tcW w:w="1485" w:type="dxa"/>
          </w:tcPr>
          <w:p w14:paraId="600F292D" w14:textId="77777777" w:rsidR="00C65D32" w:rsidRPr="00312DBC" w:rsidRDefault="00C65D32" w:rsidP="00C00208">
            <w:pPr>
              <w:spacing w:after="0"/>
              <w:jc w:val="center"/>
            </w:pPr>
            <w:r>
              <w:t>6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40AB7E29" w14:textId="77777777" w:rsidR="00C65D32" w:rsidRPr="00312DBC" w:rsidRDefault="00C65D32" w:rsidP="00C00208">
            <w:pPr>
              <w:spacing w:after="0"/>
            </w:pPr>
            <w:r>
              <w:t>2</w:t>
            </w:r>
          </w:p>
        </w:tc>
        <w:tc>
          <w:tcPr>
            <w:tcW w:w="1485" w:type="dxa"/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0E13CA6E" w14:textId="77777777" w:rsidR="00C65D32" w:rsidRPr="00312DBC" w:rsidRDefault="00C65D32" w:rsidP="00C00208">
            <w:pPr>
              <w:spacing w:after="0"/>
            </w:pPr>
            <w:r>
              <w:t>4</w:t>
            </w:r>
          </w:p>
        </w:tc>
        <w:tc>
          <w:tcPr>
            <w:tcW w:w="1485" w:type="dxa"/>
            <w:shd w:val="clear" w:color="auto" w:fill="FFFFFF"/>
          </w:tcPr>
          <w:p w14:paraId="2849A824" w14:textId="77777777" w:rsidR="00C65D32" w:rsidRPr="00312DBC" w:rsidRDefault="00C65D32" w:rsidP="00C00208">
            <w:pPr>
              <w:spacing w:after="0"/>
            </w:pPr>
          </w:p>
        </w:tc>
      </w:tr>
    </w:tbl>
    <w:p w14:paraId="0E0F8602" w14:textId="77777777" w:rsidR="002C588F" w:rsidRDefault="002C588F"/>
    <w:sectPr w:rsidR="002C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2"/>
    <w:rsid w:val="000456A2"/>
    <w:rsid w:val="00123031"/>
    <w:rsid w:val="002465D1"/>
    <w:rsid w:val="002C588F"/>
    <w:rsid w:val="003823FF"/>
    <w:rsid w:val="00557FE2"/>
    <w:rsid w:val="00664D0C"/>
    <w:rsid w:val="009B312A"/>
    <w:rsid w:val="00A36B69"/>
    <w:rsid w:val="00C218FD"/>
    <w:rsid w:val="00C36678"/>
    <w:rsid w:val="00C65D32"/>
    <w:rsid w:val="00CB2923"/>
    <w:rsid w:val="00F6490F"/>
    <w:rsid w:val="00F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D537"/>
  <w15:chartTrackingRefBased/>
  <w15:docId w15:val="{2B309539-6836-4026-BE92-46D30F59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32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D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D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D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D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D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D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D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D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D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D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D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D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D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D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D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D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D32"/>
    <w:pPr>
      <w:spacing w:before="160"/>
      <w:jc w:val="center"/>
    </w:pPr>
    <w:rPr>
      <w:i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65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D32"/>
    <w:pPr>
      <w:ind w:left="720"/>
      <w:contextualSpacing/>
    </w:pPr>
    <w:rPr>
      <w:sz w:val="20"/>
    </w:rPr>
  </w:style>
  <w:style w:type="character" w:styleId="IntenseEmphasis">
    <w:name w:val="Intense Emphasis"/>
    <w:basedOn w:val="DefaultParagraphFont"/>
    <w:uiPriority w:val="21"/>
    <w:qFormat/>
    <w:rsid w:val="00C65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Rumlow, Zachary</dc:creator>
  <cp:keywords/>
  <dc:description/>
  <cp:lastModifiedBy>Rumlow, Zachary</cp:lastModifiedBy>
  <cp:revision>6</cp:revision>
  <dcterms:created xsi:type="dcterms:W3CDTF">2026-04-29T18:43:00Z</dcterms:created>
  <dcterms:modified xsi:type="dcterms:W3CDTF">2026-04-29T19:15:00Z</dcterms:modified>
</cp:coreProperties>
</file>