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F76B" w14:textId="77777777" w:rsidR="0015113F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pacing w:val="-2"/>
          <w:sz w:val="36"/>
          <w:szCs w:val="36"/>
        </w:rPr>
      </w:pPr>
      <w:r w:rsidRPr="00C73A8B">
        <w:rPr>
          <w:rFonts w:asciiTheme="majorBidi" w:hAnsiTheme="majorBidi" w:cstheme="majorBidi"/>
          <w:b/>
          <w:bCs/>
          <w:sz w:val="24"/>
          <w:szCs w:val="36"/>
        </w:rPr>
        <w:t xml:space="preserve">Online Supplementary </w:t>
      </w:r>
      <w:r w:rsidRPr="00C73A8B">
        <w:rPr>
          <w:rFonts w:asciiTheme="majorBidi" w:hAnsiTheme="majorBidi" w:cstheme="majorBidi"/>
          <w:b/>
          <w:bCs/>
          <w:spacing w:val="-2"/>
          <w:sz w:val="24"/>
          <w:szCs w:val="36"/>
        </w:rPr>
        <w:t>Material</w:t>
      </w:r>
    </w:p>
    <w:p w14:paraId="57B284AF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b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Methodological</w:t>
      </w:r>
      <w:r w:rsidRPr="006309E4">
        <w:rPr>
          <w:rFonts w:asciiTheme="majorBidi" w:hAnsiTheme="majorBidi" w:cstheme="majorBidi"/>
          <w:b/>
          <w:spacing w:val="-1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Appendix: Operationalization of Institutional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b/>
          <w:spacing w:val="-2"/>
          <w:sz w:val="24"/>
        </w:rPr>
        <w:t>Variables</w:t>
      </w:r>
    </w:p>
    <w:p w14:paraId="76990BFB" w14:textId="77777777" w:rsidR="0015113F" w:rsidRPr="00C73A8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73A8B">
        <w:rPr>
          <w:rFonts w:asciiTheme="majorBidi" w:hAnsiTheme="majorBidi" w:cstheme="majorBidi"/>
          <w:b/>
          <w:bCs/>
          <w:sz w:val="24"/>
          <w:szCs w:val="28"/>
        </w:rPr>
        <w:t>A1.</w:t>
      </w:r>
      <w:r w:rsidRPr="00C73A8B">
        <w:rPr>
          <w:rFonts w:asciiTheme="majorBidi" w:hAnsiTheme="majorBidi" w:cstheme="majorBidi"/>
          <w:b/>
          <w:bCs/>
          <w:spacing w:val="-8"/>
          <w:sz w:val="24"/>
          <w:szCs w:val="28"/>
        </w:rPr>
        <w:t xml:space="preserve"> </w:t>
      </w:r>
      <w:r w:rsidRPr="00C73A8B">
        <w:rPr>
          <w:rFonts w:asciiTheme="majorBidi" w:hAnsiTheme="majorBidi" w:cstheme="majorBidi"/>
          <w:b/>
          <w:bCs/>
          <w:sz w:val="24"/>
          <w:szCs w:val="28"/>
        </w:rPr>
        <w:t>Content</w:t>
      </w:r>
      <w:r w:rsidRPr="00C73A8B">
        <w:rPr>
          <w:rFonts w:asciiTheme="majorBidi" w:hAnsiTheme="majorBidi" w:cstheme="majorBidi"/>
          <w:b/>
          <w:bCs/>
          <w:spacing w:val="-18"/>
          <w:sz w:val="24"/>
          <w:szCs w:val="28"/>
        </w:rPr>
        <w:t xml:space="preserve"> </w:t>
      </w:r>
      <w:r w:rsidRPr="00C73A8B">
        <w:rPr>
          <w:rFonts w:asciiTheme="majorBidi" w:hAnsiTheme="majorBidi" w:cstheme="majorBidi"/>
          <w:b/>
          <w:bCs/>
          <w:sz w:val="24"/>
          <w:szCs w:val="28"/>
        </w:rPr>
        <w:t>Analysis</w:t>
      </w:r>
      <w:r w:rsidRPr="00C73A8B">
        <w:rPr>
          <w:rFonts w:asciiTheme="majorBidi" w:hAnsiTheme="majorBidi" w:cstheme="majorBidi"/>
          <w:b/>
          <w:bCs/>
          <w:spacing w:val="-5"/>
          <w:sz w:val="24"/>
          <w:szCs w:val="28"/>
        </w:rPr>
        <w:t xml:space="preserve"> </w:t>
      </w:r>
      <w:r w:rsidRPr="00C73A8B">
        <w:rPr>
          <w:rFonts w:asciiTheme="majorBidi" w:hAnsiTheme="majorBidi" w:cstheme="majorBidi"/>
          <w:b/>
          <w:bCs/>
          <w:sz w:val="24"/>
          <w:szCs w:val="28"/>
        </w:rPr>
        <w:t>Coding</w:t>
      </w:r>
      <w:r w:rsidRPr="00C73A8B">
        <w:rPr>
          <w:rFonts w:asciiTheme="majorBidi" w:hAnsiTheme="majorBidi" w:cstheme="majorBidi"/>
          <w:b/>
          <w:bCs/>
          <w:spacing w:val="-5"/>
          <w:sz w:val="24"/>
          <w:szCs w:val="28"/>
        </w:rPr>
        <w:t xml:space="preserve"> </w:t>
      </w:r>
      <w:r w:rsidRPr="00C73A8B">
        <w:rPr>
          <w:rFonts w:asciiTheme="majorBidi" w:hAnsiTheme="majorBidi" w:cstheme="majorBidi"/>
          <w:b/>
          <w:bCs/>
          <w:spacing w:val="-2"/>
          <w:sz w:val="24"/>
          <w:szCs w:val="28"/>
        </w:rPr>
        <w:t>Scheme</w:t>
      </w:r>
    </w:p>
    <w:p w14:paraId="686D974A" w14:textId="77777777" w:rsidR="0015113F" w:rsidRPr="006309E4" w:rsidRDefault="0015113F" w:rsidP="0015113F">
      <w:pPr>
        <w:pStyle w:val="BodyText"/>
        <w:spacing w:after="120" w:line="480" w:lineRule="auto"/>
        <w:ind w:right="109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</w:rPr>
        <w:t>The content analysis of 500 legislative and executive documents employed a structured coding scheme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to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identify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belief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system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orientations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and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policy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frames.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Documents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were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selected</w:t>
      </w:r>
      <w:r w:rsidRPr="006309E4">
        <w:rPr>
          <w:rFonts w:asciiTheme="majorBidi" w:hAnsiTheme="majorBidi" w:cstheme="majorBidi"/>
          <w:spacing w:val="-3"/>
        </w:rPr>
        <w:t xml:space="preserve"> </w:t>
      </w:r>
      <w:r w:rsidRPr="006309E4">
        <w:rPr>
          <w:rFonts w:asciiTheme="majorBidi" w:hAnsiTheme="majorBidi" w:cstheme="majorBidi"/>
        </w:rPr>
        <w:t>through systematic sampling across three categories:</w:t>
      </w:r>
    </w:p>
    <w:p w14:paraId="4F51DC81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b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 xml:space="preserve">Germany </w:t>
      </w:r>
      <w:r w:rsidRPr="006309E4">
        <w:rPr>
          <w:rFonts w:asciiTheme="majorBidi" w:hAnsiTheme="majorBidi" w:cstheme="majorBidi"/>
          <w:b/>
          <w:spacing w:val="-2"/>
          <w:sz w:val="24"/>
        </w:rPr>
        <w:t>(n=250):</w:t>
      </w:r>
    </w:p>
    <w:p w14:paraId="12852CEA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Parliamentary debates on climate legislation </w:t>
      </w:r>
      <w:r w:rsidRPr="006309E4">
        <w:rPr>
          <w:rFonts w:asciiTheme="majorBidi" w:hAnsiTheme="majorBidi" w:cstheme="majorBidi"/>
          <w:spacing w:val="-2"/>
          <w:sz w:val="24"/>
        </w:rPr>
        <w:t>(n=100)</w:t>
      </w:r>
    </w:p>
    <w:p w14:paraId="1A18BDA4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Government strategy documents and plans </w:t>
      </w:r>
      <w:r w:rsidRPr="006309E4">
        <w:rPr>
          <w:rFonts w:asciiTheme="majorBidi" w:hAnsiTheme="majorBidi" w:cstheme="majorBidi"/>
          <w:spacing w:val="-2"/>
          <w:sz w:val="24"/>
        </w:rPr>
        <w:t>(n=75)</w:t>
      </w:r>
    </w:p>
    <w:p w14:paraId="422FEBA2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Judicial decisions on climate cases </w:t>
      </w:r>
      <w:r w:rsidRPr="006309E4">
        <w:rPr>
          <w:rFonts w:asciiTheme="majorBidi" w:hAnsiTheme="majorBidi" w:cstheme="majorBidi"/>
          <w:spacing w:val="-2"/>
          <w:sz w:val="24"/>
        </w:rPr>
        <w:t>(n=50)</w:t>
      </w:r>
    </w:p>
    <w:p w14:paraId="436F8263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Ministry reports and assessments </w:t>
      </w:r>
      <w:r w:rsidRPr="006309E4">
        <w:rPr>
          <w:rFonts w:asciiTheme="majorBidi" w:hAnsiTheme="majorBidi" w:cstheme="majorBidi"/>
          <w:spacing w:val="-2"/>
          <w:sz w:val="24"/>
        </w:rPr>
        <w:t>(n=25)</w:t>
      </w:r>
    </w:p>
    <w:p w14:paraId="27E9F652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b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 xml:space="preserve">Iran </w:t>
      </w:r>
      <w:r w:rsidRPr="006309E4">
        <w:rPr>
          <w:rFonts w:asciiTheme="majorBidi" w:hAnsiTheme="majorBidi" w:cstheme="majorBidi"/>
          <w:b/>
          <w:spacing w:val="-2"/>
          <w:sz w:val="24"/>
        </w:rPr>
        <w:t>(n=250):</w:t>
      </w:r>
    </w:p>
    <w:p w14:paraId="559B5FE9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Supreme Leader and Presidential statements </w:t>
      </w:r>
      <w:r w:rsidRPr="006309E4">
        <w:rPr>
          <w:rFonts w:asciiTheme="majorBidi" w:hAnsiTheme="majorBidi" w:cstheme="majorBidi"/>
          <w:spacing w:val="-2"/>
          <w:sz w:val="24"/>
        </w:rPr>
        <w:t>(n=75)</w:t>
      </w:r>
    </w:p>
    <w:p w14:paraId="44BB495B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>Parliament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(Majlis)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transcripts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on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energy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policy </w:t>
      </w:r>
      <w:r w:rsidRPr="006309E4">
        <w:rPr>
          <w:rFonts w:asciiTheme="majorBidi" w:hAnsiTheme="majorBidi" w:cstheme="majorBidi"/>
          <w:spacing w:val="-2"/>
          <w:sz w:val="24"/>
        </w:rPr>
        <w:t>(n=100)</w:t>
      </w:r>
    </w:p>
    <w:p w14:paraId="5FFA0E7C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>Ministry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of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Energy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and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Petroleum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reports </w:t>
      </w:r>
      <w:r w:rsidRPr="006309E4">
        <w:rPr>
          <w:rFonts w:asciiTheme="majorBidi" w:hAnsiTheme="majorBidi" w:cstheme="majorBidi"/>
          <w:spacing w:val="-2"/>
          <w:sz w:val="24"/>
        </w:rPr>
        <w:t>(n=50)</w:t>
      </w:r>
    </w:p>
    <w:p w14:paraId="170A9081" w14:textId="77777777" w:rsidR="0015113F" w:rsidRPr="006309E4" w:rsidRDefault="0015113F" w:rsidP="0015113F">
      <w:pPr>
        <w:pStyle w:val="ListParagraph"/>
        <w:numPr>
          <w:ilvl w:val="0"/>
          <w:numId w:val="3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National development plans and NDC documents </w:t>
      </w:r>
      <w:r w:rsidRPr="006309E4">
        <w:rPr>
          <w:rFonts w:asciiTheme="majorBidi" w:hAnsiTheme="majorBidi" w:cstheme="majorBidi"/>
          <w:spacing w:val="-2"/>
          <w:sz w:val="24"/>
        </w:rPr>
        <w:t>(n=25)</w:t>
      </w:r>
    </w:p>
    <w:p w14:paraId="0B565618" w14:textId="77777777" w:rsidR="0015113F" w:rsidRPr="00C73A8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3A8B">
        <w:rPr>
          <w:rFonts w:asciiTheme="majorBidi" w:hAnsiTheme="majorBidi" w:cstheme="majorBidi"/>
          <w:b/>
          <w:bCs/>
          <w:sz w:val="24"/>
          <w:szCs w:val="24"/>
        </w:rPr>
        <w:t>Coding Categories:</w:t>
      </w:r>
    </w:p>
    <w:p w14:paraId="0A319729" w14:textId="77777777" w:rsidR="0015113F" w:rsidRPr="006309E4" w:rsidRDefault="0015113F" w:rsidP="0015113F">
      <w:pPr>
        <w:pStyle w:val="ListParagraph"/>
        <w:numPr>
          <w:ilvl w:val="0"/>
          <w:numId w:val="2"/>
        </w:numPr>
        <w:tabs>
          <w:tab w:val="left" w:pos="666"/>
        </w:tabs>
        <w:spacing w:after="120" w:line="480" w:lineRule="auto"/>
        <w:ind w:left="666" w:right="39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Ecological</w:t>
      </w:r>
      <w:r w:rsidRPr="006309E4">
        <w:rPr>
          <w:rFonts w:asciiTheme="majorBidi" w:hAnsiTheme="majorBidi" w:cstheme="majorBidi"/>
          <w:b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Duty</w:t>
      </w:r>
      <w:r w:rsidRPr="006309E4">
        <w:rPr>
          <w:rFonts w:asciiTheme="majorBidi" w:hAnsiTheme="majorBidi" w:cstheme="majorBidi"/>
          <w:b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Frames:</w:t>
      </w:r>
      <w:r w:rsidRPr="006309E4">
        <w:rPr>
          <w:rFonts w:asciiTheme="majorBidi" w:hAnsiTheme="majorBidi" w:cstheme="majorBidi"/>
          <w:b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Biophysical</w:t>
      </w:r>
      <w:r w:rsidRPr="006309E4">
        <w:rPr>
          <w:rFonts w:asciiTheme="majorBidi" w:hAnsiTheme="majorBidi" w:cstheme="majorBidi"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limits,</w:t>
      </w:r>
      <w:r w:rsidRPr="006309E4">
        <w:rPr>
          <w:rFonts w:asciiTheme="majorBidi" w:hAnsiTheme="majorBidi" w:cstheme="majorBidi"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intergenerational</w:t>
      </w:r>
      <w:r w:rsidRPr="006309E4">
        <w:rPr>
          <w:rFonts w:asciiTheme="majorBidi" w:hAnsiTheme="majorBidi" w:cstheme="majorBidi"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responsibility,</w:t>
      </w:r>
      <w:r w:rsidRPr="006309E4">
        <w:rPr>
          <w:rFonts w:asciiTheme="majorBidi" w:hAnsiTheme="majorBidi" w:cstheme="majorBidi"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urgency</w:t>
      </w:r>
      <w:r w:rsidRPr="006309E4">
        <w:rPr>
          <w:rFonts w:asciiTheme="majorBidi" w:hAnsiTheme="majorBidi" w:cstheme="majorBidi"/>
          <w:spacing w:val="-8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of climate action</w:t>
      </w:r>
    </w:p>
    <w:p w14:paraId="2B80BB77" w14:textId="77777777" w:rsidR="0015113F" w:rsidRPr="006309E4" w:rsidRDefault="0015113F" w:rsidP="0015113F">
      <w:pPr>
        <w:pStyle w:val="ListParagraph"/>
        <w:numPr>
          <w:ilvl w:val="0"/>
          <w:numId w:val="2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Socio-Economic</w:t>
      </w:r>
      <w:r w:rsidRPr="006309E4">
        <w:rPr>
          <w:rFonts w:asciiTheme="majorBidi" w:hAnsiTheme="majorBidi" w:cstheme="majorBidi"/>
          <w:b/>
          <w:spacing w:val="-6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Security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Frames: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Economic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stability,</w:t>
      </w:r>
      <w:r w:rsidRPr="006309E4">
        <w:rPr>
          <w:rFonts w:asciiTheme="majorBidi" w:hAnsiTheme="majorBidi" w:cstheme="majorBidi"/>
          <w:spacing w:val="-6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energy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affordability,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social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pacing w:val="-2"/>
          <w:sz w:val="24"/>
        </w:rPr>
        <w:t>welfare</w:t>
      </w:r>
    </w:p>
    <w:p w14:paraId="04A48738" w14:textId="77777777" w:rsidR="0015113F" w:rsidRPr="006309E4" w:rsidRDefault="0015113F" w:rsidP="0015113F">
      <w:pPr>
        <w:pStyle w:val="ListParagraph"/>
        <w:numPr>
          <w:ilvl w:val="0"/>
          <w:numId w:val="2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Energy</w:t>
      </w:r>
      <w:r w:rsidRPr="006309E4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Sovereignty</w:t>
      </w:r>
      <w:r w:rsidRPr="006309E4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Frames:</w:t>
      </w:r>
      <w:r w:rsidRPr="006309E4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National independence,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resource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control, </w:t>
      </w:r>
      <w:r w:rsidRPr="006309E4">
        <w:rPr>
          <w:rFonts w:asciiTheme="majorBidi" w:hAnsiTheme="majorBidi" w:cstheme="majorBidi"/>
          <w:spacing w:val="-2"/>
          <w:sz w:val="24"/>
        </w:rPr>
        <w:t>geopolitical</w:t>
      </w:r>
    </w:p>
    <w:p w14:paraId="36E431A8" w14:textId="77777777" w:rsidR="0015113F" w:rsidRPr="006309E4" w:rsidRDefault="0015113F" w:rsidP="0015113F">
      <w:pPr>
        <w:pStyle w:val="BodyText"/>
        <w:spacing w:after="120" w:line="480" w:lineRule="auto"/>
        <w:ind w:left="666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  <w:spacing w:val="-2"/>
        </w:rPr>
        <w:t>security</w:t>
      </w:r>
    </w:p>
    <w:p w14:paraId="6B51CA5A" w14:textId="77777777" w:rsidR="0015113F" w:rsidRPr="006309E4" w:rsidRDefault="0015113F" w:rsidP="0015113F">
      <w:pPr>
        <w:pStyle w:val="ListParagraph"/>
        <w:numPr>
          <w:ilvl w:val="0"/>
          <w:numId w:val="2"/>
        </w:numPr>
        <w:tabs>
          <w:tab w:val="left" w:pos="666"/>
        </w:tabs>
        <w:spacing w:after="120" w:line="480" w:lineRule="auto"/>
        <w:ind w:left="66" w:right="881" w:firstLine="360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Technology</w:t>
      </w:r>
      <w:r w:rsidRPr="006309E4">
        <w:rPr>
          <w:rFonts w:asciiTheme="majorBidi" w:hAnsiTheme="majorBidi" w:cstheme="majorBidi"/>
          <w:b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Modernization</w:t>
      </w:r>
      <w:r w:rsidRPr="006309E4">
        <w:rPr>
          <w:rFonts w:asciiTheme="majorBidi" w:hAnsiTheme="majorBidi" w:cstheme="majorBidi"/>
          <w:b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Frames:</w:t>
      </w:r>
      <w:r w:rsidRPr="006309E4">
        <w:rPr>
          <w:rFonts w:asciiTheme="majorBidi" w:hAnsiTheme="majorBidi" w:cstheme="majorBidi"/>
          <w:b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Innovation,</w:t>
      </w:r>
      <w:r w:rsidRPr="006309E4">
        <w:rPr>
          <w:rFonts w:asciiTheme="majorBidi" w:hAnsiTheme="majorBidi" w:cstheme="majorBidi"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efficiency,</w:t>
      </w:r>
      <w:r w:rsidRPr="006309E4">
        <w:rPr>
          <w:rFonts w:asciiTheme="majorBidi" w:hAnsiTheme="majorBidi" w:cstheme="majorBidi"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competitive</w:t>
      </w:r>
      <w:r w:rsidRPr="006309E4">
        <w:rPr>
          <w:rFonts w:asciiTheme="majorBidi" w:hAnsiTheme="majorBidi" w:cstheme="majorBidi"/>
          <w:spacing w:val="-13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advantage Inter-coder reliability achieved Krippendorff's α = 0.82 across main categories.</w:t>
      </w:r>
    </w:p>
    <w:p w14:paraId="3BCCD41C" w14:textId="77777777" w:rsidR="0015113F" w:rsidRPr="00035C1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35C1B">
        <w:rPr>
          <w:rFonts w:asciiTheme="majorBidi" w:hAnsiTheme="majorBidi" w:cstheme="majorBidi"/>
          <w:b/>
          <w:bCs/>
          <w:sz w:val="24"/>
          <w:szCs w:val="28"/>
        </w:rPr>
        <w:t>A2.</w:t>
      </w:r>
      <w:r w:rsidRPr="00035C1B">
        <w:rPr>
          <w:rFonts w:asciiTheme="majorBidi" w:hAnsiTheme="majorBidi" w:cstheme="majorBidi"/>
          <w:b/>
          <w:bCs/>
          <w:spacing w:val="-7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Institutional</w:t>
      </w:r>
      <w:r w:rsidRPr="00035C1B">
        <w:rPr>
          <w:rFonts w:asciiTheme="majorBidi" w:hAnsiTheme="majorBidi" w:cstheme="majorBidi"/>
          <w:b/>
          <w:bCs/>
          <w:spacing w:val="-7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Inertia</w:t>
      </w:r>
      <w:r w:rsidRPr="00035C1B">
        <w:rPr>
          <w:rFonts w:asciiTheme="majorBidi" w:hAnsiTheme="majorBidi" w:cstheme="majorBidi"/>
          <w:b/>
          <w:bCs/>
          <w:spacing w:val="-7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Multiplier</w:t>
      </w:r>
      <w:r w:rsidRPr="00035C1B">
        <w:rPr>
          <w:rFonts w:asciiTheme="majorBidi" w:hAnsiTheme="majorBidi" w:cstheme="majorBidi"/>
          <w:b/>
          <w:bCs/>
          <w:spacing w:val="-11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(IIM)</w:t>
      </w:r>
      <w:r w:rsidRPr="00035C1B">
        <w:rPr>
          <w:rFonts w:asciiTheme="majorBidi" w:hAnsiTheme="majorBidi" w:cstheme="majorBidi"/>
          <w:b/>
          <w:bCs/>
          <w:spacing w:val="-6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pacing w:val="-2"/>
          <w:sz w:val="24"/>
          <w:szCs w:val="28"/>
        </w:rPr>
        <w:t>Calculation</w:t>
      </w:r>
    </w:p>
    <w:p w14:paraId="3BF201ED" w14:textId="77777777" w:rsidR="0015113F" w:rsidRPr="006309E4" w:rsidRDefault="0015113F" w:rsidP="0015113F">
      <w:pPr>
        <w:pStyle w:val="BodyText"/>
        <w:spacing w:after="120" w:line="480" w:lineRule="auto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</w:rPr>
        <w:lastRenderedPageBreak/>
        <w:t xml:space="preserve">The IIM is calculated as a composite index </w:t>
      </w:r>
      <w:r w:rsidRPr="006309E4">
        <w:rPr>
          <w:rFonts w:asciiTheme="majorBidi" w:hAnsiTheme="majorBidi" w:cstheme="majorBidi"/>
          <w:spacing w:val="-2"/>
        </w:rPr>
        <w:t>incorporating:</w:t>
      </w:r>
    </w:p>
    <w:p w14:paraId="4E40AD13" w14:textId="77777777" w:rsidR="0015113F" w:rsidRPr="006309E4" w:rsidRDefault="0015113F" w:rsidP="0015113F">
      <w:pPr>
        <w:spacing w:after="120" w:line="480" w:lineRule="auto"/>
        <w:ind w:left="66" w:right="109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Veto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Player</w:t>
      </w:r>
      <w:r w:rsidRPr="006309E4">
        <w:rPr>
          <w:rFonts w:asciiTheme="majorBidi" w:hAnsiTheme="majorBidi" w:cstheme="majorBidi"/>
          <w:b/>
          <w:spacing w:val="-10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Count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(VP):</w:t>
      </w:r>
      <w:r w:rsidRPr="006309E4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Number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of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institutional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actors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with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formal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authority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to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block</w:t>
      </w:r>
      <w:r w:rsidRPr="006309E4">
        <w:rPr>
          <w:rFonts w:asciiTheme="majorBidi" w:hAnsiTheme="majorBidi" w:cstheme="majorBidi"/>
          <w:spacing w:val="-5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policy </w:t>
      </w:r>
      <w:r w:rsidRPr="006309E4">
        <w:rPr>
          <w:rFonts w:asciiTheme="majorBidi" w:hAnsiTheme="majorBidi" w:cstheme="majorBidi"/>
          <w:spacing w:val="-2"/>
          <w:sz w:val="24"/>
        </w:rPr>
        <w:t>changes</w:t>
      </w:r>
    </w:p>
    <w:p w14:paraId="223C92C9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>Germany:</w:t>
      </w:r>
      <w:r w:rsidRPr="006309E4">
        <w:rPr>
          <w:rFonts w:asciiTheme="majorBidi" w:hAnsiTheme="majorBidi" w:cstheme="majorBidi"/>
          <w:spacing w:val="-2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8-12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(federal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government,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Länder,</w:t>
      </w:r>
      <w:r w:rsidRPr="006309E4">
        <w:rPr>
          <w:rFonts w:asciiTheme="majorBidi" w:hAnsiTheme="majorBidi" w:cstheme="majorBidi"/>
          <w:spacing w:val="-2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parliament,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courts,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EU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pacing w:val="-2"/>
          <w:sz w:val="24"/>
        </w:rPr>
        <w:t>level)</w:t>
      </w:r>
    </w:p>
    <w:p w14:paraId="08D7FD8B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>Iran:</w:t>
      </w:r>
      <w:r w:rsidRPr="006309E4">
        <w:rPr>
          <w:rFonts w:asciiTheme="majorBidi" w:hAnsiTheme="majorBidi" w:cstheme="majorBidi"/>
          <w:spacing w:val="-2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3-5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(Supreme</w:t>
      </w:r>
      <w:r w:rsidRPr="006309E4">
        <w:rPr>
          <w:rFonts w:asciiTheme="majorBidi" w:hAnsiTheme="majorBidi" w:cstheme="majorBidi"/>
          <w:spacing w:val="-2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Leader,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Guardian</w:t>
      </w:r>
      <w:r w:rsidRPr="006309E4">
        <w:rPr>
          <w:rFonts w:asciiTheme="majorBidi" w:hAnsiTheme="majorBidi" w:cstheme="majorBidi"/>
          <w:spacing w:val="-2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Council,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President,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pacing w:val="-2"/>
          <w:sz w:val="24"/>
        </w:rPr>
        <w:t>Parliament)</w:t>
      </w:r>
    </w:p>
    <w:p w14:paraId="61266CC6" w14:textId="77777777" w:rsidR="0015113F" w:rsidRPr="006309E4" w:rsidRDefault="0015113F" w:rsidP="0015113F">
      <w:pPr>
        <w:spacing w:after="120" w:line="480" w:lineRule="auto"/>
        <w:ind w:left="66" w:right="315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Decision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Point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Complexity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(DC):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Number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of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required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approvals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for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major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climate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policy </w:t>
      </w:r>
      <w:r w:rsidRPr="006309E4">
        <w:rPr>
          <w:rFonts w:asciiTheme="majorBidi" w:hAnsiTheme="majorBidi" w:cstheme="majorBidi"/>
          <w:spacing w:val="-2"/>
          <w:sz w:val="24"/>
        </w:rPr>
        <w:t>changes</w:t>
      </w:r>
    </w:p>
    <w:p w14:paraId="1A27D960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Germany: Multiple committee stages, federal-state coordination, judicial </w:t>
      </w:r>
      <w:r w:rsidRPr="006309E4">
        <w:rPr>
          <w:rFonts w:asciiTheme="majorBidi" w:hAnsiTheme="majorBidi" w:cstheme="majorBidi"/>
          <w:spacing w:val="-2"/>
          <w:sz w:val="24"/>
        </w:rPr>
        <w:t>review</w:t>
      </w:r>
    </w:p>
    <w:p w14:paraId="05CAEB81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Iran: Concentrated in executive branch with limited legislative </w:t>
      </w:r>
      <w:r w:rsidRPr="006309E4">
        <w:rPr>
          <w:rFonts w:asciiTheme="majorBidi" w:hAnsiTheme="majorBidi" w:cstheme="majorBidi"/>
          <w:spacing w:val="-2"/>
          <w:sz w:val="24"/>
        </w:rPr>
        <w:t>oversight</w:t>
      </w:r>
    </w:p>
    <w:p w14:paraId="54B96D1C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 xml:space="preserve">Reversal Costs (RC): </w:t>
      </w:r>
      <w:r w:rsidRPr="006309E4">
        <w:rPr>
          <w:rFonts w:asciiTheme="majorBidi" w:hAnsiTheme="majorBidi" w:cstheme="majorBidi"/>
          <w:sz w:val="24"/>
        </w:rPr>
        <w:t xml:space="preserve">Political and legal costs of policy </w:t>
      </w:r>
      <w:r w:rsidRPr="006309E4">
        <w:rPr>
          <w:rFonts w:asciiTheme="majorBidi" w:hAnsiTheme="majorBidi" w:cstheme="majorBidi"/>
          <w:spacing w:val="-2"/>
          <w:sz w:val="24"/>
        </w:rPr>
        <w:t>backtracking</w:t>
      </w:r>
    </w:p>
    <w:p w14:paraId="689B9C51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Germany: High due to legal entrenchment and coalition </w:t>
      </w:r>
      <w:r w:rsidRPr="006309E4">
        <w:rPr>
          <w:rFonts w:asciiTheme="majorBidi" w:hAnsiTheme="majorBidi" w:cstheme="majorBidi"/>
          <w:spacing w:val="-2"/>
          <w:sz w:val="24"/>
        </w:rPr>
        <w:t>politics</w:t>
      </w:r>
    </w:p>
    <w:p w14:paraId="34C8C4C4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Iran: Low due to executive discretion and weak accountability </w:t>
      </w:r>
      <w:r w:rsidRPr="006309E4">
        <w:rPr>
          <w:rFonts w:asciiTheme="majorBidi" w:hAnsiTheme="majorBidi" w:cstheme="majorBidi"/>
          <w:spacing w:val="-2"/>
          <w:sz w:val="24"/>
        </w:rPr>
        <w:t>mechanisms</w:t>
      </w:r>
    </w:p>
    <w:p w14:paraId="153157EA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b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IIM = (VP</w:t>
      </w:r>
      <w:r w:rsidRPr="006309E4">
        <w:rPr>
          <w:rFonts w:asciiTheme="majorBidi" w:hAnsiTheme="majorBidi" w:cstheme="majorBidi"/>
          <w:b/>
          <w:spacing w:val="-1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 xml:space="preserve">× DC) / </w:t>
      </w:r>
      <w:r w:rsidRPr="006309E4">
        <w:rPr>
          <w:rFonts w:asciiTheme="majorBidi" w:hAnsiTheme="majorBidi" w:cstheme="majorBidi"/>
          <w:b/>
          <w:spacing w:val="-5"/>
          <w:sz w:val="24"/>
        </w:rPr>
        <w:t>RC</w:t>
      </w:r>
    </w:p>
    <w:p w14:paraId="21067524" w14:textId="77777777" w:rsidR="0015113F" w:rsidRPr="00035C1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35C1B">
        <w:rPr>
          <w:rFonts w:asciiTheme="majorBidi" w:hAnsiTheme="majorBidi" w:cstheme="majorBidi"/>
          <w:b/>
          <w:bCs/>
          <w:sz w:val="24"/>
          <w:szCs w:val="28"/>
        </w:rPr>
        <w:t>A3.</w:t>
      </w:r>
      <w:r w:rsidRPr="00035C1B">
        <w:rPr>
          <w:rFonts w:asciiTheme="majorBidi" w:hAnsiTheme="majorBidi" w:cstheme="majorBidi"/>
          <w:b/>
          <w:bCs/>
          <w:spacing w:val="-17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Veto</w:t>
      </w:r>
      <w:r w:rsidRPr="00035C1B">
        <w:rPr>
          <w:rFonts w:asciiTheme="majorBidi" w:hAnsiTheme="majorBidi" w:cstheme="majorBidi"/>
          <w:b/>
          <w:bCs/>
          <w:spacing w:val="-12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Player</w:t>
      </w:r>
      <w:r w:rsidRPr="00035C1B">
        <w:rPr>
          <w:rFonts w:asciiTheme="majorBidi" w:hAnsiTheme="majorBidi" w:cstheme="majorBidi"/>
          <w:b/>
          <w:bCs/>
          <w:spacing w:val="-17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Identification</w:t>
      </w:r>
      <w:r w:rsidRPr="00035C1B">
        <w:rPr>
          <w:rFonts w:asciiTheme="majorBidi" w:hAnsiTheme="majorBidi" w:cstheme="majorBidi"/>
          <w:b/>
          <w:bCs/>
          <w:spacing w:val="-12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pacing w:val="-2"/>
          <w:sz w:val="24"/>
          <w:szCs w:val="28"/>
        </w:rPr>
        <w:t>Methodology</w:t>
      </w:r>
    </w:p>
    <w:p w14:paraId="0FC8A459" w14:textId="77777777" w:rsidR="0015113F" w:rsidRPr="006309E4" w:rsidRDefault="0015113F" w:rsidP="0015113F">
      <w:pPr>
        <w:pStyle w:val="BodyText"/>
        <w:spacing w:after="120" w:line="480" w:lineRule="auto"/>
        <w:ind w:right="903"/>
        <w:jc w:val="both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</w:rPr>
        <w:t>Veto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players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are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identified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using</w:t>
      </w:r>
      <w:r w:rsidRPr="006309E4">
        <w:rPr>
          <w:rFonts w:asciiTheme="majorBidi" w:hAnsiTheme="majorBidi" w:cstheme="majorBidi"/>
          <w:spacing w:val="-12"/>
        </w:rPr>
        <w:t xml:space="preserve"> </w:t>
      </w:r>
      <w:r w:rsidRPr="006309E4">
        <w:rPr>
          <w:rFonts w:asciiTheme="majorBidi" w:hAnsiTheme="majorBidi" w:cstheme="majorBidi"/>
        </w:rPr>
        <w:t>Tsebelis's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criteria: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institutional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actors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whose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agreement</w:t>
      </w:r>
      <w:r w:rsidRPr="006309E4">
        <w:rPr>
          <w:rFonts w:asciiTheme="majorBidi" w:hAnsiTheme="majorBidi" w:cstheme="majorBidi"/>
          <w:spacing w:val="-8"/>
        </w:rPr>
        <w:t xml:space="preserve"> </w:t>
      </w:r>
      <w:r w:rsidRPr="006309E4">
        <w:rPr>
          <w:rFonts w:asciiTheme="majorBidi" w:hAnsiTheme="majorBidi" w:cstheme="majorBidi"/>
        </w:rPr>
        <w:t>is necessary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for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policy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change.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Our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analysis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employs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both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formal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constitutional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analysis</w:t>
      </w:r>
      <w:r w:rsidRPr="006309E4">
        <w:rPr>
          <w:rFonts w:asciiTheme="majorBidi" w:hAnsiTheme="majorBidi" w:cstheme="majorBidi"/>
          <w:spacing w:val="-2"/>
        </w:rPr>
        <w:t xml:space="preserve"> </w:t>
      </w:r>
      <w:r w:rsidRPr="006309E4">
        <w:rPr>
          <w:rFonts w:asciiTheme="majorBidi" w:hAnsiTheme="majorBidi" w:cstheme="majorBidi"/>
        </w:rPr>
        <w:t>and empirical assessment of actual policy-blocking incidents during 2005-2023.</w:t>
      </w:r>
    </w:p>
    <w:p w14:paraId="1F559BA3" w14:textId="77777777" w:rsidR="0015113F" w:rsidRPr="00035C1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35C1B">
        <w:rPr>
          <w:rFonts w:asciiTheme="majorBidi" w:hAnsiTheme="majorBidi" w:cstheme="majorBidi"/>
          <w:b/>
          <w:bCs/>
          <w:sz w:val="24"/>
          <w:szCs w:val="24"/>
        </w:rPr>
        <w:t>Germany</w:t>
      </w:r>
      <w:r w:rsidRPr="00035C1B">
        <w:rPr>
          <w:rFonts w:asciiTheme="majorBidi" w:hAnsiTheme="majorBidi" w:cstheme="majorBidi"/>
          <w:b/>
          <w:bCs/>
          <w:spacing w:val="-15"/>
          <w:sz w:val="24"/>
          <w:szCs w:val="24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4"/>
        </w:rPr>
        <w:t>Veto</w:t>
      </w:r>
      <w:r w:rsidRPr="00035C1B">
        <w:rPr>
          <w:rFonts w:asciiTheme="majorBidi" w:hAnsiTheme="majorBidi" w:cstheme="majorBidi"/>
          <w:b/>
          <w:bCs/>
          <w:spacing w:val="-13"/>
          <w:sz w:val="24"/>
          <w:szCs w:val="24"/>
        </w:rPr>
        <w:t xml:space="preserve"> </w:t>
      </w:r>
      <w:r w:rsidRPr="00035C1B">
        <w:rPr>
          <w:rFonts w:asciiTheme="majorBidi" w:hAnsiTheme="majorBidi" w:cstheme="majorBidi"/>
          <w:b/>
          <w:bCs/>
          <w:spacing w:val="-2"/>
          <w:sz w:val="24"/>
          <w:szCs w:val="24"/>
        </w:rPr>
        <w:t>Players:</w:t>
      </w:r>
    </w:p>
    <w:p w14:paraId="3240839F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Federal Chancellor and </w:t>
      </w:r>
      <w:r w:rsidRPr="006309E4">
        <w:rPr>
          <w:rFonts w:asciiTheme="majorBidi" w:hAnsiTheme="majorBidi" w:cstheme="majorBidi"/>
          <w:spacing w:val="-2"/>
          <w:sz w:val="24"/>
        </w:rPr>
        <w:t>Cabinet</w:t>
      </w:r>
    </w:p>
    <w:p w14:paraId="70064892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Bundestag (Federal </w:t>
      </w:r>
      <w:r w:rsidRPr="006309E4">
        <w:rPr>
          <w:rFonts w:asciiTheme="majorBidi" w:hAnsiTheme="majorBidi" w:cstheme="majorBidi"/>
          <w:spacing w:val="-2"/>
          <w:sz w:val="24"/>
        </w:rPr>
        <w:t>Parliament)</w:t>
      </w:r>
    </w:p>
    <w:p w14:paraId="3C1AF2C3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Bundesrat (Federal Council representing </w:t>
      </w:r>
      <w:r w:rsidRPr="006309E4">
        <w:rPr>
          <w:rFonts w:asciiTheme="majorBidi" w:hAnsiTheme="majorBidi" w:cstheme="majorBidi"/>
          <w:spacing w:val="-2"/>
          <w:sz w:val="24"/>
        </w:rPr>
        <w:t>Länder)</w:t>
      </w:r>
    </w:p>
    <w:p w14:paraId="70E00811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Federal Constitutional </w:t>
      </w:r>
      <w:r w:rsidRPr="006309E4">
        <w:rPr>
          <w:rFonts w:asciiTheme="majorBidi" w:hAnsiTheme="majorBidi" w:cstheme="majorBidi"/>
          <w:spacing w:val="-2"/>
          <w:sz w:val="24"/>
        </w:rPr>
        <w:t>Court</w:t>
      </w:r>
    </w:p>
    <w:p w14:paraId="5DA25D39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>European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Union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(for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policies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affecting</w:t>
      </w:r>
      <w:r w:rsidRPr="006309E4">
        <w:rPr>
          <w:rFonts w:asciiTheme="majorBidi" w:hAnsiTheme="majorBidi" w:cstheme="majorBidi"/>
          <w:spacing w:val="-1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EU </w:t>
      </w:r>
      <w:r w:rsidRPr="006309E4">
        <w:rPr>
          <w:rFonts w:asciiTheme="majorBidi" w:hAnsiTheme="majorBidi" w:cstheme="majorBidi"/>
          <w:spacing w:val="-4"/>
          <w:sz w:val="24"/>
        </w:rPr>
        <w:t>law)</w:t>
      </w:r>
    </w:p>
    <w:p w14:paraId="38DF4706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Coalition partners within </w:t>
      </w:r>
      <w:r w:rsidRPr="006309E4">
        <w:rPr>
          <w:rFonts w:asciiTheme="majorBidi" w:hAnsiTheme="majorBidi" w:cstheme="majorBidi"/>
          <w:spacing w:val="-2"/>
          <w:sz w:val="24"/>
        </w:rPr>
        <w:t>government</w:t>
      </w:r>
    </w:p>
    <w:p w14:paraId="68B4798F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Länder governments (for policies requiring their </w:t>
      </w:r>
      <w:r w:rsidRPr="006309E4">
        <w:rPr>
          <w:rFonts w:asciiTheme="majorBidi" w:hAnsiTheme="majorBidi" w:cstheme="majorBidi"/>
          <w:spacing w:val="-2"/>
          <w:sz w:val="24"/>
        </w:rPr>
        <w:t>implementation)</w:t>
      </w:r>
    </w:p>
    <w:p w14:paraId="6EA84E9E" w14:textId="77777777" w:rsidR="0015113F" w:rsidRPr="00035C1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35C1B">
        <w:rPr>
          <w:rFonts w:asciiTheme="majorBidi" w:hAnsiTheme="majorBidi" w:cstheme="majorBidi"/>
          <w:b/>
          <w:bCs/>
          <w:sz w:val="24"/>
          <w:szCs w:val="24"/>
        </w:rPr>
        <w:lastRenderedPageBreak/>
        <w:t>Iran</w:t>
      </w:r>
      <w:r w:rsidRPr="00035C1B">
        <w:rPr>
          <w:rFonts w:asciiTheme="majorBidi" w:hAnsiTheme="majorBidi" w:cstheme="majorBidi"/>
          <w:b/>
          <w:bCs/>
          <w:spacing w:val="-17"/>
          <w:sz w:val="24"/>
          <w:szCs w:val="24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4"/>
        </w:rPr>
        <w:t>Veto</w:t>
      </w:r>
      <w:r w:rsidRPr="00035C1B">
        <w:rPr>
          <w:rFonts w:asciiTheme="majorBidi" w:hAnsiTheme="majorBidi" w:cstheme="majorBidi"/>
          <w:b/>
          <w:bCs/>
          <w:spacing w:val="-13"/>
          <w:sz w:val="24"/>
          <w:szCs w:val="24"/>
        </w:rPr>
        <w:t xml:space="preserve"> </w:t>
      </w:r>
      <w:r w:rsidRPr="00035C1B">
        <w:rPr>
          <w:rFonts w:asciiTheme="majorBidi" w:hAnsiTheme="majorBidi" w:cstheme="majorBidi"/>
          <w:b/>
          <w:bCs/>
          <w:spacing w:val="-2"/>
          <w:sz w:val="24"/>
          <w:szCs w:val="24"/>
        </w:rPr>
        <w:t>Players:</w:t>
      </w:r>
    </w:p>
    <w:p w14:paraId="49DD0446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Supreme Leader (ultimate </w:t>
      </w:r>
      <w:r w:rsidRPr="006309E4">
        <w:rPr>
          <w:rFonts w:asciiTheme="majorBidi" w:hAnsiTheme="majorBidi" w:cstheme="majorBidi"/>
          <w:spacing w:val="-2"/>
          <w:sz w:val="24"/>
        </w:rPr>
        <w:t>authority)</w:t>
      </w:r>
    </w:p>
    <w:p w14:paraId="3EF9DB74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Guardian Council (constitutional </w:t>
      </w:r>
      <w:r w:rsidRPr="006309E4">
        <w:rPr>
          <w:rFonts w:asciiTheme="majorBidi" w:hAnsiTheme="majorBidi" w:cstheme="majorBidi"/>
          <w:spacing w:val="-2"/>
          <w:sz w:val="24"/>
        </w:rPr>
        <w:t>review)</w:t>
      </w:r>
    </w:p>
    <w:p w14:paraId="1264CBCF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President and </w:t>
      </w:r>
      <w:r w:rsidRPr="006309E4">
        <w:rPr>
          <w:rFonts w:asciiTheme="majorBidi" w:hAnsiTheme="majorBidi" w:cstheme="majorBidi"/>
          <w:spacing w:val="-2"/>
          <w:sz w:val="24"/>
        </w:rPr>
        <w:t>Cabinet</w:t>
      </w:r>
    </w:p>
    <w:p w14:paraId="3FEB6F6F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Parliament (Majlis) for </w:t>
      </w:r>
      <w:r w:rsidRPr="006309E4">
        <w:rPr>
          <w:rFonts w:asciiTheme="majorBidi" w:hAnsiTheme="majorBidi" w:cstheme="majorBidi"/>
          <w:spacing w:val="-2"/>
          <w:sz w:val="24"/>
        </w:rPr>
        <w:t>legislation</w:t>
      </w:r>
    </w:p>
    <w:p w14:paraId="461EC7BF" w14:textId="77777777" w:rsidR="0015113F" w:rsidRPr="006309E4" w:rsidRDefault="0015113F" w:rsidP="0015113F">
      <w:pPr>
        <w:pStyle w:val="ListParagraph"/>
        <w:numPr>
          <w:ilvl w:val="0"/>
          <w:numId w:val="1"/>
        </w:numPr>
        <w:tabs>
          <w:tab w:val="left" w:pos="666"/>
        </w:tabs>
        <w:spacing w:after="120" w:line="480" w:lineRule="auto"/>
        <w:ind w:left="666"/>
        <w:contextualSpacing w:val="0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sz w:val="24"/>
        </w:rPr>
        <w:t xml:space="preserve">Expediency Discernment Council (dispute </w:t>
      </w:r>
      <w:r w:rsidRPr="006309E4">
        <w:rPr>
          <w:rFonts w:asciiTheme="majorBidi" w:hAnsiTheme="majorBidi" w:cstheme="majorBidi"/>
          <w:spacing w:val="-2"/>
          <w:sz w:val="24"/>
        </w:rPr>
        <w:t>resolution)</w:t>
      </w:r>
    </w:p>
    <w:p w14:paraId="25E1BCBC" w14:textId="77777777" w:rsidR="0015113F" w:rsidRPr="00035C1B" w:rsidRDefault="0015113F" w:rsidP="0015113F">
      <w:pPr>
        <w:spacing w:after="12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35C1B">
        <w:rPr>
          <w:rFonts w:asciiTheme="majorBidi" w:hAnsiTheme="majorBidi" w:cstheme="majorBidi"/>
          <w:b/>
          <w:bCs/>
          <w:sz w:val="24"/>
          <w:szCs w:val="28"/>
        </w:rPr>
        <w:t>A4.</w:t>
      </w:r>
      <w:r w:rsidRPr="00035C1B">
        <w:rPr>
          <w:rFonts w:asciiTheme="majorBidi" w:hAnsiTheme="majorBidi" w:cstheme="majorBidi"/>
          <w:b/>
          <w:bCs/>
          <w:spacing w:val="-10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Data</w:t>
      </w:r>
      <w:r w:rsidRPr="00035C1B">
        <w:rPr>
          <w:rFonts w:asciiTheme="majorBidi" w:hAnsiTheme="majorBidi" w:cstheme="majorBidi"/>
          <w:b/>
          <w:bCs/>
          <w:spacing w:val="-13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Triangulation</w:t>
      </w:r>
      <w:r w:rsidRPr="00035C1B">
        <w:rPr>
          <w:rFonts w:asciiTheme="majorBidi" w:hAnsiTheme="majorBidi" w:cstheme="majorBidi"/>
          <w:b/>
          <w:bCs/>
          <w:spacing w:val="-10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Methods</w:t>
      </w:r>
      <w:r w:rsidRPr="00035C1B">
        <w:rPr>
          <w:rFonts w:asciiTheme="majorBidi" w:hAnsiTheme="majorBidi" w:cstheme="majorBidi"/>
          <w:b/>
          <w:bCs/>
          <w:spacing w:val="-9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z w:val="24"/>
          <w:szCs w:val="28"/>
        </w:rPr>
        <w:t>for</w:t>
      </w:r>
      <w:r w:rsidRPr="00035C1B">
        <w:rPr>
          <w:rFonts w:asciiTheme="majorBidi" w:hAnsiTheme="majorBidi" w:cstheme="majorBidi"/>
          <w:b/>
          <w:bCs/>
          <w:spacing w:val="-13"/>
          <w:sz w:val="24"/>
          <w:szCs w:val="28"/>
        </w:rPr>
        <w:t xml:space="preserve"> </w:t>
      </w:r>
      <w:r w:rsidRPr="00035C1B">
        <w:rPr>
          <w:rFonts w:asciiTheme="majorBidi" w:hAnsiTheme="majorBidi" w:cstheme="majorBidi"/>
          <w:b/>
          <w:bCs/>
          <w:spacing w:val="-4"/>
          <w:sz w:val="24"/>
          <w:szCs w:val="28"/>
        </w:rPr>
        <w:t>Iran</w:t>
      </w:r>
    </w:p>
    <w:p w14:paraId="601243AC" w14:textId="77777777" w:rsidR="0015113F" w:rsidRPr="006309E4" w:rsidRDefault="0015113F" w:rsidP="0015113F">
      <w:pPr>
        <w:pStyle w:val="BodyText"/>
        <w:spacing w:after="120" w:line="480" w:lineRule="auto"/>
        <w:ind w:right="109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</w:rPr>
        <w:t>Given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acknowledged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limitations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in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Iran's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official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emissions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data,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we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employed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multiple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 xml:space="preserve">validation </w:t>
      </w:r>
      <w:r w:rsidRPr="006309E4">
        <w:rPr>
          <w:rFonts w:asciiTheme="majorBidi" w:hAnsiTheme="majorBidi" w:cstheme="majorBidi"/>
          <w:spacing w:val="-2"/>
        </w:rPr>
        <w:t>approaches:</w:t>
      </w:r>
    </w:p>
    <w:p w14:paraId="37BB1359" w14:textId="77777777" w:rsidR="0015113F" w:rsidRPr="006309E4" w:rsidRDefault="0015113F" w:rsidP="0015113F">
      <w:pPr>
        <w:spacing w:after="120" w:line="480" w:lineRule="auto"/>
        <w:ind w:left="66" w:right="109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Satellite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Monitoring:</w:t>
      </w:r>
      <w:r w:rsidRPr="006309E4">
        <w:rPr>
          <w:rFonts w:asciiTheme="majorBidi" w:hAnsiTheme="majorBidi" w:cstheme="majorBidi"/>
          <w:b/>
          <w:spacing w:val="-9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TROPOMI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and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other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satellite-based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measurements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for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large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point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sources </w:t>
      </w:r>
      <w:r w:rsidRPr="006309E4">
        <w:rPr>
          <w:rFonts w:asciiTheme="majorBidi" w:hAnsiTheme="majorBidi" w:cstheme="majorBidi"/>
          <w:b/>
          <w:sz w:val="24"/>
        </w:rPr>
        <w:t xml:space="preserve">Energy Balance Cross-checking: </w:t>
      </w:r>
      <w:r w:rsidRPr="006309E4">
        <w:rPr>
          <w:rFonts w:asciiTheme="majorBidi" w:hAnsiTheme="majorBidi" w:cstheme="majorBidi"/>
          <w:sz w:val="24"/>
        </w:rPr>
        <w:t xml:space="preserve">Comparison of reported energy consumption with emissions </w:t>
      </w:r>
      <w:r w:rsidRPr="006309E4">
        <w:rPr>
          <w:rFonts w:asciiTheme="majorBidi" w:hAnsiTheme="majorBidi" w:cstheme="majorBidi"/>
          <w:spacing w:val="-2"/>
          <w:sz w:val="24"/>
        </w:rPr>
        <w:t>estimates</w:t>
      </w:r>
    </w:p>
    <w:p w14:paraId="1EE20C75" w14:textId="77777777" w:rsidR="0015113F" w:rsidRPr="006309E4" w:rsidRDefault="0015113F" w:rsidP="0015113F">
      <w:pPr>
        <w:spacing w:after="120" w:line="480" w:lineRule="auto"/>
        <w:ind w:left="66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 xml:space="preserve">International Database Reconciliation: </w:t>
      </w:r>
      <w:r w:rsidRPr="006309E4">
        <w:rPr>
          <w:rFonts w:asciiTheme="majorBidi" w:hAnsiTheme="majorBidi" w:cstheme="majorBidi"/>
          <w:sz w:val="24"/>
        </w:rPr>
        <w:t xml:space="preserve">Comparison across EDGAR, IEA, and Global </w:t>
      </w:r>
      <w:r w:rsidRPr="006309E4">
        <w:rPr>
          <w:rFonts w:asciiTheme="majorBidi" w:hAnsiTheme="majorBidi" w:cstheme="majorBidi"/>
          <w:spacing w:val="-2"/>
          <w:sz w:val="24"/>
        </w:rPr>
        <w:t>Carbon</w:t>
      </w:r>
    </w:p>
    <w:p w14:paraId="6104B726" w14:textId="77777777" w:rsidR="0015113F" w:rsidRPr="006309E4" w:rsidRDefault="0015113F" w:rsidP="0015113F">
      <w:pPr>
        <w:pStyle w:val="BodyText"/>
        <w:spacing w:after="120" w:line="480" w:lineRule="auto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</w:rPr>
        <w:t xml:space="preserve">Atlas </w:t>
      </w:r>
      <w:r w:rsidRPr="006309E4">
        <w:rPr>
          <w:rFonts w:asciiTheme="majorBidi" w:hAnsiTheme="majorBidi" w:cstheme="majorBidi"/>
          <w:spacing w:val="-2"/>
        </w:rPr>
        <w:t>datasets</w:t>
      </w:r>
    </w:p>
    <w:p w14:paraId="0CF3140F" w14:textId="77777777" w:rsidR="0015113F" w:rsidRPr="006309E4" w:rsidRDefault="0015113F" w:rsidP="0015113F">
      <w:pPr>
        <w:spacing w:after="120" w:line="480" w:lineRule="auto"/>
        <w:ind w:left="66" w:right="109"/>
        <w:rPr>
          <w:rFonts w:asciiTheme="majorBidi" w:hAnsiTheme="majorBidi" w:cstheme="majorBidi"/>
          <w:sz w:val="24"/>
        </w:rPr>
      </w:pPr>
      <w:r w:rsidRPr="006309E4">
        <w:rPr>
          <w:rFonts w:asciiTheme="majorBidi" w:hAnsiTheme="majorBidi" w:cstheme="majorBidi"/>
          <w:b/>
          <w:sz w:val="24"/>
        </w:rPr>
        <w:t>Regional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b/>
          <w:sz w:val="24"/>
        </w:rPr>
        <w:t>Benchmarking:</w:t>
      </w:r>
      <w:r w:rsidRPr="006309E4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Comparison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with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similar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economies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adjusting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for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>economic</w:t>
      </w:r>
      <w:r w:rsidRPr="006309E4">
        <w:rPr>
          <w:rFonts w:asciiTheme="majorBidi" w:hAnsiTheme="majorBidi" w:cstheme="majorBidi"/>
          <w:spacing w:val="-4"/>
          <w:sz w:val="24"/>
        </w:rPr>
        <w:t xml:space="preserve"> </w:t>
      </w:r>
      <w:r w:rsidRPr="006309E4">
        <w:rPr>
          <w:rFonts w:asciiTheme="majorBidi" w:hAnsiTheme="majorBidi" w:cstheme="majorBidi"/>
          <w:sz w:val="24"/>
        </w:rPr>
        <w:t xml:space="preserve">structure </w:t>
      </w:r>
      <w:r w:rsidRPr="006309E4">
        <w:rPr>
          <w:rFonts w:asciiTheme="majorBidi" w:hAnsiTheme="majorBidi" w:cstheme="majorBidi"/>
          <w:spacing w:val="-2"/>
          <w:sz w:val="24"/>
        </w:rPr>
        <w:t>differences</w:t>
      </w:r>
    </w:p>
    <w:p w14:paraId="64554276" w14:textId="77777777" w:rsidR="0015113F" w:rsidRPr="006309E4" w:rsidRDefault="0015113F" w:rsidP="0015113F">
      <w:pPr>
        <w:pStyle w:val="BodyText"/>
        <w:spacing w:after="120" w:line="480" w:lineRule="auto"/>
        <w:ind w:right="155"/>
        <w:rPr>
          <w:rFonts w:asciiTheme="majorBidi" w:hAnsiTheme="majorBidi" w:cstheme="majorBidi"/>
        </w:rPr>
      </w:pPr>
      <w:r w:rsidRPr="006309E4">
        <w:rPr>
          <w:rFonts w:asciiTheme="majorBidi" w:hAnsiTheme="majorBidi" w:cstheme="majorBidi"/>
          <w:b/>
        </w:rPr>
        <w:t>Uncertainty</w:t>
      </w:r>
      <w:r w:rsidRPr="006309E4">
        <w:rPr>
          <w:rFonts w:asciiTheme="majorBidi" w:hAnsiTheme="majorBidi" w:cstheme="majorBidi"/>
          <w:b/>
          <w:spacing w:val="-15"/>
        </w:rPr>
        <w:t xml:space="preserve"> </w:t>
      </w:r>
      <w:r w:rsidRPr="006309E4">
        <w:rPr>
          <w:rFonts w:asciiTheme="majorBidi" w:hAnsiTheme="majorBidi" w:cstheme="majorBidi"/>
          <w:b/>
        </w:rPr>
        <w:t>Assessment:</w:t>
      </w:r>
      <w:r w:rsidRPr="006309E4">
        <w:rPr>
          <w:rFonts w:asciiTheme="majorBidi" w:hAnsiTheme="majorBidi" w:cstheme="majorBidi"/>
          <w:b/>
          <w:spacing w:val="-5"/>
        </w:rPr>
        <w:t xml:space="preserve"> </w:t>
      </w:r>
      <w:r w:rsidRPr="006309E4">
        <w:rPr>
          <w:rFonts w:asciiTheme="majorBidi" w:hAnsiTheme="majorBidi" w:cstheme="majorBidi"/>
        </w:rPr>
        <w:t>Based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on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this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triangulation,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we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estimate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Iran's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official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data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carries</w:t>
      </w:r>
      <w:r w:rsidRPr="006309E4">
        <w:rPr>
          <w:rFonts w:asciiTheme="majorBidi" w:hAnsiTheme="majorBidi" w:cstheme="majorBidi"/>
          <w:spacing w:val="-4"/>
        </w:rPr>
        <w:t xml:space="preserve"> </w:t>
      </w:r>
      <w:r w:rsidRPr="006309E4">
        <w:rPr>
          <w:rFonts w:asciiTheme="majorBidi" w:hAnsiTheme="majorBidi" w:cstheme="majorBidi"/>
        </w:rPr>
        <w:t>±15-25% uncertainty margins in recent years, with higher uncertainty for sectoral breakdowns and industrial emissions.</w:t>
      </w:r>
    </w:p>
    <w:p w14:paraId="6B923E75" w14:textId="77777777" w:rsidR="00E023F9" w:rsidRDefault="00E023F9"/>
    <w:sectPr w:rsidR="00E023F9" w:rsidSect="0015113F">
      <w:pgSz w:w="11920" w:h="16860"/>
      <w:pgMar w:top="0" w:right="1133" w:bottom="280" w:left="1133" w:header="720" w:footer="720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7pt;height:7.7pt" o:bullet="t">
        <v:imagedata r:id="rId1" o:title="image5"/>
      </v:shape>
    </w:pict>
  </w:numPicBullet>
  <w:numPicBullet w:numPicBulletId="1">
    <w:pict>
      <v:shape id="_x0000_i1026" type="#_x0000_t75" style="width:7.7pt;height:7.7pt" o:bullet="t">
        <v:imagedata r:id="rId2" o:title="image4"/>
      </v:shape>
    </w:pict>
  </w:numPicBullet>
  <w:abstractNum w:abstractNumId="0" w15:restartNumberingAfterBreak="0">
    <w:nsid w:val="27E93E26"/>
    <w:multiLevelType w:val="hybridMultilevel"/>
    <w:tmpl w:val="D2582F1A"/>
    <w:lvl w:ilvl="0" w:tplc="5FF24556">
      <w:start w:val="1"/>
      <w:numFmt w:val="decimal"/>
      <w:lvlText w:val="%1."/>
      <w:lvlJc w:val="left"/>
      <w:pPr>
        <w:ind w:left="667" w:hanging="24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3AC814">
      <w:numFmt w:val="bullet"/>
      <w:lvlText w:val="•"/>
      <w:lvlJc w:val="left"/>
      <w:pPr>
        <w:ind w:left="1559" w:hanging="240"/>
      </w:pPr>
      <w:rPr>
        <w:rFonts w:hint="default"/>
        <w:lang w:val="en-US" w:eastAsia="en-US" w:bidi="ar-SA"/>
      </w:rPr>
    </w:lvl>
    <w:lvl w:ilvl="2" w:tplc="606EB75C">
      <w:numFmt w:val="bullet"/>
      <w:lvlText w:val="•"/>
      <w:lvlJc w:val="left"/>
      <w:pPr>
        <w:ind w:left="2458" w:hanging="240"/>
      </w:pPr>
      <w:rPr>
        <w:rFonts w:hint="default"/>
        <w:lang w:val="en-US" w:eastAsia="en-US" w:bidi="ar-SA"/>
      </w:rPr>
    </w:lvl>
    <w:lvl w:ilvl="3" w:tplc="D89A0C72">
      <w:numFmt w:val="bullet"/>
      <w:lvlText w:val="•"/>
      <w:lvlJc w:val="left"/>
      <w:pPr>
        <w:ind w:left="3357" w:hanging="240"/>
      </w:pPr>
      <w:rPr>
        <w:rFonts w:hint="default"/>
        <w:lang w:val="en-US" w:eastAsia="en-US" w:bidi="ar-SA"/>
      </w:rPr>
    </w:lvl>
    <w:lvl w:ilvl="4" w:tplc="F4807068">
      <w:numFmt w:val="bullet"/>
      <w:lvlText w:val="•"/>
      <w:lvlJc w:val="left"/>
      <w:pPr>
        <w:ind w:left="4256" w:hanging="240"/>
      </w:pPr>
      <w:rPr>
        <w:rFonts w:hint="default"/>
        <w:lang w:val="en-US" w:eastAsia="en-US" w:bidi="ar-SA"/>
      </w:rPr>
    </w:lvl>
    <w:lvl w:ilvl="5" w:tplc="E1203E28">
      <w:numFmt w:val="bullet"/>
      <w:lvlText w:val="•"/>
      <w:lvlJc w:val="left"/>
      <w:pPr>
        <w:ind w:left="5156" w:hanging="240"/>
      </w:pPr>
      <w:rPr>
        <w:rFonts w:hint="default"/>
        <w:lang w:val="en-US" w:eastAsia="en-US" w:bidi="ar-SA"/>
      </w:rPr>
    </w:lvl>
    <w:lvl w:ilvl="6" w:tplc="0CF2E39A">
      <w:numFmt w:val="bullet"/>
      <w:lvlText w:val="•"/>
      <w:lvlJc w:val="left"/>
      <w:pPr>
        <w:ind w:left="6055" w:hanging="240"/>
      </w:pPr>
      <w:rPr>
        <w:rFonts w:hint="default"/>
        <w:lang w:val="en-US" w:eastAsia="en-US" w:bidi="ar-SA"/>
      </w:rPr>
    </w:lvl>
    <w:lvl w:ilvl="7" w:tplc="1EAE5F4E">
      <w:numFmt w:val="bullet"/>
      <w:lvlText w:val="•"/>
      <w:lvlJc w:val="left"/>
      <w:pPr>
        <w:ind w:left="6954" w:hanging="240"/>
      </w:pPr>
      <w:rPr>
        <w:rFonts w:hint="default"/>
        <w:lang w:val="en-US" w:eastAsia="en-US" w:bidi="ar-SA"/>
      </w:rPr>
    </w:lvl>
    <w:lvl w:ilvl="8" w:tplc="C7C42950">
      <w:numFmt w:val="bullet"/>
      <w:lvlText w:val="•"/>
      <w:lvlJc w:val="left"/>
      <w:pPr>
        <w:ind w:left="7853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57BF0433"/>
    <w:multiLevelType w:val="hybridMultilevel"/>
    <w:tmpl w:val="8E38978E"/>
    <w:lvl w:ilvl="0" w:tplc="C748CCCE">
      <w:numFmt w:val="bullet"/>
      <w:lvlText w:val="&amp;"/>
      <w:lvlPicBulletId w:val="1"/>
      <w:lvlJc w:val="left"/>
      <w:pPr>
        <w:ind w:left="66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en-US" w:eastAsia="en-US" w:bidi="ar-SA"/>
      </w:rPr>
    </w:lvl>
    <w:lvl w:ilvl="1" w:tplc="9B1AA5A2">
      <w:numFmt w:val="bullet"/>
      <w:lvlText w:val="•"/>
      <w:lvlJc w:val="left"/>
      <w:pPr>
        <w:ind w:left="1559" w:hanging="240"/>
      </w:pPr>
      <w:rPr>
        <w:rFonts w:hint="default"/>
        <w:lang w:val="en-US" w:eastAsia="en-US" w:bidi="ar-SA"/>
      </w:rPr>
    </w:lvl>
    <w:lvl w:ilvl="2" w:tplc="D6260AE4">
      <w:numFmt w:val="bullet"/>
      <w:lvlText w:val="•"/>
      <w:lvlJc w:val="left"/>
      <w:pPr>
        <w:ind w:left="2458" w:hanging="240"/>
      </w:pPr>
      <w:rPr>
        <w:rFonts w:hint="default"/>
        <w:lang w:val="en-US" w:eastAsia="en-US" w:bidi="ar-SA"/>
      </w:rPr>
    </w:lvl>
    <w:lvl w:ilvl="3" w:tplc="0BE0FBE6">
      <w:numFmt w:val="bullet"/>
      <w:lvlText w:val="•"/>
      <w:lvlJc w:val="left"/>
      <w:pPr>
        <w:ind w:left="3357" w:hanging="240"/>
      </w:pPr>
      <w:rPr>
        <w:rFonts w:hint="default"/>
        <w:lang w:val="en-US" w:eastAsia="en-US" w:bidi="ar-SA"/>
      </w:rPr>
    </w:lvl>
    <w:lvl w:ilvl="4" w:tplc="349A735A">
      <w:numFmt w:val="bullet"/>
      <w:lvlText w:val="•"/>
      <w:lvlJc w:val="left"/>
      <w:pPr>
        <w:ind w:left="4256" w:hanging="240"/>
      </w:pPr>
      <w:rPr>
        <w:rFonts w:hint="default"/>
        <w:lang w:val="en-US" w:eastAsia="en-US" w:bidi="ar-SA"/>
      </w:rPr>
    </w:lvl>
    <w:lvl w:ilvl="5" w:tplc="DB96A7D0">
      <w:numFmt w:val="bullet"/>
      <w:lvlText w:val="•"/>
      <w:lvlJc w:val="left"/>
      <w:pPr>
        <w:ind w:left="5156" w:hanging="240"/>
      </w:pPr>
      <w:rPr>
        <w:rFonts w:hint="default"/>
        <w:lang w:val="en-US" w:eastAsia="en-US" w:bidi="ar-SA"/>
      </w:rPr>
    </w:lvl>
    <w:lvl w:ilvl="6" w:tplc="4EA43AA4">
      <w:numFmt w:val="bullet"/>
      <w:lvlText w:val="•"/>
      <w:lvlJc w:val="left"/>
      <w:pPr>
        <w:ind w:left="6055" w:hanging="240"/>
      </w:pPr>
      <w:rPr>
        <w:rFonts w:hint="default"/>
        <w:lang w:val="en-US" w:eastAsia="en-US" w:bidi="ar-SA"/>
      </w:rPr>
    </w:lvl>
    <w:lvl w:ilvl="7" w:tplc="00308E68">
      <w:numFmt w:val="bullet"/>
      <w:lvlText w:val="•"/>
      <w:lvlJc w:val="left"/>
      <w:pPr>
        <w:ind w:left="6954" w:hanging="240"/>
      </w:pPr>
      <w:rPr>
        <w:rFonts w:hint="default"/>
        <w:lang w:val="en-US" w:eastAsia="en-US" w:bidi="ar-SA"/>
      </w:rPr>
    </w:lvl>
    <w:lvl w:ilvl="8" w:tplc="CE3A1B10">
      <w:numFmt w:val="bullet"/>
      <w:lvlText w:val="•"/>
      <w:lvlJc w:val="left"/>
      <w:pPr>
        <w:ind w:left="7853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6CEF6C4C"/>
    <w:multiLevelType w:val="hybridMultilevel"/>
    <w:tmpl w:val="D08E5C74"/>
    <w:lvl w:ilvl="0" w:tplc="5DD66632">
      <w:numFmt w:val="bullet"/>
      <w:lvlText w:val="&amp;"/>
      <w:lvlPicBulletId w:val="0"/>
      <w:lvlJc w:val="left"/>
      <w:pPr>
        <w:ind w:left="66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en-US" w:eastAsia="en-US" w:bidi="ar-SA"/>
      </w:rPr>
    </w:lvl>
    <w:lvl w:ilvl="1" w:tplc="F08E3984">
      <w:numFmt w:val="bullet"/>
      <w:lvlText w:val="•"/>
      <w:lvlJc w:val="left"/>
      <w:pPr>
        <w:ind w:left="1559" w:hanging="240"/>
      </w:pPr>
      <w:rPr>
        <w:rFonts w:hint="default"/>
        <w:lang w:val="en-US" w:eastAsia="en-US" w:bidi="ar-SA"/>
      </w:rPr>
    </w:lvl>
    <w:lvl w:ilvl="2" w:tplc="CB9A8B36">
      <w:numFmt w:val="bullet"/>
      <w:lvlText w:val="•"/>
      <w:lvlJc w:val="left"/>
      <w:pPr>
        <w:ind w:left="2458" w:hanging="240"/>
      </w:pPr>
      <w:rPr>
        <w:rFonts w:hint="default"/>
        <w:lang w:val="en-US" w:eastAsia="en-US" w:bidi="ar-SA"/>
      </w:rPr>
    </w:lvl>
    <w:lvl w:ilvl="3" w:tplc="FB50CC28">
      <w:numFmt w:val="bullet"/>
      <w:lvlText w:val="•"/>
      <w:lvlJc w:val="left"/>
      <w:pPr>
        <w:ind w:left="3357" w:hanging="240"/>
      </w:pPr>
      <w:rPr>
        <w:rFonts w:hint="default"/>
        <w:lang w:val="en-US" w:eastAsia="en-US" w:bidi="ar-SA"/>
      </w:rPr>
    </w:lvl>
    <w:lvl w:ilvl="4" w:tplc="A844DD1E">
      <w:numFmt w:val="bullet"/>
      <w:lvlText w:val="•"/>
      <w:lvlJc w:val="left"/>
      <w:pPr>
        <w:ind w:left="4256" w:hanging="240"/>
      </w:pPr>
      <w:rPr>
        <w:rFonts w:hint="default"/>
        <w:lang w:val="en-US" w:eastAsia="en-US" w:bidi="ar-SA"/>
      </w:rPr>
    </w:lvl>
    <w:lvl w:ilvl="5" w:tplc="5598150E">
      <w:numFmt w:val="bullet"/>
      <w:lvlText w:val="•"/>
      <w:lvlJc w:val="left"/>
      <w:pPr>
        <w:ind w:left="5156" w:hanging="240"/>
      </w:pPr>
      <w:rPr>
        <w:rFonts w:hint="default"/>
        <w:lang w:val="en-US" w:eastAsia="en-US" w:bidi="ar-SA"/>
      </w:rPr>
    </w:lvl>
    <w:lvl w:ilvl="6" w:tplc="2B70D400">
      <w:numFmt w:val="bullet"/>
      <w:lvlText w:val="•"/>
      <w:lvlJc w:val="left"/>
      <w:pPr>
        <w:ind w:left="6055" w:hanging="240"/>
      </w:pPr>
      <w:rPr>
        <w:rFonts w:hint="default"/>
        <w:lang w:val="en-US" w:eastAsia="en-US" w:bidi="ar-SA"/>
      </w:rPr>
    </w:lvl>
    <w:lvl w:ilvl="7" w:tplc="C5B42386">
      <w:numFmt w:val="bullet"/>
      <w:lvlText w:val="•"/>
      <w:lvlJc w:val="left"/>
      <w:pPr>
        <w:ind w:left="6954" w:hanging="240"/>
      </w:pPr>
      <w:rPr>
        <w:rFonts w:hint="default"/>
        <w:lang w:val="en-US" w:eastAsia="en-US" w:bidi="ar-SA"/>
      </w:rPr>
    </w:lvl>
    <w:lvl w:ilvl="8" w:tplc="377627FA">
      <w:numFmt w:val="bullet"/>
      <w:lvlText w:val="•"/>
      <w:lvlJc w:val="left"/>
      <w:pPr>
        <w:ind w:left="7853" w:hanging="240"/>
      </w:pPr>
      <w:rPr>
        <w:rFonts w:hint="default"/>
        <w:lang w:val="en-US" w:eastAsia="en-US" w:bidi="ar-SA"/>
      </w:rPr>
    </w:lvl>
  </w:abstractNum>
  <w:num w:numId="1" w16cid:durableId="9842574">
    <w:abstractNumId w:val="2"/>
  </w:num>
  <w:num w:numId="2" w16cid:durableId="618755545">
    <w:abstractNumId w:val="0"/>
  </w:num>
  <w:num w:numId="3" w16cid:durableId="36610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3F"/>
    <w:rsid w:val="000C4033"/>
    <w:rsid w:val="0011208C"/>
    <w:rsid w:val="0015113F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49ABE"/>
  <w15:chartTrackingRefBased/>
  <w15:docId w15:val="{144AAAA3-3807-46B7-BE3C-D38BB7F5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13F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1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1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1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1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1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1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1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1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1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1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1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1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511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1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1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13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5113F"/>
    <w:pPr>
      <w:ind w:left="6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5113F"/>
    <w:rPr>
      <w:rFonts w:ascii="Liberation Serif" w:eastAsia="Liberation Serif" w:hAnsi="Liberation Serif" w:cs="Liberation Serif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5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2026-05-22T10:15:00Z</dcterms:created>
  <dcterms:modified xsi:type="dcterms:W3CDTF">2026-05-22T10:15:00Z</dcterms:modified>
</cp:coreProperties>
</file>