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361E">
      <w:pPr>
        <w:spacing w:line="360" w:lineRule="auto"/>
        <w:rPr>
          <w:rFonts w:ascii="Times New Roman" w:hAnsi="Times New Roman" w:eastAsia="宋体" w:cstheme="minorBidi"/>
          <w:b/>
          <w:lang w:eastAsia="en-US"/>
        </w:rPr>
      </w:pPr>
      <w:r>
        <w:rPr>
          <w:rFonts w:hint="default" w:ascii="Times New Roman Bold" w:hAnsi="Times New Roman Bold" w:eastAsia="宋体" w:cs="Times New Roman Bold"/>
          <w:b/>
          <w:bCs w:val="0"/>
          <w:lang w:eastAsia="en-US"/>
        </w:rPr>
        <w:t>Multimedia Appendix 4</w:t>
      </w:r>
      <w:r>
        <w:rPr>
          <w:rFonts w:hint="default" w:ascii="Times New Roman Bold" w:hAnsi="Times New Roman Bold" w:eastAsia="宋体" w:cs="Times New Roman Bold"/>
          <w:b/>
          <w:bCs w:val="0"/>
          <w:lang w:val="en-US" w:eastAsia="en-US"/>
        </w:rPr>
        <w:t>.</w:t>
      </w:r>
      <w:r>
        <w:rPr>
          <w:rFonts w:hint="default" w:ascii="Times New Roman" w:hAnsi="Times New Roman" w:eastAsia="宋体" w:cstheme="minorBidi"/>
          <w:bCs/>
          <w:lang w:val="en-US" w:eastAsia="en-US"/>
        </w:rPr>
        <w:t xml:space="preserve"> </w:t>
      </w:r>
      <w:r>
        <w:rPr>
          <w:rFonts w:ascii="Times New Roman" w:hAnsi="Times New Roman" w:eastAsia="宋体" w:cstheme="minorBidi"/>
          <w:bCs/>
          <w:lang w:eastAsia="en-US"/>
        </w:rPr>
        <w:t>Percentage distribution of anesthesia education videos by source and content on different platforms.</w:t>
      </w:r>
    </w:p>
    <w:tbl>
      <w:tblPr>
        <w:tblStyle w:val="1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1781"/>
        <w:gridCol w:w="1800"/>
        <w:gridCol w:w="1809"/>
        <w:gridCol w:w="1877"/>
        <w:gridCol w:w="1860"/>
        <w:gridCol w:w="2217"/>
      </w:tblGrid>
      <w:tr w14:paraId="7514CECE">
        <w:trPr>
          <w:cantSplit/>
          <w:trHeight w:val="816" w:hRule="exact"/>
        </w:trPr>
        <w:tc>
          <w:tcPr>
            <w:tcW w:w="99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98A3E1F">
            <w:pPr>
              <w:widowControl/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Variable</w:t>
            </w:r>
          </w:p>
        </w:tc>
        <w:tc>
          <w:tcPr>
            <w:tcW w:w="62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7E1668">
            <w:pPr>
              <w:widowControl/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Bilibili (%)</w:t>
            </w:r>
          </w:p>
        </w:tc>
        <w:tc>
          <w:tcPr>
            <w:tcW w:w="63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2E8A3E">
            <w:pPr>
              <w:widowControl/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Douyin (%)</w:t>
            </w:r>
          </w:p>
        </w:tc>
        <w:tc>
          <w:tcPr>
            <w:tcW w:w="63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7A4D1C">
            <w:pPr>
              <w:widowControl/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TikTok (%)</w:t>
            </w:r>
          </w:p>
        </w:tc>
        <w:tc>
          <w:tcPr>
            <w:tcW w:w="66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ECE3D2">
            <w:pPr>
              <w:widowControl/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YouTube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val="en-US" w:eastAsia="en-US"/>
              </w:rPr>
              <w:t xml:space="preserve"> 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(%)</w:t>
            </w:r>
          </w:p>
        </w:tc>
        <w:tc>
          <w:tcPr>
            <w:tcW w:w="65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D95062">
            <w:pPr>
              <w:widowControl/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Kruskal-Wallis H test (df)</w:t>
            </w:r>
          </w:p>
        </w:tc>
        <w:tc>
          <w:tcPr>
            <w:tcW w:w="78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D7E595">
            <w:pPr>
              <w:widowControl/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Asymptotic significance</w:t>
            </w:r>
          </w:p>
        </w:tc>
      </w:tr>
      <w:tr w14:paraId="32A315C7">
        <w:trPr>
          <w:cantSplit/>
          <w:trHeight w:val="454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31A4A">
            <w:pPr>
              <w:widowControl/>
              <w:spacing w:after="200" w:line="360" w:lineRule="auto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Source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86C91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C04FB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0A608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82FF5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57E8E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EB0A7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</w:p>
        </w:tc>
      </w:tr>
      <w:tr w14:paraId="3B4F7C81">
        <w:trPr>
          <w:cantSplit/>
          <w:trHeight w:val="466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D4659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CMP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096C2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32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43C77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  <w:t>58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0463F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  <w:t>80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3AE62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  <w:t>52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D2B624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47.295 (3)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DBA61E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&lt;0.001</w:t>
            </w:r>
          </w:p>
        </w:tc>
      </w:tr>
      <w:tr w14:paraId="55A8380E">
        <w:trPr>
          <w:cantSplit/>
          <w:trHeight w:val="454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41465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OHI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F348B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F87C6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21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87127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99DD1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338634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15.078 (3)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C68E55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0.002</w:t>
            </w:r>
          </w:p>
        </w:tc>
      </w:tr>
      <w:tr w14:paraId="217283B8">
        <w:trPr>
          <w:cantSplit/>
          <w:trHeight w:val="454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EBCD0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SC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E5CDD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28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D7A4D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9CB17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11995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27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BAB5FF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18.796 (3)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91079E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&lt;0.001</w:t>
            </w:r>
          </w:p>
        </w:tc>
      </w:tr>
      <w:tr w14:paraId="7B6BBC3B">
        <w:trPr>
          <w:cantSplit/>
          <w:trHeight w:val="454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3AA82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PC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1175E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A3855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FDDC9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C37BE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000B3F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3.916 (3)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55CE1E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0.271</w:t>
            </w:r>
          </w:p>
        </w:tc>
      </w:tr>
      <w:tr w14:paraId="6664E132">
        <w:trPr>
          <w:cantSplit/>
          <w:trHeight w:val="454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41987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  <w:t>O</w:t>
            </w:r>
            <w:r>
              <w:rPr>
                <w:rFonts w:hint="default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/>
              </w:rPr>
              <w:t>t</w:t>
            </w: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  <w:t>hers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40491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27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0152E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94BC5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C9809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E4D551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51.324 (3)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139F44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&lt;0.001</w:t>
            </w:r>
          </w:p>
        </w:tc>
      </w:tr>
      <w:tr w14:paraId="036E2A15">
        <w:trPr>
          <w:cantSplit/>
          <w:trHeight w:val="454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79BAE">
            <w:pPr>
              <w:widowControl/>
              <w:spacing w:after="200" w:line="360" w:lineRule="auto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pacing w:val="0"/>
                <w:w w:val="100"/>
                <w:lang w:eastAsia="en-US"/>
              </w:rPr>
              <w:t>Content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19E13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65351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CC3E0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ECEE1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65410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5F680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</w:p>
        </w:tc>
      </w:tr>
      <w:tr w14:paraId="7BDBFC05">
        <w:trPr>
          <w:cantSplit/>
          <w:trHeight w:val="354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06DF9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The Anesthesia Profession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7B06B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7ACE0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22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FC31A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C78FD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13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C9C4D8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10.837 (3)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E41EEB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0.013</w:t>
            </w:r>
          </w:p>
        </w:tc>
      </w:tr>
      <w:tr w14:paraId="69888E18">
        <w:trPr>
          <w:cantSplit/>
          <w:trHeight w:val="677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1B3BF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Safety, Risks &amp; Myth Busting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96E05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E822B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15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488FB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7EB75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7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68D77E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4.471 (3)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F12517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0.215</w:t>
            </w:r>
          </w:p>
        </w:tc>
      </w:tr>
      <w:tr w14:paraId="4A4FABC2">
        <w:trPr>
          <w:cantSplit/>
          <w:trHeight w:val="702" w:hRule="exact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F4861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Perioperative Process &amp; Patient Experience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873DA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13809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14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F54F8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BB049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4F96C1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10.654 (3)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754773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0.014</w:t>
            </w:r>
          </w:p>
        </w:tc>
      </w:tr>
      <w:tr w14:paraId="4979A474">
        <w:trPr>
          <w:cantSplit/>
          <w:trHeight w:val="628" w:hRule="exact"/>
        </w:trPr>
        <w:tc>
          <w:tcPr>
            <w:tcW w:w="99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2E7EBBA">
            <w:pPr>
              <w:widowControl/>
              <w:spacing w:after="200" w:line="360" w:lineRule="auto"/>
              <w:ind w:firstLine="220" w:firstLineChars="100"/>
              <w:jc w:val="left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Basics &amp; Principles of Anesthesia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64B2093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  <w:t>51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2D97B9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  <w:t>49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225266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  <w:t>76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2BFE3C1">
            <w:pPr>
              <w:widowControl/>
              <w:spacing w:after="200" w:line="360" w:lineRule="auto"/>
              <w:jc w:val="center"/>
              <w:rPr>
                <w:rFonts w:ascii="Times New Roman" w:hAnsi="Times New Roman" w:eastAsia="宋体" w:cstheme="minorBidi"/>
                <w:b w:val="0"/>
                <w:color w:val="000000"/>
                <w:spacing w:val="0"/>
                <w:w w:val="100"/>
                <w:lang w:eastAsia="en-US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  <w:t>75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59EF1878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27.856 (3)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12B0BB22">
            <w:pPr>
              <w:widowControl/>
              <w:spacing w:after="200" w:line="360" w:lineRule="auto"/>
              <w:jc w:val="center"/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color w:val="000000"/>
                <w:spacing w:val="0"/>
                <w:w w:val="100"/>
                <w:lang w:val="en-US" w:eastAsia="zh-CN"/>
              </w:rPr>
              <w:t>&lt;0.001</w:t>
            </w:r>
          </w:p>
        </w:tc>
      </w:tr>
    </w:tbl>
    <w:p w14:paraId="7AB72703">
      <w:pPr>
        <w:widowControl/>
        <w:spacing w:after="200" w:line="360" w:lineRule="auto"/>
        <w:jc w:val="left"/>
        <w:rPr>
          <w:rFonts w:ascii="Times New Roman" w:hAnsi="Times New Roman" w:eastAsia="宋体" w:cstheme="minorBidi"/>
        </w:rPr>
      </w:pPr>
      <w:r>
        <w:rPr>
          <w:rFonts w:hint="eastAsia" w:ascii="Times New Roman" w:hAnsi="Times New Roman" w:eastAsia="宋体" w:cstheme="minorBidi"/>
          <w:lang w:val="en-US" w:eastAsia="zh-CN"/>
        </w:rPr>
        <w:t>Abbreviation</w:t>
      </w:r>
      <w:r>
        <w:rPr>
          <w:rFonts w:hint="default" w:ascii="Times New Roman" w:hAnsi="Times New Roman" w:eastAsia="宋体" w:cstheme="minorBidi"/>
          <w:lang w:val="en-US" w:eastAsia="zh-CN"/>
        </w:rPr>
        <w:t>s</w:t>
      </w:r>
      <w:r>
        <w:rPr>
          <w:rFonts w:ascii="Times New Roman" w:hAnsi="Times New Roman" w:eastAsia="宋体" w:cstheme="minorBidi"/>
          <w:lang w:eastAsia="en-US"/>
        </w:rPr>
        <w:t xml:space="preserve">: </w:t>
      </w:r>
      <w:r>
        <w:rPr>
          <w:rFonts w:hint="default" w:ascii="Times New Roman" w:hAnsi="Times New Roman" w:eastAsia="宋体" w:cstheme="minorBidi"/>
          <w:lang w:val="en-US" w:eastAsia="en-US"/>
        </w:rPr>
        <w:t xml:space="preserve">CMP, </w:t>
      </w:r>
      <w:r>
        <w:rPr>
          <w:rFonts w:hint="eastAsia" w:ascii="Times New Roman" w:hAnsi="Times New Roman" w:eastAsia="宋体" w:cstheme="minorBidi"/>
          <w:lang w:eastAsia="en-US"/>
        </w:rPr>
        <w:t xml:space="preserve">Certified Medical Professionals; </w:t>
      </w:r>
      <w:r>
        <w:rPr>
          <w:rFonts w:hint="default" w:ascii="Times New Roman" w:hAnsi="Times New Roman" w:eastAsia="宋体" w:cstheme="minorBidi"/>
          <w:lang w:val="en-US" w:eastAsia="en-US"/>
        </w:rPr>
        <w:t>OHI,</w:t>
      </w:r>
      <w:r>
        <w:rPr>
          <w:rFonts w:hint="eastAsia" w:ascii="Times New Roman" w:hAnsi="Times New Roman" w:eastAsia="宋体" w:cstheme="minorBidi"/>
          <w:lang w:eastAsia="en-US"/>
        </w:rPr>
        <w:t xml:space="preserve"> Official Health Institutions; </w:t>
      </w:r>
      <w:r>
        <w:rPr>
          <w:rFonts w:hint="default" w:ascii="Times New Roman" w:hAnsi="Times New Roman" w:eastAsia="宋体" w:cstheme="minorBidi"/>
          <w:lang w:val="en-US" w:eastAsia="en-US"/>
        </w:rPr>
        <w:t>SC,</w:t>
      </w:r>
      <w:r>
        <w:rPr>
          <w:rFonts w:hint="eastAsia" w:ascii="Times New Roman" w:hAnsi="Times New Roman" w:eastAsia="宋体" w:cstheme="minorBidi"/>
          <w:lang w:eastAsia="en-US"/>
        </w:rPr>
        <w:t xml:space="preserve"> Science Communicators; </w:t>
      </w:r>
      <w:r>
        <w:rPr>
          <w:rFonts w:hint="default" w:ascii="Times New Roman" w:hAnsi="Times New Roman" w:eastAsia="宋体" w:cstheme="minorBidi"/>
          <w:lang w:val="en-US" w:eastAsia="en-US"/>
        </w:rPr>
        <w:t>PC,</w:t>
      </w:r>
      <w:r>
        <w:rPr>
          <w:rFonts w:hint="eastAsia" w:ascii="Times New Roman" w:hAnsi="Times New Roman" w:eastAsia="宋体" w:cstheme="minorBidi"/>
          <w:lang w:eastAsia="en-US"/>
        </w:rPr>
        <w:t xml:space="preserve"> Patients &amp; Caregivers</w:t>
      </w:r>
      <w:r>
        <w:rPr>
          <w:rFonts w:hint="eastAsia" w:ascii="Times New Roman" w:hAnsi="Times New Roman" w:eastAsia="宋体" w:cstheme="minorBidi"/>
        </w:rPr>
        <w:t>.</w:t>
      </w:r>
    </w:p>
    <w:p w14:paraId="1067F4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4E"/>
    <w:rsid w:val="001B0AEB"/>
    <w:rsid w:val="002242AD"/>
    <w:rsid w:val="002B5D4E"/>
    <w:rsid w:val="005A1938"/>
    <w:rsid w:val="005C5180"/>
    <w:rsid w:val="00A83725"/>
    <w:rsid w:val="00B73AFD"/>
    <w:rsid w:val="00C72878"/>
    <w:rsid w:val="00F50FC7"/>
    <w:rsid w:val="25FEA917"/>
    <w:rsid w:val="79FFE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kern w:val="0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522</Characters>
  <Lines>104</Lines>
  <Paragraphs>63</Paragraphs>
  <TotalTime>1</TotalTime>
  <ScaleCrop>false</ScaleCrop>
  <LinksUpToDate>false</LinksUpToDate>
  <CharactersWithSpaces>572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2026-02-08T20:31:00Z</dcterms:created>
  <dc:creator>Wang Gang</dc:creator>
  <cp:lastModifiedBy>作者</cp:lastModifiedBy>
  <dcterms:modified xsi:type="dcterms:W3CDTF">2026-02-24T23:06:36Z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DA4A8D84EC0C83AF7F869E6983E9C713_42</vt:lpwstr>
  </property>
</Properties>
</file>