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1523">
      <w:pPr>
        <w:spacing w:line="360" w:lineRule="auto"/>
        <w:rPr>
          <w:rFonts w:ascii="Times New Roman" w:hAnsi="Times New Roman" w:eastAsia="宋体" w:cstheme="minorBidi"/>
          <w:bCs/>
          <w:lang w:eastAsia="en-US"/>
        </w:rPr>
      </w:pPr>
      <w:r>
        <w:rPr>
          <w:rFonts w:hint="default" w:ascii="Times New Roman Bold" w:hAnsi="Times New Roman Bold" w:eastAsia="宋体" w:cs="Times New Roman Bold"/>
          <w:b/>
          <w:bCs w:val="0"/>
          <w:lang w:eastAsia="en-US"/>
        </w:rPr>
        <w:t>Multimedia Appendix 3</w:t>
      </w:r>
      <w:r>
        <w:rPr>
          <w:rFonts w:hint="default" w:ascii="Times New Roman Bold" w:hAnsi="Times New Roman Bold" w:eastAsia="宋体" w:cs="Times New Roman Bold"/>
          <w:b/>
          <w:bCs w:val="0"/>
          <w:lang w:val="en-US" w:eastAsia="en-US"/>
        </w:rPr>
        <w:t>.</w:t>
      </w:r>
      <w:r>
        <w:rPr>
          <w:rFonts w:hint="default" w:ascii="Times New Roman" w:hAnsi="Times New Roman" w:eastAsia="宋体" w:cstheme="minorBidi"/>
          <w:bCs/>
          <w:lang w:val="en-US" w:eastAsia="en-US"/>
        </w:rPr>
        <w:t xml:space="preserve"> </w:t>
      </w:r>
      <w:r>
        <w:rPr>
          <w:rFonts w:ascii="Times New Roman" w:hAnsi="Times New Roman" w:eastAsia="宋体" w:cstheme="minorBidi"/>
          <w:bCs/>
          <w:lang w:eastAsia="en-US"/>
        </w:rPr>
        <w:t>Characteristics of the videos across sources.</w:t>
      </w:r>
    </w:p>
    <w:tbl>
      <w:tblPr>
        <w:tblStyle w:val="1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74"/>
        <w:gridCol w:w="1672"/>
        <w:gridCol w:w="1573"/>
        <w:gridCol w:w="1684"/>
        <w:gridCol w:w="1910"/>
        <w:gridCol w:w="1732"/>
        <w:gridCol w:w="2089"/>
      </w:tblGrid>
      <w:tr w14:paraId="7E17F4EB">
        <w:tc>
          <w:tcPr>
            <w:tcW w:w="57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53F2D26E">
            <w:pPr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  <w:t>Variable</w:t>
            </w:r>
          </w:p>
        </w:tc>
        <w:tc>
          <w:tcPr>
            <w:tcW w:w="66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57FA353">
            <w:pPr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  <w:t>CMP (n = 222)</w:t>
            </w:r>
          </w:p>
        </w:tc>
        <w:tc>
          <w:tcPr>
            <w:tcW w:w="5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CA96711">
            <w:pPr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  <w:t>OHI (n = 56)</w:t>
            </w:r>
          </w:p>
        </w:tc>
        <w:tc>
          <w:tcPr>
            <w:tcW w:w="55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9E3CEB0">
            <w:pPr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  <w:t>SC (n = 76)</w:t>
            </w:r>
          </w:p>
        </w:tc>
        <w:tc>
          <w:tcPr>
            <w:tcW w:w="59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37D3C23">
            <w:pPr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  <w:t>PC (n = 7)</w:t>
            </w:r>
          </w:p>
        </w:tc>
        <w:tc>
          <w:tcPr>
            <w:tcW w:w="67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6678CA7A">
            <w:pPr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Cs w:val="20"/>
              </w:rPr>
              <w:t>Others</w:t>
            </w:r>
            <w:r>
              <w:rPr>
                <w:rFonts w:hint="default" w:ascii="Times New Roman Bold" w:hAnsi="Times New Roman Bold" w:eastAsia="宋体" w:cs="Times New Roman Bold"/>
                <w:b/>
                <w:bCs/>
                <w:szCs w:val="20"/>
                <w:lang w:eastAsia="en-US"/>
              </w:rPr>
              <w:t xml:space="preserve"> (n = 39)</w:t>
            </w:r>
          </w:p>
        </w:tc>
        <w:tc>
          <w:tcPr>
            <w:tcW w:w="611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5EAC22F2">
            <w:pPr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Cs w:val="20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Cs w:val="20"/>
              </w:rPr>
              <w:t>Kruskal-Wallis H test</w:t>
            </w:r>
            <w:bookmarkStart w:id="0" w:name="_GoBack"/>
            <w:r>
              <w:rPr>
                <w:rFonts w:hint="default" w:ascii="Times New Roman Bold" w:hAnsi="Times New Roman Bold" w:eastAsia="宋体" w:cs="Times New Roman Bold"/>
                <w:b/>
                <w:bCs/>
                <w:szCs w:val="20"/>
              </w:rPr>
              <w:t xml:space="preserve"> (df)</w:t>
            </w:r>
            <w:bookmarkEnd w:id="0"/>
          </w:p>
        </w:tc>
        <w:tc>
          <w:tcPr>
            <w:tcW w:w="737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07B9D782">
            <w:pPr>
              <w:spacing w:after="200"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Cs w:val="20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Cs w:val="20"/>
              </w:rPr>
              <w:t>Asymptotic significance</w:t>
            </w:r>
          </w:p>
        </w:tc>
      </w:tr>
      <w:tr w14:paraId="1223279F">
        <w:tc>
          <w:tcPr>
            <w:tcW w:w="57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FB6E46A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  <w:t>Duration (s)</w:t>
            </w:r>
          </w:p>
        </w:tc>
        <w:tc>
          <w:tcPr>
            <w:tcW w:w="66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6659BCF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71 (45–155)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3174438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79 (49–156)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EA0E105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110 (59–290)</w:t>
            </w:r>
          </w:p>
        </w:tc>
        <w:tc>
          <w:tcPr>
            <w:tcW w:w="59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CE5845C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233 (85–258)</w:t>
            </w:r>
          </w:p>
        </w:tc>
        <w:tc>
          <w:tcPr>
            <w:tcW w:w="674" w:type="pct"/>
            <w:tcBorders>
              <w:left w:val="nil"/>
              <w:bottom w:val="nil"/>
              <w:right w:val="nil"/>
            </w:tcBorders>
          </w:tcPr>
          <w:p w14:paraId="0C13ADE5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107 (80–190)</w:t>
            </w:r>
          </w:p>
        </w:tc>
        <w:tc>
          <w:tcPr>
            <w:tcW w:w="1732" w:type="dxa"/>
            <w:tcBorders>
              <w:left w:val="nil"/>
              <w:bottom w:val="nil"/>
              <w:right w:val="nil"/>
            </w:tcBorders>
            <w:vAlign w:val="bottom"/>
          </w:tcPr>
          <w:p w14:paraId="0AFDCC24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szCs w:val="20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14.351 (4)</w:t>
            </w:r>
          </w:p>
        </w:tc>
        <w:tc>
          <w:tcPr>
            <w:tcW w:w="737" w:type="pct"/>
            <w:tcBorders>
              <w:left w:val="nil"/>
              <w:bottom w:val="nil"/>
              <w:right w:val="nil"/>
            </w:tcBorders>
            <w:shd w:val="clear"/>
            <w:vAlign w:val="bottom"/>
          </w:tcPr>
          <w:p w14:paraId="262284DF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kern w:val="0"/>
                <w:sz w:val="22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0.006</w:t>
            </w:r>
          </w:p>
        </w:tc>
      </w:tr>
      <w:tr w14:paraId="19AB3943"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F39255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  <w:t>Likes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18F0A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2616 (231–15000)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19230A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412 (54–2574)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1F726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896 (121–9127)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34656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1634 (152–48514)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4ABE1E28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38 (16–1068)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3CFD4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szCs w:val="20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36.179 (4)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A17AB6F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kern w:val="0"/>
                <w:sz w:val="22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&lt;0.001</w:t>
            </w:r>
          </w:p>
        </w:tc>
      </w:tr>
      <w:tr w14:paraId="0A0CD61D"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CF729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  <w:t>Comments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2A50E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141 (20–740)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2D6A9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21 (2–162)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203A8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58 (3–302)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53444F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480 (158–1445)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2706358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7 (1–43)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76C78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szCs w:val="20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38.252 (4)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146596C6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kern w:val="0"/>
                <w:sz w:val="22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&lt;0.001</w:t>
            </w:r>
          </w:p>
        </w:tc>
      </w:tr>
      <w:tr w14:paraId="38505307"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CC0FB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  <w:t>Followers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4160E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127000 (9328–523025)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EEBC1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10900 (2220–87750)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72EB1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79400 (2048–828500)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72580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323000 (73870–891000)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D167A3D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1359 (93–7294)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C58DB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szCs w:val="20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50.303 (4)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8221FED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kern w:val="0"/>
                <w:sz w:val="22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&lt;0.001</w:t>
            </w:r>
          </w:p>
        </w:tc>
      </w:tr>
      <w:tr w14:paraId="79452B67"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503DE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  <w:t xml:space="preserve">GQS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B254BB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3 (3–4)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97826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3 (3–4)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335181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3 (3–4)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CA738B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2 (2–2)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79BF5F61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3 (2–3)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4212F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szCs w:val="20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28.056 (4)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4B7C494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kern w:val="0"/>
                <w:sz w:val="22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&lt;0.001</w:t>
            </w:r>
          </w:p>
        </w:tc>
      </w:tr>
      <w:tr w14:paraId="75D8ED02"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1435B2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  <w:t xml:space="preserve">mDISCERN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CB8E4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3 (2–3)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2DEAC1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3 (2–3)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3C57B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3 (3–4)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0BD195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3 (1–4)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2D740910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3 (2–3)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477B7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szCs w:val="20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10.667 (4)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5DDC48A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kern w:val="0"/>
                <w:sz w:val="22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0.031</w:t>
            </w:r>
          </w:p>
        </w:tc>
      </w:tr>
      <w:tr w14:paraId="0A6C132A"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1F5B9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  <w:t xml:space="preserve">PEMAT-U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CA1FC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72.1 (62.5–77.8)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F09FA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75.0 (61.5–83.3)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E95F5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69.2 (55.6–76.9)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8BC58D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69.2 (45.8–72.7)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9267B22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58.3 (50.0–66.7)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909C6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szCs w:val="20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27.978 (4)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64826A5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kern w:val="0"/>
                <w:sz w:val="22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&lt;0.001</w:t>
            </w:r>
          </w:p>
        </w:tc>
      </w:tr>
      <w:tr w14:paraId="59CD8427">
        <w:tc>
          <w:tcPr>
            <w:tcW w:w="57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7046DA25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  <w:t xml:space="preserve">PEMAT-A 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692BAA16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75.0 (33.3–100.0)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4B28F684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58.3 (0.0–100.0)</w:t>
            </w:r>
          </w:p>
        </w:tc>
        <w:tc>
          <w:tcPr>
            <w:tcW w:w="55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7D860EB3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50.0 (0.0–100.0)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1AEEE6AF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66.7 (12.5–100.0)</w:t>
            </w:r>
          </w:p>
        </w:tc>
        <w:tc>
          <w:tcPr>
            <w:tcW w:w="674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A149294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color w:val="000000"/>
                <w:szCs w:val="20"/>
                <w:lang w:eastAsia="en-US"/>
              </w:rPr>
            </w:pPr>
            <w:r>
              <w:rPr>
                <w:rFonts w:hint="default" w:ascii="Times New Roman Regular" w:hAnsi="Times New Roman Regular" w:eastAsia="宋体" w:cs="Times New Roman Regular"/>
                <w:szCs w:val="20"/>
              </w:rPr>
              <w:t>25.0 (0.0–50.0)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5709291A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szCs w:val="20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40.568 (4)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 w14:paraId="7E9DF33D">
            <w:pPr>
              <w:spacing w:after="200" w:line="360" w:lineRule="auto"/>
              <w:rPr>
                <w:rFonts w:hint="default" w:ascii="Times New Roman Regular" w:hAnsi="Times New Roman Regular" w:eastAsia="宋体" w:cs="Times New Roman Regular"/>
                <w:kern w:val="0"/>
                <w:sz w:val="22"/>
                <w:szCs w:val="2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0"/>
                <w:lang w:val="en-US" w:eastAsia="zh-CN"/>
              </w:rPr>
              <w:t>&lt;0.001</w:t>
            </w:r>
          </w:p>
        </w:tc>
      </w:tr>
    </w:tbl>
    <w:p w14:paraId="2ADED492">
      <w:pPr>
        <w:spacing w:line="240" w:lineRule="auto"/>
        <w:jc w:val="both"/>
        <w:rPr>
          <w:rFonts w:hint="default" w:ascii="Times New Roman Regular" w:hAnsi="Times New Roman Regular" w:eastAsia="宋体" w:cs="Times New Roman Regular"/>
          <w:color w:val="000000"/>
          <w:kern w:val="2"/>
          <w:sz w:val="21"/>
          <w:szCs w:val="24"/>
        </w:rPr>
      </w:pPr>
      <w:r>
        <w:rPr>
          <w:rFonts w:hint="default" w:ascii="Times New Roman Regular" w:hAnsi="Times New Roman Regular" w:eastAsia="宋体" w:cs="Times New Roman Regular"/>
          <w:color w:val="000000"/>
          <w:kern w:val="2"/>
          <w:sz w:val="21"/>
          <w:szCs w:val="24"/>
        </w:rPr>
        <w:t>Note: Values are presented as median (IQR) unless otherwise indicated.</w:t>
      </w:r>
    </w:p>
    <w:p w14:paraId="023F8942">
      <w:pPr>
        <w:spacing w:line="240" w:lineRule="auto"/>
        <w:jc w:val="both"/>
      </w:pPr>
      <w:r>
        <w:rPr>
          <w:rFonts w:hint="default" w:ascii="Times New Roman Regular" w:hAnsi="Times New Roman Regular" w:eastAsia="宋体" w:cs="Times New Roman Regular"/>
          <w:color w:val="000000"/>
          <w:kern w:val="2"/>
          <w:sz w:val="21"/>
          <w:szCs w:val="24"/>
        </w:rPr>
        <w:t>Abbreviations: GQS, Global Quality Score; mDISCERN, modified DISCERN; PEMAT-U, Patient Education Materials Assessment Tool–Understandability; PEMAT-A, Patient Education Materials Assessment Tool–Actionability; IQR, Interquartile Range.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D8"/>
    <w:rsid w:val="002242AD"/>
    <w:rsid w:val="004E5AE5"/>
    <w:rsid w:val="005C5180"/>
    <w:rsid w:val="007E021B"/>
    <w:rsid w:val="008030D8"/>
    <w:rsid w:val="009A0E9B"/>
    <w:rsid w:val="009C69F9"/>
    <w:rsid w:val="00B73AFD"/>
    <w:rsid w:val="00C72878"/>
    <w:rsid w:val="3FBB306C"/>
    <w:rsid w:val="4EDB84B0"/>
    <w:rsid w:val="AB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cs="Arial" w:eastAsiaTheme="minorEastAsia"/>
      <w:kern w:val="0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598</Characters>
  <Lines>85</Lines>
  <Paragraphs>62</Paragraphs>
  <TotalTime>0</TotalTime>
  <ScaleCrop>false</ScaleCrop>
  <LinksUpToDate>false</LinksUpToDate>
  <CharactersWithSpaces>687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2026-02-08T12:29:00Z</dcterms:created>
  <dc:creator>Wang Gang</dc:creator>
  <cp:lastModifiedBy>作者</cp:lastModifiedBy>
  <dcterms:modified xsi:type="dcterms:W3CDTF">2026-02-24T22:56:06Z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CC29D022826B763ECB809E69CAFB3AC3_42</vt:lpwstr>
  </property>
</Properties>
</file>