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left"/>
      </w:pPr>
      <w:r>
        <w:rPr>
          <w:rFonts w:ascii="Times New Roman" w:cs="Times New Roman" w:eastAsia="Times New Roman" w:hAnsi="Times New Roman"/>
          <w:b/>
          <w:bCs/>
          <w:i w:val="false"/>
          <w:iCs w:val="false"/>
          <w:sz w:val="24"/>
          <w:szCs w:val="24"/>
        </w:rPr>
        <w:t xml:space="preserve">Additional File 1</w:t>
      </w:r>
    </w:p>
    <w:p>
      <w:pPr>
        <w:spacing w:after="80" w:line="276"/>
        <w:jc w:val="left"/>
      </w:pPr>
      <w:r>
        <w:rPr>
          <w:rFonts w:ascii="Times New Roman" w:cs="Times New Roman" w:eastAsia="Times New Roman" w:hAnsi="Times New Roman"/>
          <w:b w:val="false"/>
          <w:bCs w:val="false"/>
          <w:i w:val="false"/>
          <w:iCs w:val="false"/>
          <w:sz w:val="20"/>
          <w:szCs w:val="20"/>
        </w:rPr>
        <w:t xml:space="preserve"/>
      </w:r>
    </w:p>
    <w:p>
      <w:pPr>
        <w:spacing w:after="80" w:line="276"/>
        <w:jc w:val="left"/>
      </w:pPr>
      <w:r>
        <w:rPr>
          <w:rFonts w:ascii="Times New Roman" w:cs="Times New Roman" w:eastAsia="Times New Roman" w:hAnsi="Times New Roman"/>
          <w:b/>
          <w:bCs/>
          <w:i w:val="false"/>
          <w:iCs w:val="false"/>
          <w:sz w:val="22"/>
          <w:szCs w:val="22"/>
        </w:rPr>
        <w:t xml:space="preserve">STROBE Statement — Checklist of items that should be included in reports of cohort studies</w:t>
      </w:r>
    </w:p>
    <w:p>
      <w:pPr>
        <w:spacing w:after="80" w:line="276"/>
        <w:jc w:val="left"/>
      </w:pPr>
      <w:r>
        <w:rPr>
          <w:rFonts w:ascii="Times New Roman" w:cs="Times New Roman" w:eastAsia="Times New Roman" w:hAnsi="Times New Roman"/>
          <w:b w:val="false"/>
          <w:bCs w:val="false"/>
          <w:i w:val="false"/>
          <w:iCs w:val="false"/>
          <w:sz w:val="20"/>
          <w:szCs w:val="20"/>
        </w:rPr>
        <w:t xml:space="preserve"/>
      </w:r>
    </w:p>
    <w:p>
      <w:pPr>
        <w:spacing w:after="80" w:line="276"/>
        <w:jc w:val="left"/>
      </w:pPr>
      <w:r>
        <w:rPr>
          <w:rFonts w:ascii="Times New Roman" w:cs="Times New Roman" w:eastAsia="Times New Roman" w:hAnsi="Times New Roman"/>
          <w:b w:val="false"/>
          <w:bCs w:val="false"/>
          <w:i/>
          <w:iCs/>
          <w:sz w:val="22"/>
          <w:szCs w:val="22"/>
        </w:rPr>
        <w:t xml:space="preserve">Manuscript: </w:t>
      </w:r>
      <w:r>
        <w:rPr>
          <w:rFonts w:ascii="Times New Roman" w:cs="Times New Roman" w:eastAsia="Times New Roman" w:hAnsi="Times New Roman"/>
          <w:b w:val="false"/>
          <w:bCs w:val="false"/>
          <w:i w:val="false"/>
          <w:iCs w:val="false"/>
          <w:sz w:val="22"/>
          <w:szCs w:val="22"/>
        </w:rPr>
        <w:t xml:space="preserve">Early haemodynamic risk stratification in critically ill patients: comparative performance of four shock indices for 7- and 28-day mortality</w:t>
      </w:r>
    </w:p>
    <w:p>
      <w:pPr>
        <w:spacing w:after="80" w:line="276"/>
        <w:jc w:val="left"/>
      </w:pPr>
      <w:r>
        <w:rPr>
          <w:rFonts w:ascii="Times New Roman" w:cs="Times New Roman" w:eastAsia="Times New Roman" w:hAnsi="Times New Roman"/>
          <w:b w:val="false"/>
          <w:bCs w:val="false"/>
          <w:i w:val="false"/>
          <w:iCs w:val="false"/>
          <w:sz w:val="20"/>
          <w:szCs w:val="2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700"/>
        <w:gridCol w:w="1700"/>
        <w:gridCol w:w="3400"/>
        <w:gridCol w:w="3200"/>
      </w:tblGrid>
      <w:tr>
        <w:trPr>
          <w:tblHeader/>
        </w:trPr>
        <w:tc>
          <w:tcPr>
            <w:tcW w:type="dxa" w:w="700"/>
            <w:tcBorders>
              <w:top w:val="single" w:color="000000" w:sz="4"/>
              <w:left w:val="single" w:color="000000" w:sz="4"/>
              <w:bottom w:val="single" w:color="000000" w:sz="4"/>
              <w:right w:val="single" w:color="000000" w:sz="4"/>
            </w:tcBorders>
            <w:shd w:fill="E0E0E0" w:val="clear"/>
            <w:tcMar>
              <w:top w:type="dxa" w:w="80"/>
              <w:left w:type="dxa" w:w="100"/>
              <w:bottom w:type="dxa" w:w="80"/>
              <w:right w:type="dxa" w:w="100"/>
            </w:tcMar>
          </w:tcPr>
          <w:p>
            <w:pPr>
              <w:spacing w:after="40" w:line="240"/>
            </w:pPr>
            <w:r>
              <w:rPr>
                <w:rFonts w:ascii="Times New Roman" w:cs="Times New Roman" w:eastAsia="Times New Roman" w:hAnsi="Times New Roman"/>
                <w:b/>
                <w:bCs/>
                <w:i w:val="false"/>
                <w:iCs w:val="false"/>
                <w:sz w:val="20"/>
                <w:szCs w:val="20"/>
              </w:rPr>
              <w:t xml:space="preserve">Item No</w:t>
            </w:r>
          </w:p>
        </w:tc>
        <w:tc>
          <w:tcPr>
            <w:tcW w:type="dxa" w:w="1700"/>
            <w:tcBorders>
              <w:top w:val="single" w:color="000000" w:sz="4"/>
              <w:left w:val="single" w:color="000000" w:sz="4"/>
              <w:bottom w:val="single" w:color="000000" w:sz="4"/>
              <w:right w:val="single" w:color="000000" w:sz="4"/>
            </w:tcBorders>
            <w:shd w:fill="E0E0E0" w:val="clear"/>
            <w:tcMar>
              <w:top w:type="dxa" w:w="80"/>
              <w:left w:type="dxa" w:w="100"/>
              <w:bottom w:type="dxa" w:w="80"/>
              <w:right w:type="dxa" w:w="100"/>
            </w:tcMar>
          </w:tcPr>
          <w:p>
            <w:pPr>
              <w:spacing w:after="40" w:line="240"/>
            </w:pPr>
            <w:r>
              <w:rPr>
                <w:rFonts w:ascii="Times New Roman" w:cs="Times New Roman" w:eastAsia="Times New Roman" w:hAnsi="Times New Roman"/>
                <w:b/>
                <w:bCs/>
                <w:i w:val="false"/>
                <w:iCs w:val="false"/>
                <w:sz w:val="20"/>
                <w:szCs w:val="20"/>
              </w:rPr>
              <w:t xml:space="preserve">Topic</w:t>
            </w:r>
          </w:p>
        </w:tc>
        <w:tc>
          <w:tcPr>
            <w:tcW w:type="dxa" w:w="3400"/>
            <w:tcBorders>
              <w:top w:val="single" w:color="000000" w:sz="4"/>
              <w:left w:val="single" w:color="000000" w:sz="4"/>
              <w:bottom w:val="single" w:color="000000" w:sz="4"/>
              <w:right w:val="single" w:color="000000" w:sz="4"/>
            </w:tcBorders>
            <w:shd w:fill="E0E0E0" w:val="clear"/>
            <w:tcMar>
              <w:top w:type="dxa" w:w="80"/>
              <w:left w:type="dxa" w:w="100"/>
              <w:bottom w:type="dxa" w:w="80"/>
              <w:right w:type="dxa" w:w="100"/>
            </w:tcMar>
          </w:tcPr>
          <w:p>
            <w:pPr>
              <w:spacing w:after="40" w:line="240"/>
            </w:pPr>
            <w:r>
              <w:rPr>
                <w:rFonts w:ascii="Times New Roman" w:cs="Times New Roman" w:eastAsia="Times New Roman" w:hAnsi="Times New Roman"/>
                <w:b/>
                <w:bCs/>
                <w:i w:val="false"/>
                <w:iCs w:val="false"/>
                <w:sz w:val="20"/>
                <w:szCs w:val="20"/>
              </w:rPr>
              <w:t xml:space="preserve">Recommendation</w:t>
            </w:r>
          </w:p>
        </w:tc>
        <w:tc>
          <w:tcPr>
            <w:tcW w:type="dxa" w:w="3200"/>
            <w:tcBorders>
              <w:top w:val="single" w:color="000000" w:sz="4"/>
              <w:left w:val="single" w:color="000000" w:sz="4"/>
              <w:bottom w:val="single" w:color="000000" w:sz="4"/>
              <w:right w:val="single" w:color="000000" w:sz="4"/>
            </w:tcBorders>
            <w:shd w:fill="E0E0E0" w:val="clear"/>
            <w:tcMar>
              <w:top w:type="dxa" w:w="80"/>
              <w:left w:type="dxa" w:w="100"/>
              <w:bottom w:type="dxa" w:w="80"/>
              <w:right w:type="dxa" w:w="100"/>
            </w:tcMar>
          </w:tcPr>
          <w:p>
            <w:pPr>
              <w:spacing w:after="40" w:line="240"/>
            </w:pPr>
            <w:r>
              <w:rPr>
                <w:rFonts w:ascii="Times New Roman" w:cs="Times New Roman" w:eastAsia="Times New Roman" w:hAnsi="Times New Roman"/>
                <w:b/>
                <w:bCs/>
                <w:i w:val="false"/>
                <w:iCs w:val="false"/>
                <w:sz w:val="20"/>
                <w:szCs w:val="20"/>
              </w:rPr>
              <w:t xml:space="preserve">Reported on (section/page)</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Title and abstract</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(a) Indicate the study's design with a commonly used term in the title or the abstract; (b) Provide in the abstract an informative and balanced summary of what was done and what was found</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Title (page 1; 'a retrospective cohort study' indicates design); Abstract structured as Background / Methods / Results / Conclusions with balanced presentation of all four shock indices and both endpoints</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2</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Background / rationale</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Explain the scientific background and rationale for the investigation being reported</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Background — paragraphs 1–3</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3</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Objectives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State specific objectives, including any prespecified hypotheses</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Background — final paragraph; Abstract — Background</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4</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Study design</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Present key elements of study design early in the paper</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Methods — Study design paragraph ('single-centre retrospective cohort study'); Abstract — Methods</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5</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Setting</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Describe the setting, locations, and relevant dates, including periods of recruitment, exposure, follow-up, and data collection</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Methods — Study design paragraph (Mardin Training and Research Hospital; admission window 1 January – 31 December 2024)</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6</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Participants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Cohort study — Give the eligibility criteria, and the sources and methods of selection of participants. Describe methods of follow-up.</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Methods — Participants paragraph (eligibility, exclusion criteria, source records); Figure 1 (participant flow); Methods — Study design paragraph (vital status confirmed via national Death Notification System; no loss to follow-up)</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7</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Variables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Clearly define all outcomes, exposures, predictors, potential confounders, and effect modifiers. Give diagnostic criteria, if applicable</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Methods — Shock index calculation paragraph (formulas for SI, DSI, Age SI, MSI); Methods — Statistical analysis paragraph (covariate selection: age, lactate, albumin, CRP, procalcitonin, coronary artery disease, malignancy)</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8</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Data sources / measurement</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For each variable of interest, give sources of data and details of methods of assessment (measurement). Describe comparability of assessment methods if there is more than one group</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Methods — Study design paragraph (online patient record system; Death Notification System for mortality verification); Methods — Shock index calculation paragraph (vital signs and laboratory values from initial admission; identical monitoring protocols and a single central laboratory throughout the study period)</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9</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Bias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Describe any efforts to address potential sources of bias</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Methods — Participants paragraph (predefined exclusion criteria applied uniformly; complete-case analysis acknowledged as limitation); Methods — Statistical analysis paragraph (no multiple-comparison correction applied; primary inference based on AIC and Nagelkerke R² ranking); Discussion — Strengths and limitations subsection (selection bias, single-centre setting, missing-data handling, residual confounding)</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10</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Study size</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Explain how the study size was arrived at</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Methods — Statistical analysis paragraph ('No a priori sample size calculation was performed; all eligible patients were included')</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11</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Quantitative variables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Explain how quantitative variables were handled in the analyses. If applicable, describe which groupings were chosen and why</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Methods — Statistical analysis paragraph (shock indices entered as continuous variables; Youden index used to derive cut-offs reported in Table 3; cut-offs derived post-hoc, generalisability requires confirmation in independent cohorts)</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12</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Statistical methods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(a) Describe all statistical methods, including those used to control for confounding; (b) Describe any methods used to examine subgroups and interactions; (c) Explain how missing data were addressed; (d) If applicable, explain how loss to follow-up was addressed; (e) Describe any sensitivity analyses</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(a) Methods — Statistical analysis paragraph (Mann–Whitney U, Pearson χ²/Fisher's exact, ROC with DeLong, multivariable logistic regression with seven prespecified covariates); (b) Methods — Statistical analysis paragraph (age-stratified subgroup analysis ≥ 65 vs &lt; 65 years); (c) Methods — Participants paragraph (complete-case analysis without imputation); (d) No loss to follow-up (Methods — Study design paragraph; Figure 1); (e) Methods — Statistical analysis paragraph; Table 5 (lactate-dropped models and age-stratified subgroups)</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13</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Participants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(a) Report numbers of individuals at each stage of the study; (b) Give reasons for non-participation at each stage; (c) Consider use of a flow diagram</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Figure 1 (participant flow diagram with all exclusion reasons); Results — first paragraph</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14</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Descriptive data</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(a) Give characteristics of study participants and information on exposures and potential confounders; (b) Indicate number of participants with missing data for each variable of interest; (c) Cohort study — Summarise follow-up time</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(a) Table 1 (baseline characteristics); Table 2 (descriptive comparison by mortality status); (b) Methods — Participants paragraph (complete-case analysis; n = 598 across all variables); (c) Outcomes assessed at 7 and 28 days post-admission; vital status confirmed in 100% of analysed patients (Methods — Study design paragraph)</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15</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Outcome data</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Cohort study — Report numbers of outcome events or summary measures over time</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Results — first paragraph (7-day mortality 22.7%, n = 136; 28-day mortality 36.0%, n = 215); Figure 1</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16</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Main results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(a) Give unadjusted estimates and, if applicable, confounder-adjusted estimates and their precision (e.g. 95% CI). Make clear which confounders were adjusted for and why they were included; (b) Report category boundaries when continuous variables were categorized; (c) If relevant, consider translating estimates of relative risk into absolute risk for a meaningful time period</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(a) Table 4 (crude and adjusted ORs with 95% CIs for all eight models); Additional File 2 (Tables S1A and S1B — full covariate-level estimates); Methods — Statistical analysis paragraph (covariate selection rationale); (b) Cut-off values reported in Table 3 (Youden index, derived post-hoc); (c) Discussion — DSI threshold paragraph (PPV / NPV translation at proposed thresholds)</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17</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Other analyses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Report other analyses done — e.g. analyses of subgroups and interactions, and sensitivity analyses</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Table 5A (lactate-dropped sensitivity analysis); Table 5B (age-stratified subgroup analysis); Results — final paragraph (sensitivity analyses)</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18</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Key results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Summarise key results with reference to study objectives</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Discussion — first paragraph; Conclusions</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19</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Limitations</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Discuss limitations of the study, taking into account sources of potential bias or imprecision. Discuss both direction and magnitude of any potential bias</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Discussion — Strengths and limitations subsection (five limitations: retrospective design, single-centre setting, single-timepoint measurement, complete-case analysis, absence of SOFA / APACHE II)</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20</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Interpretation</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Give a cautious overall interpretation of results considering objectives, limitations, multiplicity of analyses, results from similar studies, and other relevant evidence</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Discussion — paragraphs 2 onwards (mechanistic, comparative, and translational interpretation); Conclusions</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21</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Generalisability</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Discuss the generalisability (external validity) of the study results</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Discussion — operational appeal paragraph (paramedic / triage / bedside applicability); Discussion — Strengths and limitations subsection (single-centre setting; heterogeneous diagnostic mix as partial mitigation)</w:t>
            </w:r>
          </w:p>
        </w:tc>
      </w:tr>
      <w:tr>
        <w:tc>
          <w:tcPr>
            <w:tcW w:type="dxa" w:w="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22</w:t>
            </w:r>
          </w:p>
        </w:tc>
        <w:tc>
          <w:tcPr>
            <w:tcW w:type="dxa" w:w="17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Funding</w:t>
            </w:r>
          </w:p>
        </w:tc>
        <w:tc>
          <w:tcPr>
            <w:tcW w:type="dxa" w:w="34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Give the source of funding and the role of the funders for the present study and, if applicable, for the original study on which the present article is based</w:t>
            </w:r>
          </w:p>
        </w:tc>
        <w:tc>
          <w:tcPr>
            <w:tcW w:type="dxa" w:w="320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40" w:line="240"/>
            </w:pPr>
            <w:r>
              <w:rPr>
                <w:rFonts w:ascii="Times New Roman" w:cs="Times New Roman" w:eastAsia="Times New Roman" w:hAnsi="Times New Roman"/>
                <w:b w:val="false"/>
                <w:bCs w:val="false"/>
                <w:i w:val="false"/>
                <w:iCs w:val="false"/>
                <w:sz w:val="20"/>
                <w:szCs w:val="20"/>
              </w:rPr>
              <w:t xml:space="preserve">Declarations — Funding ('No specific funding was received for this work')</w:t>
            </w:r>
          </w:p>
        </w:tc>
      </w:tr>
    </w:tbl>
    <w:p>
      <w:pPr>
        <w:spacing w:after="80" w:line="276"/>
        <w:jc w:val="left"/>
      </w:pPr>
      <w:r>
        <w:rPr>
          <w:rFonts w:ascii="Times New Roman" w:cs="Times New Roman" w:eastAsia="Times New Roman" w:hAnsi="Times New Roman"/>
          <w:b w:val="false"/>
          <w:bCs w:val="false"/>
          <w:i w:val="false"/>
          <w:iCs w:val="false"/>
          <w:sz w:val="20"/>
          <w:szCs w:val="20"/>
        </w:rPr>
        <w:t xml:space="preserve"/>
      </w:r>
    </w:p>
    <w:p>
      <w:pPr>
        <w:spacing w:after="80" w:line="276"/>
        <w:jc w:val="left"/>
      </w:pPr>
      <w:r>
        <w:rPr>
          <w:rFonts w:ascii="Times New Roman" w:cs="Times New Roman" w:eastAsia="Times New Roman" w:hAnsi="Times New Roman"/>
          <w:b w:val="false"/>
          <w:bCs w:val="false"/>
          <w:i/>
          <w:iCs/>
          <w:sz w:val="20"/>
          <w:szCs w:val="20"/>
        </w:rPr>
        <w:t xml:space="preserve">Note: An Explanation and Elaboration article discusses each checklist item and provides methodological background and published examples of transparent reporting. The STROBE checklist is best used in conjunction with this article (freely available on the websites of PLoS Medicine, Annals of Internal Medicine, and Epidemiology). Information on the STROBE Initiative is available at www.strobe-statement.org.</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2026-05-06T16:35:12.486Z</dcterms:created>
  <dcterms:modified xsi:type="dcterms:W3CDTF">2026-05-06T16:35:12.503Z</dcterms:modified>
</cp:coreProperties>
</file>

<file path=docProps/custom.xml><?xml version="1.0" encoding="utf-8"?>
<Properties xmlns="http://schemas.openxmlformats.org/officeDocument/2006/custom-properties" xmlns:vt="http://schemas.openxmlformats.org/officeDocument/2006/docPropsVTypes"/>
</file>