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4966">
      <w:pPr>
        <w:pStyle w:val="5"/>
        <w:ind w:firstLine="0" w:firstLineChars="0"/>
        <w:jc w:val="left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Arial" w:hAnsi="Arial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Table 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Biometric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parameters measured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by Pentacam and IOLMaster 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>before and after SMILE surgery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 (mean ± SD)</w:t>
      </w:r>
      <w:r>
        <w:rPr>
          <w:rFonts w:hint="eastAsia"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.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118"/>
        <w:gridCol w:w="1177"/>
        <w:gridCol w:w="1177"/>
        <w:gridCol w:w="1117"/>
        <w:gridCol w:w="1269"/>
        <w:gridCol w:w="1211"/>
      </w:tblGrid>
      <w:tr w14:paraId="4DC6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AAB993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Parameter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9E2F57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Pentacam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8B0EE0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Iol-Master</w:t>
            </w:r>
          </w:p>
        </w:tc>
      </w:tr>
      <w:tr w14:paraId="489E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7" w:type="dxa"/>
            <w:vMerge w:val="continue"/>
            <w:tcBorders>
              <w:bottom w:val="single" w:color="auto" w:sz="4" w:space="0"/>
            </w:tcBorders>
            <w:vAlign w:val="center"/>
          </w:tcPr>
          <w:p w14:paraId="4D9B0EBD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913DEE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Preoperative</w:t>
            </w: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01A20F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month 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ostoperative</w:t>
            </w: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B3080B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 months 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ostoperative</w:t>
            </w: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486BBB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preoperative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59C7B0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month 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ostoperative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E945D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 months 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ostoperative</w:t>
            </w:r>
          </w:p>
        </w:tc>
      </w:tr>
      <w:tr w14:paraId="2E65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0330C162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AL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(mm)</w:t>
            </w:r>
          </w:p>
        </w:tc>
        <w:tc>
          <w:tcPr>
            <w:tcW w:w="1118" w:type="dxa"/>
            <w:tcBorders>
              <w:top w:val="single" w:color="auto" w:sz="4" w:space="0"/>
            </w:tcBorders>
            <w:vAlign w:val="center"/>
          </w:tcPr>
          <w:p w14:paraId="007775AB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01E9C2EC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7FE778C5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7" w:type="dxa"/>
            <w:tcBorders>
              <w:top w:val="single" w:color="auto" w:sz="4" w:space="0"/>
            </w:tcBorders>
            <w:vAlign w:val="center"/>
          </w:tcPr>
          <w:p w14:paraId="6E110E9D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25.6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1F6A997E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25.55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  <w:tc>
          <w:tcPr>
            <w:tcW w:w="1211" w:type="dxa"/>
            <w:tcBorders>
              <w:top w:val="single" w:color="auto" w:sz="4" w:space="0"/>
            </w:tcBorders>
            <w:vAlign w:val="center"/>
          </w:tcPr>
          <w:p w14:paraId="578F455F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25.54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Arial" w:hAnsi="Arial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7D10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7" w:type="dxa"/>
            <w:vAlign w:val="center"/>
          </w:tcPr>
          <w:p w14:paraId="7CBFB58A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AL*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(mm)</w:t>
            </w:r>
          </w:p>
        </w:tc>
        <w:tc>
          <w:tcPr>
            <w:tcW w:w="1118" w:type="dxa"/>
            <w:vAlign w:val="center"/>
          </w:tcPr>
          <w:p w14:paraId="61A47840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77" w:type="dxa"/>
            <w:vAlign w:val="center"/>
          </w:tcPr>
          <w:p w14:paraId="7DA618AC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77" w:type="dxa"/>
            <w:vAlign w:val="center"/>
          </w:tcPr>
          <w:p w14:paraId="680D6E20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7" w:type="dxa"/>
            <w:vAlign w:val="center"/>
          </w:tcPr>
          <w:p w14:paraId="6646B457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25.08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69" w:type="dxa"/>
            <w:vAlign w:val="center"/>
          </w:tcPr>
          <w:p w14:paraId="41814AF7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25.09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11" w:type="dxa"/>
            <w:vAlign w:val="center"/>
          </w:tcPr>
          <w:p w14:paraId="1825CC03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25.07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0.6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113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7" w:type="dxa"/>
            <w:vAlign w:val="center"/>
          </w:tcPr>
          <w:p w14:paraId="737D6A5B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ICACD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(mm)</w:t>
            </w:r>
          </w:p>
        </w:tc>
        <w:tc>
          <w:tcPr>
            <w:tcW w:w="1118" w:type="dxa"/>
            <w:vAlign w:val="center"/>
          </w:tcPr>
          <w:p w14:paraId="2D660B30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3.7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7" w:type="dxa"/>
            <w:vAlign w:val="center"/>
          </w:tcPr>
          <w:p w14:paraId="3EC7FA18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7" w:type="dxa"/>
            <w:vAlign w:val="center"/>
          </w:tcPr>
          <w:p w14:paraId="18D23367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3.60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7" w:type="dxa"/>
            <w:vAlign w:val="center"/>
          </w:tcPr>
          <w:p w14:paraId="530AB13C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3.79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9" w:type="dxa"/>
            <w:vAlign w:val="center"/>
          </w:tcPr>
          <w:p w14:paraId="5C3E3B30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3.66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1" w:type="dxa"/>
            <w:vAlign w:val="center"/>
          </w:tcPr>
          <w:p w14:paraId="5A718BF5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3.6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</w:tr>
      <w:tr w14:paraId="0C0E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7" w:type="dxa"/>
            <w:vAlign w:val="center"/>
          </w:tcPr>
          <w:p w14:paraId="671697D0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ECACD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(mm)</w:t>
            </w:r>
          </w:p>
        </w:tc>
        <w:tc>
          <w:tcPr>
            <w:tcW w:w="1118" w:type="dxa"/>
            <w:vAlign w:val="center"/>
          </w:tcPr>
          <w:p w14:paraId="68CB06D6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3.20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7" w:type="dxa"/>
            <w:vAlign w:val="center"/>
          </w:tcPr>
          <w:p w14:paraId="4FD23EBF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3.13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7" w:type="dxa"/>
            <w:vAlign w:val="center"/>
          </w:tcPr>
          <w:p w14:paraId="4FBDFAA8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3.13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7" w:type="dxa"/>
            <w:vAlign w:val="center"/>
          </w:tcPr>
          <w:p w14:paraId="4645CDA2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3.25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9" w:type="dxa"/>
            <w:vAlign w:val="center"/>
          </w:tcPr>
          <w:p w14:paraId="7EEE8814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3.20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1" w:type="dxa"/>
            <w:vAlign w:val="center"/>
          </w:tcPr>
          <w:p w14:paraId="1FE76B5E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3.20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CB8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7" w:type="dxa"/>
            <w:vAlign w:val="center"/>
          </w:tcPr>
          <w:p w14:paraId="2AC0C448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SimK/Km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(D)</w:t>
            </w:r>
          </w:p>
        </w:tc>
        <w:tc>
          <w:tcPr>
            <w:tcW w:w="1118" w:type="dxa"/>
            <w:vAlign w:val="center"/>
          </w:tcPr>
          <w:p w14:paraId="4036B561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42.83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7" w:type="dxa"/>
            <w:vAlign w:val="center"/>
          </w:tcPr>
          <w:p w14:paraId="0DD91F0F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38.8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7" w:type="dxa"/>
            <w:vAlign w:val="center"/>
          </w:tcPr>
          <w:p w14:paraId="5D894D9A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38.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1.18</w:t>
            </w:r>
          </w:p>
        </w:tc>
        <w:tc>
          <w:tcPr>
            <w:tcW w:w="1117" w:type="dxa"/>
            <w:vAlign w:val="center"/>
          </w:tcPr>
          <w:p w14:paraId="7772EDE6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43.08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9" w:type="dxa"/>
            <w:vAlign w:val="center"/>
          </w:tcPr>
          <w:p w14:paraId="0F1D9269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38.9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1" w:type="dxa"/>
            <w:vAlign w:val="center"/>
          </w:tcPr>
          <w:p w14:paraId="7C867160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38.98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A1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 w14:paraId="5993EDBD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TCRP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(D)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1B145D67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42.2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 w14:paraId="775007EA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37.2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1.3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 w14:paraId="544C917F">
            <w:pPr>
              <w:pStyle w:val="5"/>
              <w:spacing w:line="24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37.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 w14:paraId="187687C9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1643EAE9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4697ABA9">
            <w:pPr>
              <w:pStyle w:val="5"/>
              <w:spacing w:line="24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1C94DB61">
      <w:pPr>
        <w:rPr>
          <w:rFonts w:cs="Times New Roman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  <w:t>AL: axial length; AL*: axial length minus central corneal thickness; ICACD: internal anterior chamber depth (including corneal thickness); ECACD: external anterior chamber depth (ICACD minus central corneal thickness); Km: mean keratometry measured by IOLMaster; SimK: simulated keratometry measured by Pentacam; TCRP: total corneal refractive power measured by Pentacam. All values are expressed as mean ± standard deviation. (—): parameter not applicable to the respective instrument.</w:t>
      </w:r>
    </w:p>
    <w:p w14:paraId="15B0D36F">
      <w:pPr>
        <w:pStyle w:val="5"/>
        <w:snapToGrid w:val="0"/>
        <w:spacing w:line="480" w:lineRule="auto"/>
        <w:ind w:firstLine="0" w:firstLineChars="0"/>
        <w:rPr>
          <w:rFonts w:hint="eastAsia"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Table 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Linear mixed model analysis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of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biometric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parameters before and after SMILE surgery</w:t>
      </w:r>
      <w:r>
        <w:rPr>
          <w:rFonts w:hint="eastAsia"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>.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617"/>
        <w:gridCol w:w="689"/>
        <w:gridCol w:w="619"/>
        <w:gridCol w:w="690"/>
        <w:gridCol w:w="599"/>
        <w:gridCol w:w="558"/>
        <w:gridCol w:w="618"/>
        <w:gridCol w:w="689"/>
        <w:gridCol w:w="619"/>
        <w:gridCol w:w="690"/>
        <w:gridCol w:w="676"/>
        <w:gridCol w:w="636"/>
      </w:tblGrid>
      <w:tr w14:paraId="22E0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8B9DC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</w:p>
        </w:tc>
        <w:tc>
          <w:tcPr>
            <w:tcW w:w="58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3F3DC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  <w:lang w:bidi="ar"/>
              </w:rPr>
              <w:t>Pentacam</w:t>
            </w:r>
          </w:p>
        </w:tc>
        <w:tc>
          <w:tcPr>
            <w:tcW w:w="71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29A528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  <w:lang w:bidi="ar"/>
              </w:rPr>
              <w:t>Iol-Master</w:t>
            </w:r>
          </w:p>
        </w:tc>
      </w:tr>
      <w:tr w14:paraId="1699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9C785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1D02C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month </w:t>
            </w: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ostoperative</w:t>
            </w: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 xml:space="preserve"> VS </w:t>
            </w: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Preoperative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A024DF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 xml:space="preserve">3 months postoperative VS </w:t>
            </w: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Preoperative</w:t>
            </w:r>
          </w:p>
        </w:tc>
        <w:tc>
          <w:tcPr>
            <w:tcW w:w="58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31C414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month </w:t>
            </w: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ostoperative</w:t>
            </w: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 xml:space="preserve"> VS </w:t>
            </w: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Preoperative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92311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month </w:t>
            </w: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ostoperative</w:t>
            </w: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 xml:space="preserve"> VS </w:t>
            </w: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Preoperative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D740A7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 xml:space="preserve">3 months postoperative VS </w:t>
            </w: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Preoperative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01704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month </w:t>
            </w: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ostoperative</w:t>
            </w: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 xml:space="preserve"> VS 3 months postoperative</w:t>
            </w:r>
          </w:p>
        </w:tc>
      </w:tr>
      <w:tr w14:paraId="75C8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008F7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</w:p>
        </w:tc>
        <w:tc>
          <w:tcPr>
            <w:tcW w:w="64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8D155A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t</w:t>
            </w:r>
          </w:p>
        </w:tc>
        <w:tc>
          <w:tcPr>
            <w:tcW w:w="7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278CF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p</w:t>
            </w:r>
          </w:p>
        </w:tc>
        <w:tc>
          <w:tcPr>
            <w:tcW w:w="64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DE101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t</w:t>
            </w:r>
          </w:p>
        </w:tc>
        <w:tc>
          <w:tcPr>
            <w:tcW w:w="7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B65174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p</w:t>
            </w:r>
          </w:p>
        </w:tc>
        <w:tc>
          <w:tcPr>
            <w:tcW w:w="63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7C6253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t</w:t>
            </w:r>
          </w:p>
        </w:tc>
        <w:tc>
          <w:tcPr>
            <w:tcW w:w="5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ABE6F4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p</w:t>
            </w:r>
          </w:p>
        </w:tc>
        <w:tc>
          <w:tcPr>
            <w:tcW w:w="64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EF9F1A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t</w:t>
            </w:r>
          </w:p>
        </w:tc>
        <w:tc>
          <w:tcPr>
            <w:tcW w:w="7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59F8F89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p</w:t>
            </w:r>
          </w:p>
        </w:tc>
        <w:tc>
          <w:tcPr>
            <w:tcW w:w="64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8D8CCE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t</w:t>
            </w:r>
          </w:p>
        </w:tc>
        <w:tc>
          <w:tcPr>
            <w:tcW w:w="7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9E0A1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183E0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t</w:t>
            </w:r>
          </w:p>
        </w:tc>
        <w:tc>
          <w:tcPr>
            <w:tcW w:w="6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44FD2E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p</w:t>
            </w:r>
          </w:p>
        </w:tc>
      </w:tr>
      <w:tr w14:paraId="729F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E128D4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  <w:lang w:bidi="ar"/>
              </w:rPr>
              <w:t>AL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17601B2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43CF54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ACB939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E3881A3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4B62318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B03976E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47620F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3.0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329151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DF35B5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4.5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6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4C8AF1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19334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0.7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2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BD6534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0.4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6</w:t>
            </w:r>
          </w:p>
        </w:tc>
      </w:tr>
      <w:tr w14:paraId="0026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388E0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  <w:lang w:bidi="ar"/>
              </w:rPr>
              <w:t>AL*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6ADFCD3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C330AF3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6536D7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4CE093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46F9C49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0907CE7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21EB495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-0.26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AF8EA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0.8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505616A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0.3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60DCA4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0.7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6B61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0.8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540D3E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0.4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5</w:t>
            </w:r>
          </w:p>
        </w:tc>
      </w:tr>
      <w:tr w14:paraId="3F45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8AE075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  <w:lang w:bidi="ar"/>
              </w:rPr>
              <w:t>ICACD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E5884C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9.8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6F5A44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6D06A71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17.7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BA3897B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F235EA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-0.5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8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093EEDFE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68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4418D78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15.8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A4FCF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760191A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10.8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6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3754EC3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DAAD4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-0.4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C1246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0.6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6</w:t>
            </w:r>
          </w:p>
        </w:tc>
      </w:tr>
      <w:tr w14:paraId="5CAE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130E68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  <w:lang w:bidi="ar"/>
              </w:rPr>
              <w:t>ECACD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FDBA56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4.7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921525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A99DEEB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8.7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2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B53AB07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A0D72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-0.4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2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BDC0617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0.3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114E08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6.0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82BD848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193694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3.9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6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B29B3B5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0EAD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-0.25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804F927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0.8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2</w:t>
            </w:r>
          </w:p>
        </w:tc>
      </w:tr>
      <w:tr w14:paraId="5B8E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4C12F1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  <w:lang w:bidi="ar"/>
              </w:rPr>
              <w:t>SimK</w:t>
            </w:r>
          </w:p>
          <w:p w14:paraId="600F8E5E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bCs/>
                <w:sz w:val="12"/>
                <w:szCs w:val="12"/>
              </w:rPr>
            </w:pPr>
            <w:r>
              <w:rPr>
                <w:rFonts w:hint="default" w:ascii="Arial" w:hAnsi="Arial" w:cs="Arial"/>
                <w:b w:val="0"/>
                <w:bCs/>
                <w:sz w:val="12"/>
                <w:szCs w:val="12"/>
                <w:lang w:bidi="ar"/>
              </w:rPr>
              <w:t>/Km</w:t>
            </w:r>
          </w:p>
        </w:tc>
        <w:tc>
          <w:tcPr>
            <w:tcW w:w="64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2BAFEC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30.8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8</w:t>
            </w:r>
          </w:p>
        </w:tc>
        <w:tc>
          <w:tcPr>
            <w:tcW w:w="7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7EB87D3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64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726633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34.7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3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DBA83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6F6F5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-0.9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6</w:t>
            </w:r>
          </w:p>
        </w:tc>
        <w:tc>
          <w:tcPr>
            <w:tcW w:w="5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9BA86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0.6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CCD99F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31.2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91E7B5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64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99E659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34.5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C730DE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0.00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A1B207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-0.3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5</w:t>
            </w:r>
          </w:p>
        </w:tc>
        <w:tc>
          <w:tcPr>
            <w:tcW w:w="6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6B422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 w:val="0"/>
                <w:bCs/>
                <w:sz w:val="12"/>
                <w:szCs w:val="1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10205"/>
                <w:kern w:val="0"/>
                <w:sz w:val="12"/>
                <w:szCs w:val="12"/>
              </w:rPr>
              <w:t>0.7</w:t>
            </w:r>
            <w:r>
              <w:rPr>
                <w:rFonts w:hint="eastAsia" w:ascii="Arial" w:hAnsi="Arial" w:cs="Arial"/>
                <w:b w:val="0"/>
                <w:bCs/>
                <w:color w:val="010205"/>
                <w:kern w:val="0"/>
                <w:sz w:val="12"/>
                <w:szCs w:val="12"/>
                <w:lang w:val="en-US" w:eastAsia="zh-CN"/>
              </w:rPr>
              <w:t>6</w:t>
            </w:r>
          </w:p>
        </w:tc>
      </w:tr>
    </w:tbl>
    <w:p w14:paraId="16F70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Arial" w:hAnsi="Arial" w:cs="Arial"/>
          <w:b w:val="0"/>
          <w:i w:val="0"/>
          <w:sz w:val="12"/>
          <w:szCs w:val="12"/>
        </w:rPr>
      </w:pPr>
      <w:r>
        <w:rPr>
          <w:rFonts w:hint="eastAsia" w:ascii="Arial" w:hAnsi="Arial" w:cs="Arial"/>
          <w:b w:val="0"/>
          <w:i w:val="0"/>
          <w:sz w:val="12"/>
          <w:szCs w:val="12"/>
        </w:rPr>
        <w:t>Overall tests:</w:t>
      </w:r>
    </w:p>
    <w:p w14:paraId="39FA8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Arial" w:hAnsi="Arial" w:cs="Arial"/>
          <w:b w:val="0"/>
          <w:i w:val="0"/>
          <w:sz w:val="12"/>
          <w:szCs w:val="12"/>
        </w:rPr>
      </w:pPr>
      <w:r>
        <w:rPr>
          <w:rFonts w:hint="eastAsia" w:ascii="Arial" w:hAnsi="Arial" w:cs="Arial"/>
          <w:b w:val="0"/>
          <w:i w:val="0"/>
          <w:sz w:val="12"/>
          <w:szCs w:val="12"/>
        </w:rPr>
        <w:t>Corneal power:</w:t>
      </w:r>
    </w:p>
    <w:p w14:paraId="628B5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Arial" w:hAnsi="Arial" w:cs="Arial"/>
          <w:b w:val="0"/>
          <w:i w:val="0"/>
          <w:sz w:val="12"/>
          <w:szCs w:val="12"/>
        </w:rPr>
      </w:pPr>
      <w:r>
        <w:rPr>
          <w:rFonts w:hint="eastAsia" w:ascii="Arial" w:hAnsi="Arial" w:cs="Arial"/>
          <w:b w:val="0"/>
          <w:i w:val="0"/>
          <w:sz w:val="12"/>
          <w:szCs w:val="12"/>
        </w:rPr>
        <w:t>Time effect P &lt; 0.001; Instrument effect P = 0.32; Time × instrument interaction P = 0.48</w:t>
      </w:r>
    </w:p>
    <w:p w14:paraId="218E7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Arial" w:hAnsi="Arial" w:cs="Arial"/>
          <w:b w:val="0"/>
          <w:i w:val="0"/>
          <w:sz w:val="12"/>
          <w:szCs w:val="12"/>
        </w:rPr>
      </w:pPr>
      <w:r>
        <w:rPr>
          <w:rFonts w:hint="eastAsia" w:ascii="Arial" w:hAnsi="Arial" w:cs="Arial"/>
          <w:b w:val="0"/>
          <w:i w:val="0"/>
          <w:sz w:val="12"/>
          <w:szCs w:val="12"/>
        </w:rPr>
        <w:t>Anterior chamber depth:</w:t>
      </w:r>
    </w:p>
    <w:p w14:paraId="18AA22C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jc w:val="both"/>
        <w:textAlignment w:val="auto"/>
        <w:rPr>
          <w:rFonts w:hint="eastAsia" w:ascii="Arial" w:hAnsi="Arial" w:cs="Arial"/>
          <w:b w:val="0"/>
          <w:i w:val="0"/>
          <w:sz w:val="12"/>
          <w:szCs w:val="12"/>
        </w:rPr>
      </w:pPr>
      <w:r>
        <w:rPr>
          <w:rFonts w:hint="eastAsia" w:ascii="Arial" w:hAnsi="Arial" w:cs="Arial"/>
          <w:b w:val="0"/>
          <w:i w:val="0"/>
          <w:sz w:val="12"/>
          <w:szCs w:val="12"/>
        </w:rPr>
        <w:t>Time effect P &lt; 0.001; Instrument effect P = 0.54; Time × instrument interaction P = 0.63</w:t>
      </w:r>
    </w:p>
    <w:p w14:paraId="5F4FCA4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jc w:val="both"/>
        <w:textAlignment w:val="auto"/>
        <w:rPr>
          <w:rFonts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 w:eastAsiaTheme="minorEastAsia"/>
          <w:b w:val="0"/>
          <w:i w:val="0"/>
          <w:kern w:val="2"/>
          <w:sz w:val="12"/>
          <w:szCs w:val="12"/>
          <w:lang w:val="en-US" w:eastAsia="zh-CN" w:bidi="ar-SA"/>
        </w:rPr>
        <w:t>Linear mixed</w:t>
      </w:r>
      <w:r>
        <w:rPr>
          <w:rFonts w:hint="default" w:ascii="Arial" w:hAnsi="Arial" w:cs="Arial" w:eastAsiaTheme="minorEastAsia"/>
          <w:b w:val="0"/>
          <w:i w:val="0"/>
          <w:kern w:val="2"/>
          <w:sz w:val="12"/>
          <w:szCs w:val="12"/>
          <w:lang w:val="en-US" w:eastAsia="zh-CN" w:bidi="ar-SA"/>
        </w:rPr>
        <w:noBreakHyphen/>
      </w:r>
      <w:r>
        <w:rPr>
          <w:rFonts w:hint="default" w:ascii="Arial" w:hAnsi="Arial" w:cs="Arial" w:eastAsiaTheme="minorEastAsia"/>
          <w:b w:val="0"/>
          <w:i w:val="0"/>
          <w:kern w:val="2"/>
          <w:sz w:val="12"/>
          <w:szCs w:val="12"/>
          <w:lang w:val="en-US" w:eastAsia="zh-CN" w:bidi="ar-SA"/>
        </w:rPr>
        <w:t>effects models with random intercept for patient were used to account for inter</w:t>
      </w:r>
      <w:r>
        <w:rPr>
          <w:rFonts w:hint="default" w:ascii="Arial" w:hAnsi="Arial" w:cs="Arial" w:eastAsiaTheme="minorEastAsia"/>
          <w:b w:val="0"/>
          <w:i w:val="0"/>
          <w:kern w:val="2"/>
          <w:sz w:val="12"/>
          <w:szCs w:val="12"/>
          <w:lang w:val="en-US" w:eastAsia="zh-CN" w:bidi="ar-SA"/>
        </w:rPr>
        <w:noBreakHyphen/>
      </w:r>
      <w:r>
        <w:rPr>
          <w:rFonts w:hint="default" w:ascii="Arial" w:hAnsi="Arial" w:cs="Arial" w:eastAsiaTheme="minorEastAsia"/>
          <w:b w:val="0"/>
          <w:i w:val="0"/>
          <w:kern w:val="2"/>
          <w:sz w:val="12"/>
          <w:szCs w:val="12"/>
          <w:lang w:val="en-US" w:eastAsia="zh-CN" w:bidi="ar-SA"/>
        </w:rPr>
        <w:t xml:space="preserve">eye correlation. </w:t>
      </w:r>
    </w:p>
    <w:p w14:paraId="52F9C051">
      <w:pPr>
        <w:snapToGrid w:val="0"/>
        <w:spacing w:line="48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  <w:t>A linear mixed model was used to account for inter-eye correlation. P &lt; 0.05 was considered statistically significant.</w:t>
      </w:r>
    </w:p>
    <w:p w14:paraId="5253C25C">
      <w:pPr>
        <w:pStyle w:val="5"/>
        <w:snapToGrid w:val="0"/>
        <w:spacing w:line="480" w:lineRule="auto"/>
        <w:ind w:firstLine="0" w:firstLineChars="0"/>
        <w:jc w:val="left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Table 3.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Pearson correlation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analysis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between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changes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in ICACD 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and corneal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ablation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thickness before and after SMILE surgery</w:t>
      </w:r>
      <w:r>
        <w:rPr>
          <w:rFonts w:hint="eastAsia"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>.</w:t>
      </w:r>
    </w:p>
    <w:tbl>
      <w:tblPr>
        <w:tblStyle w:val="3"/>
        <w:tblW w:w="8789" w:type="dxa"/>
        <w:tblInd w:w="-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1701"/>
        <w:gridCol w:w="1417"/>
        <w:gridCol w:w="1418"/>
      </w:tblGrid>
      <w:tr w14:paraId="7514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2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42294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Comparison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BF7BD5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Range</w:t>
            </w:r>
            <w:r>
              <w:rPr>
                <w:rFonts w:hint="eastAsia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(mm)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E5BCA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Corneal ablation thickness</w:t>
            </w:r>
          </w:p>
        </w:tc>
      </w:tr>
      <w:tr w14:paraId="5717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25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884C7D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B1EAA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455FE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63E364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6F53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75417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IOLMaster ICACD: preoperative vs. 1 month postoperative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1C6C2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黑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0.11-0.1</w:t>
            </w:r>
            <w:r>
              <w:rPr>
                <w:rFonts w:hint="eastAsia" w:ascii="Arial" w:hAnsi="Arial" w:eastAsia="黑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82B021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BCFE9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638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3C44E6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IOLMaster ICACD: preoperative vs. 3 months postoperative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BE720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0.10-0.15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E799C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黑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C4CBB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959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BE317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Pentacam ICACD: preoperative vs. 1 month postoperative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3B03D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0.13-0.</w:t>
            </w:r>
            <w:r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CE78E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黑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C12CC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484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AF029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Pentacam ICACD: preoperative vs. 3 months postoperative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C42F6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0.13-0.17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1D120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黑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098D5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</w:tr>
    </w:tbl>
    <w:p w14:paraId="57E39003">
      <w:pPr>
        <w:pStyle w:val="5"/>
        <w:snapToGrid w:val="0"/>
        <w:spacing w:line="480" w:lineRule="auto"/>
        <w:ind w:firstLine="0" w:firstLineChars="0"/>
        <w:jc w:val="left"/>
        <w:rPr>
          <w:rFonts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  <w:t>*P&lt;0.05; **P&lt;0.01</w:t>
      </w:r>
      <w:r>
        <w:rPr>
          <w:rFonts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  <w:t>.</w:t>
      </w:r>
    </w:p>
    <w:p w14:paraId="5018B129">
      <w:pPr>
        <w:pStyle w:val="5"/>
        <w:snapToGrid w:val="0"/>
        <w:spacing w:line="480" w:lineRule="auto"/>
        <w:ind w:firstLine="0" w:firstLineChars="0"/>
        <w:jc w:val="left"/>
        <w:rPr>
          <w:rFonts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5E514537">
      <w:pPr>
        <w:pStyle w:val="5"/>
        <w:snapToGrid w:val="0"/>
        <w:spacing w:line="480" w:lineRule="auto"/>
        <w:ind w:firstLine="0" w:firstLineChars="0"/>
        <w:jc w:val="left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Table 4.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Pearson correlation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analysis of ICACD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measurements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obtained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by Pentacam and IOLMaster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before and after SMILE surgery</w:t>
      </w:r>
      <w:r>
        <w:rPr>
          <w:rFonts w:hint="eastAsia"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>.</w:t>
      </w:r>
    </w:p>
    <w:tbl>
      <w:tblPr>
        <w:tblStyle w:val="2"/>
        <w:tblW w:w="5033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503"/>
        <w:gridCol w:w="1955"/>
        <w:gridCol w:w="1823"/>
        <w:gridCol w:w="1267"/>
      </w:tblGrid>
      <w:tr w14:paraId="1BE8D3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Header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92838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Pearson </w:t>
            </w:r>
          </w:p>
        </w:tc>
      </w:tr>
      <w:tr w14:paraId="38A873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Header/>
          <w:jc w:val="center"/>
        </w:trPr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354C8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855D3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Mean (mm)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138F9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SD (mm)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38093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Pentacam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ICACD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85242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IOL</w:t>
            </w: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Master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ICACD</w:t>
            </w:r>
          </w:p>
        </w:tc>
      </w:tr>
      <w:tr w14:paraId="10C330F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2F26C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Pentacam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ICACD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2AE942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3.685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36284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0.243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73E1D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6C869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23AF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994B9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IOL</w:t>
            </w: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Master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ICACD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0B4AC2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3.715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FCE3D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0.234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7EB3A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0.912***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67ED95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6992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D7E75">
            <w:pPr>
              <w:snapToGrid w:val="0"/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*p&lt;0.1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**p&lt;0.05</w:t>
            </w:r>
            <w:r>
              <w:rPr>
                <w:rFonts w:hint="eastAsia"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ascii="Arial" w:hAnsi="Arial" w:eastAsia="黑体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***p&lt;0.01.</w:t>
            </w:r>
          </w:p>
        </w:tc>
      </w:tr>
    </w:tbl>
    <w:p w14:paraId="2DB03E01">
      <w:pPr>
        <w:pStyle w:val="5"/>
        <w:snapToGrid w:val="0"/>
        <w:spacing w:line="480" w:lineRule="auto"/>
        <w:ind w:firstLine="0" w:firstLineChars="0"/>
        <w:jc w:val="left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5D476C20">
      <w:pPr>
        <w:pStyle w:val="5"/>
        <w:snapToGrid w:val="0"/>
        <w:spacing w:line="480" w:lineRule="auto"/>
        <w:ind w:firstLine="0" w:firstLineChars="0"/>
        <w:jc w:val="left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Table 5.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Comparison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of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Pentacam-derived 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>TCRP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SimK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values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before and after SMILE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 surgery</w:t>
      </w:r>
      <w:r>
        <w:rPr>
          <w:rFonts w:hint="eastAsia"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>.</w:t>
      </w:r>
    </w:p>
    <w:tbl>
      <w:tblPr>
        <w:tblStyle w:val="3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935"/>
        <w:gridCol w:w="2886"/>
        <w:gridCol w:w="2586"/>
      </w:tblGrid>
      <w:tr w14:paraId="3F76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BF792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Parameter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55DC1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preoperative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8A740E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1 month 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ostoperative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306BD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3 months 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ostoperative</w:t>
            </w:r>
          </w:p>
        </w:tc>
      </w:tr>
      <w:tr w14:paraId="1472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82D93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TCRP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(D)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92A6E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42.22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DA97C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37.27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1.3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2BC6B2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37.42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562F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0B480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SimK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(D)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95316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42.83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562DB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38.86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E7308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eastAsia" w:ascii="Arial" w:hAnsi="Arial" w:eastAsia="宋体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38.90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A3F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13F61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91215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-29.66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758B0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-36.16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F251F6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-48.24</w:t>
            </w:r>
          </w:p>
        </w:tc>
      </w:tr>
      <w:tr w14:paraId="0B38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D84F8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2DA69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1D074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6B19A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4D9E203A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  <w:t>All values are expressed as mean ± standard deviation.</w:t>
      </w:r>
    </w:p>
    <w:p w14:paraId="4647206C">
      <w:pPr>
        <w:pStyle w:val="5"/>
        <w:snapToGrid w:val="0"/>
        <w:spacing w:line="480" w:lineRule="auto"/>
        <w:ind w:firstLine="0" w:firstLineChars="0"/>
        <w:jc w:val="left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Arial" w:hAnsi="Arial"/>
          <w:b/>
          <w:color w:val="000000" w:themeColor="text1"/>
          <w:sz w:val="1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 Pearson correlation analysis 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between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Holladay 1 and Haigis effective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lens 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position predictions derived from Pentacam and IOLMaster</w:t>
      </w:r>
      <w:r>
        <w:rPr>
          <w:rFonts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 xml:space="preserve"> after SMILE surgery</w:t>
      </w:r>
      <w:r>
        <w:rPr>
          <w:rFonts w:hint="eastAsia" w:ascii="Arial" w:hAnsi="Arial"/>
          <w:color w:val="000000" w:themeColor="text1"/>
          <w:sz w:val="16"/>
          <w14:textFill>
            <w14:solidFill>
              <w14:schemeClr w14:val="tx1"/>
            </w14:solidFill>
          </w14:textFill>
        </w:rPr>
        <w:t>.</w:t>
      </w:r>
    </w:p>
    <w:tbl>
      <w:tblPr>
        <w:tblStyle w:val="2"/>
        <w:tblW w:w="7680" w:type="dxa"/>
        <w:tblInd w:w="-1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2426"/>
        <w:gridCol w:w="2594"/>
      </w:tblGrid>
      <w:tr w14:paraId="542AD2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</w:trPr>
        <w:tc>
          <w:tcPr>
            <w:tcW w:w="768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3A76D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Pearson </w:t>
            </w:r>
          </w:p>
        </w:tc>
      </w:tr>
      <w:tr w14:paraId="55F9A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tblHeader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73A33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07C83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Pentacam Holladay 1 (ELP)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157A17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IOLMaster Holladay 1 (ELP)</w:t>
            </w:r>
          </w:p>
        </w:tc>
      </w:tr>
      <w:tr w14:paraId="57689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477B3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Pentacam Haigis (d)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10CA9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0.267***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F61D2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0.262***</w:t>
            </w:r>
          </w:p>
        </w:tc>
      </w:tr>
      <w:tr w14:paraId="39968E6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F145B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IOLMaster Haigis (d)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ACC730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0.265***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27E5E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  <w:t>0.255***</w:t>
            </w:r>
          </w:p>
        </w:tc>
      </w:tr>
      <w:tr w14:paraId="426E0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DD340">
            <w:pPr>
              <w:pStyle w:val="5"/>
              <w:snapToGrid w:val="0"/>
              <w:spacing w:line="480" w:lineRule="auto"/>
              <w:ind w:firstLine="0" w:firstLineChars="0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* P &lt; 0.1; ** P &lt; 0.05; *** P &lt; 0.01. Pearson correlation coefficients ranged from 0.255 to 0.267 (all P &lt; 0.01).</w:t>
            </w:r>
          </w:p>
        </w:tc>
      </w:tr>
    </w:tbl>
    <w:p w14:paraId="1BAA053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62BCA"/>
    <w:rsid w:val="13615C11"/>
    <w:rsid w:val="25904C0B"/>
    <w:rsid w:val="3D5048A7"/>
    <w:rsid w:val="4B084710"/>
    <w:rsid w:val="4D2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hint="eastAsia"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正文字体"/>
    <w:basedOn w:val="1"/>
    <w:qFormat/>
    <w:uiPriority w:val="0"/>
    <w:pPr>
      <w:spacing w:line="440" w:lineRule="exact"/>
      <w:ind w:firstLine="200" w:firstLineChars="200"/>
    </w:pPr>
    <w:rPr>
      <w:rFonts w:ascii="Times New Roman" w:hAnsi="Times New Roman" w:eastAsia="宋体"/>
      <w:sz w:val="28"/>
    </w:rPr>
  </w:style>
  <w:style w:type="paragraph" w:customStyle="1" w:styleId="6">
    <w:name w:val="正文小标题"/>
    <w:basedOn w:val="7"/>
    <w:qFormat/>
    <w:uiPriority w:val="0"/>
    <w:pPr>
      <w:jc w:val="left"/>
    </w:pPr>
    <w:rPr>
      <w:rFonts w:eastAsia="宋体"/>
      <w:sz w:val="28"/>
    </w:rPr>
  </w:style>
  <w:style w:type="paragraph" w:customStyle="1" w:styleId="7">
    <w:name w:val="1黑体三号"/>
    <w:basedOn w:val="5"/>
    <w:qFormat/>
    <w:uiPriority w:val="0"/>
    <w:pPr>
      <w:ind w:firstLine="0" w:firstLineChars="0"/>
      <w:jc w:val="center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3888</Characters>
  <Lines>0</Lines>
  <Paragraphs>0</Paragraphs>
  <TotalTime>1</TotalTime>
  <ScaleCrop>false</ScaleCrop>
  <LinksUpToDate>false</LinksUpToDate>
  <CharactersWithSpaces>4250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2026-01-10T10:15:00Z</dcterms:created>
  <dc:creator>86153</dc:creator>
  <cp:lastModifiedBy>孙聪聪</cp:lastModifiedBy>
  <dcterms:modified xsi:type="dcterms:W3CDTF">2026-03-08T10:54:25Z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eyJoZGlkIjoiMzEwNTM5NzYwMDRjMzkwZTVkZjY2ODkwMGIxNGU0OTUiLCJ1c2VySWQiOiIzOTcyNTQzNDIifQ==</vt:lpwstr>
  </property>
  <property fmtid="{D5CDD505-2E9C-101B-9397-08002B2CF9AE}" pid="4" name="ICV">
    <vt:lpwstr>BDD4D7A36A2B4AA48BD890D29DFC1570_12</vt:lpwstr>
  </property>
</Properties>
</file>