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49" w:rsidRDefault="003B7F0A">
      <w:pPr>
        <w:pStyle w:val="Heading1"/>
      </w:pPr>
      <w:bookmarkStart w:id="0" w:name="supplementary-materials"/>
      <w:r>
        <w:t>Supplementary Materials</w:t>
      </w:r>
    </w:p>
    <w:p w:rsidR="00127249" w:rsidRDefault="003B7F0A">
      <w:pPr>
        <w:pStyle w:val="Heading2"/>
      </w:pPr>
      <w:bookmarkStart w:id="1" w:name="Xe0311ab0468fab66c7dbd4e99b02eac45ad8ec5"/>
      <w:r>
        <w:t>Qualitative Study: Environmental Capacity Building in Sports Clubs (Iraq)</w:t>
      </w:r>
    </w:p>
    <w:p w:rsidR="00127249" w:rsidRDefault="00127249">
      <w:r>
        <w:pict>
          <v:rect id="_x0000_i1025" style="width:0;height:1.5pt" o:hralign="center" o:hrstd="t" o:hr="t"/>
        </w:pict>
      </w:r>
    </w:p>
    <w:p w:rsidR="00127249" w:rsidRDefault="003B7F0A">
      <w:pPr>
        <w:pStyle w:val="Heading1"/>
      </w:pPr>
      <w:bookmarkStart w:id="2" w:name="semi-structured-interview-guide"/>
      <w:bookmarkEnd w:id="0"/>
      <w:bookmarkEnd w:id="1"/>
      <w:r>
        <w:t>1. Semi-Structured Interview Guide</w:t>
      </w:r>
    </w:p>
    <w:p w:rsidR="00127249" w:rsidRDefault="003B7F0A">
      <w:pPr>
        <w:pStyle w:val="Heading2"/>
      </w:pPr>
      <w:bookmarkStart w:id="3" w:name="introduction-to-participants"/>
      <w:r>
        <w:t>1.1 Introduction to Participants</w:t>
      </w:r>
    </w:p>
    <w:p w:rsidR="00127249" w:rsidRDefault="003B7F0A">
      <w:pPr>
        <w:pStyle w:val="FirstParagraph"/>
      </w:pPr>
      <w:r>
        <w:t>At the beginning of each interview, participants were informed about:</w:t>
      </w:r>
    </w:p>
    <w:p w:rsidR="00127249" w:rsidRDefault="003B7F0A">
      <w:pPr>
        <w:pStyle w:val="Compact"/>
        <w:numPr>
          <w:ilvl w:val="0"/>
          <w:numId w:val="2"/>
        </w:numPr>
      </w:pPr>
      <w:r>
        <w:t>The aim of the study (exploring environmental capacity building in sports clubs and its role in public health)</w:t>
      </w:r>
    </w:p>
    <w:p w:rsidR="00127249" w:rsidRDefault="003B7F0A">
      <w:pPr>
        <w:pStyle w:val="Compact"/>
        <w:numPr>
          <w:ilvl w:val="0"/>
          <w:numId w:val="2"/>
        </w:numPr>
      </w:pPr>
      <w:r>
        <w:t>Confidentiality and anonymity of responses</w:t>
      </w:r>
    </w:p>
    <w:p w:rsidR="00127249" w:rsidRDefault="003B7F0A">
      <w:pPr>
        <w:pStyle w:val="Compact"/>
        <w:numPr>
          <w:ilvl w:val="0"/>
          <w:numId w:val="2"/>
        </w:numPr>
      </w:pPr>
      <w:r>
        <w:t>Voluntary participation and right to withdraw</w:t>
      </w:r>
    </w:p>
    <w:p w:rsidR="00127249" w:rsidRDefault="003B7F0A">
      <w:pPr>
        <w:pStyle w:val="Compact"/>
        <w:numPr>
          <w:ilvl w:val="0"/>
          <w:numId w:val="2"/>
        </w:numPr>
      </w:pPr>
      <w:r>
        <w:t>Audio recording with consent</w:t>
      </w:r>
    </w:p>
    <w:p w:rsidR="00127249" w:rsidRDefault="00127249">
      <w:r>
        <w:pict>
          <v:rect id="_x0000_i1026" style="width:0;height:1.5pt" o:hralign="center" o:hrstd="t" o:hr="t"/>
        </w:pict>
      </w:r>
    </w:p>
    <w:p w:rsidR="00127249" w:rsidRDefault="003B7F0A">
      <w:pPr>
        <w:pStyle w:val="Heading2"/>
      </w:pPr>
      <w:bookmarkStart w:id="4" w:name="core-interview-questions"/>
      <w:bookmarkEnd w:id="3"/>
      <w:r>
        <w:t>1.2 Core Interview Questi</w:t>
      </w:r>
      <w:r>
        <w:t>ons</w:t>
      </w:r>
    </w:p>
    <w:p w:rsidR="00127249" w:rsidRDefault="003B7F0A">
      <w:pPr>
        <w:pStyle w:val="Heading3"/>
      </w:pPr>
      <w:bookmarkStart w:id="5" w:name="section-a-general-understanding"/>
      <w:r>
        <w:t>Section A: General Understanding</w:t>
      </w:r>
    </w:p>
    <w:p w:rsidR="00127249" w:rsidRDefault="003B7F0A">
      <w:pPr>
        <w:pStyle w:val="Compact"/>
        <w:numPr>
          <w:ilvl w:val="0"/>
          <w:numId w:val="3"/>
        </w:numPr>
      </w:pPr>
      <w:r>
        <w:t>In your opinion, how do you define environmental capacity building in sports clubs?</w:t>
      </w:r>
    </w:p>
    <w:p w:rsidR="00127249" w:rsidRDefault="003B7F0A">
      <w:pPr>
        <w:pStyle w:val="Compact"/>
        <w:numPr>
          <w:ilvl w:val="0"/>
          <w:numId w:val="3"/>
        </w:numPr>
      </w:pPr>
      <w:r>
        <w:t>What role do sports clubs play in promoting public health in your context?</w:t>
      </w:r>
    </w:p>
    <w:p w:rsidR="00127249" w:rsidRDefault="003B7F0A">
      <w:pPr>
        <w:pStyle w:val="Heading3"/>
      </w:pPr>
      <w:bookmarkStart w:id="6" w:name="section-b-infrastructure-and-environment"/>
      <w:bookmarkEnd w:id="5"/>
      <w:r>
        <w:t>Section B: Infrastructure and Environment</w:t>
      </w:r>
    </w:p>
    <w:p w:rsidR="00127249" w:rsidRDefault="003B7F0A">
      <w:pPr>
        <w:pStyle w:val="Compact"/>
        <w:numPr>
          <w:ilvl w:val="0"/>
          <w:numId w:val="4"/>
        </w:numPr>
      </w:pPr>
      <w:r>
        <w:t xml:space="preserve">How do facilities </w:t>
      </w:r>
      <w:r>
        <w:t>and physical infrastructure in sports clubs influence physical activity participation?</w:t>
      </w:r>
    </w:p>
    <w:p w:rsidR="00127249" w:rsidRDefault="003B7F0A">
      <w:pPr>
        <w:pStyle w:val="Compact"/>
        <w:numPr>
          <w:ilvl w:val="0"/>
          <w:numId w:val="4"/>
        </w:numPr>
      </w:pPr>
      <w:r>
        <w:t>What is your assessment of current sports infrastructure (e.g., parks, gyms, walking paths) in your region?</w:t>
      </w:r>
    </w:p>
    <w:p w:rsidR="00127249" w:rsidRDefault="003B7F0A">
      <w:pPr>
        <w:pStyle w:val="Compact"/>
        <w:numPr>
          <w:ilvl w:val="0"/>
          <w:numId w:val="4"/>
        </w:numPr>
      </w:pPr>
      <w:r>
        <w:t>How important are green spaces and safe environments for prom</w:t>
      </w:r>
      <w:r>
        <w:t>oting health in clubs?</w:t>
      </w:r>
    </w:p>
    <w:p w:rsidR="00127249" w:rsidRDefault="003B7F0A">
      <w:pPr>
        <w:pStyle w:val="Heading3"/>
      </w:pPr>
      <w:bookmarkStart w:id="7" w:name="section-c-organizational-capacity"/>
      <w:bookmarkEnd w:id="6"/>
      <w:r>
        <w:t>Section C: Organizational Capacity</w:t>
      </w:r>
    </w:p>
    <w:p w:rsidR="00127249" w:rsidRDefault="003B7F0A">
      <w:pPr>
        <w:pStyle w:val="Compact"/>
        <w:numPr>
          <w:ilvl w:val="0"/>
          <w:numId w:val="5"/>
        </w:numPr>
      </w:pPr>
      <w:r>
        <w:t>What organizational factors influence the effectiveness of health promotion in sports clubs?</w:t>
      </w:r>
    </w:p>
    <w:p w:rsidR="00127249" w:rsidRDefault="003B7F0A">
      <w:pPr>
        <w:pStyle w:val="Compact"/>
        <w:numPr>
          <w:ilvl w:val="0"/>
          <w:numId w:val="5"/>
        </w:numPr>
      </w:pPr>
      <w:r>
        <w:t>How do managers and coaches contribute to environmental capacity building?</w:t>
      </w:r>
    </w:p>
    <w:p w:rsidR="00127249" w:rsidRDefault="003B7F0A">
      <w:pPr>
        <w:pStyle w:val="Heading3"/>
      </w:pPr>
      <w:bookmarkStart w:id="8" w:name="section-d-access-and-motivation"/>
      <w:bookmarkEnd w:id="7"/>
      <w:r>
        <w:t>Section D: Access and Motivati</w:t>
      </w:r>
      <w:r>
        <w:t>on</w:t>
      </w:r>
    </w:p>
    <w:p w:rsidR="00127249" w:rsidRDefault="003B7F0A">
      <w:pPr>
        <w:pStyle w:val="Compact"/>
        <w:numPr>
          <w:ilvl w:val="0"/>
          <w:numId w:val="6"/>
        </w:numPr>
      </w:pPr>
      <w:r>
        <w:t>What barriers limit participation in sports and physical activity in your community?</w:t>
      </w:r>
    </w:p>
    <w:p w:rsidR="00127249" w:rsidRDefault="003B7F0A">
      <w:pPr>
        <w:pStyle w:val="Compact"/>
        <w:numPr>
          <w:ilvl w:val="0"/>
          <w:numId w:val="6"/>
        </w:numPr>
      </w:pPr>
      <w:r>
        <w:t>What strategies can improve motivation and access to sports facilities?</w:t>
      </w:r>
    </w:p>
    <w:p w:rsidR="00127249" w:rsidRDefault="003B7F0A">
      <w:pPr>
        <w:pStyle w:val="Compact"/>
        <w:numPr>
          <w:ilvl w:val="0"/>
          <w:numId w:val="6"/>
        </w:numPr>
      </w:pPr>
      <w:r>
        <w:lastRenderedPageBreak/>
        <w:t>How do cultural and economic factors affect participation?</w:t>
      </w:r>
    </w:p>
    <w:p w:rsidR="00127249" w:rsidRDefault="003B7F0A">
      <w:pPr>
        <w:pStyle w:val="Heading3"/>
      </w:pPr>
      <w:bookmarkStart w:id="9" w:name="Xc1e44cdeee20d9375c818a328137862fc78b3c6"/>
      <w:bookmarkEnd w:id="8"/>
      <w:r>
        <w:t>Section E: Policy and Institutional Support</w:t>
      </w:r>
    </w:p>
    <w:p w:rsidR="00127249" w:rsidRDefault="003B7F0A">
      <w:pPr>
        <w:pStyle w:val="Compact"/>
        <w:numPr>
          <w:ilvl w:val="0"/>
          <w:numId w:val="7"/>
        </w:numPr>
      </w:pPr>
      <w:r>
        <w:t>What is the role of government and sports federations in supporting health-promoting sports clubs?</w:t>
      </w:r>
    </w:p>
    <w:p w:rsidR="00127249" w:rsidRDefault="003B7F0A">
      <w:pPr>
        <w:pStyle w:val="Compact"/>
        <w:numPr>
          <w:ilvl w:val="0"/>
          <w:numId w:val="7"/>
        </w:numPr>
      </w:pPr>
      <w:r>
        <w:t>How can national or local policies improve environmental capacity building?</w:t>
      </w:r>
    </w:p>
    <w:p w:rsidR="00127249" w:rsidRDefault="003B7F0A">
      <w:pPr>
        <w:pStyle w:val="Heading3"/>
      </w:pPr>
      <w:bookmarkStart w:id="10" w:name="section-f-suggestions-and-improvements"/>
      <w:bookmarkEnd w:id="9"/>
      <w:r>
        <w:t>Section F: Suggestions and Improvemen</w:t>
      </w:r>
      <w:r>
        <w:t>ts</w:t>
      </w:r>
    </w:p>
    <w:p w:rsidR="00127249" w:rsidRDefault="003B7F0A">
      <w:pPr>
        <w:pStyle w:val="Compact"/>
        <w:numPr>
          <w:ilvl w:val="0"/>
          <w:numId w:val="8"/>
        </w:numPr>
      </w:pPr>
      <w:r>
        <w:t>What recommendations do you have to improve sports clubs as health-promoting environments?</w:t>
      </w:r>
    </w:p>
    <w:p w:rsidR="00127249" w:rsidRDefault="00127249">
      <w:r>
        <w:pict>
          <v:rect id="_x0000_i1027" style="width:0;height:1.5pt" o:hralign="center" o:hrstd="t" o:hr="t"/>
        </w:pict>
      </w:r>
    </w:p>
    <w:p w:rsidR="00127249" w:rsidRDefault="003B7F0A">
      <w:pPr>
        <w:pStyle w:val="Heading2"/>
      </w:pPr>
      <w:bookmarkStart w:id="11" w:name="closing-statement"/>
      <w:bookmarkEnd w:id="4"/>
      <w:bookmarkEnd w:id="10"/>
      <w:r>
        <w:t>1.3 Closing Statement</w:t>
      </w:r>
    </w:p>
    <w:p w:rsidR="00127249" w:rsidRDefault="003B7F0A">
      <w:pPr>
        <w:pStyle w:val="FirstParagraph"/>
      </w:pPr>
      <w:r>
        <w:t>Participants were thanked for their time and contributions. Contact information for follow-up clarification was optionally collected.</w:t>
      </w:r>
    </w:p>
    <w:p w:rsidR="00127249" w:rsidRDefault="00127249">
      <w:r>
        <w:pict>
          <v:rect id="_x0000_i1028" style="width:0;height:1.5pt" o:hralign="center" o:hrstd="t" o:hr="t"/>
        </w:pict>
      </w:r>
    </w:p>
    <w:p w:rsidR="00127249" w:rsidRDefault="003B7F0A">
      <w:pPr>
        <w:pStyle w:val="Heading1"/>
      </w:pPr>
      <w:bookmarkStart w:id="12" w:name="X4def1db2bc28c2a5e27f3dea30008b28e2beb2c"/>
      <w:bookmarkEnd w:id="2"/>
      <w:bookmarkEnd w:id="11"/>
      <w:r>
        <w:t>2.</w:t>
      </w:r>
      <w:r>
        <w:t xml:space="preserve"> Coding Framework and Thematic Analysis Structure</w:t>
      </w:r>
    </w:p>
    <w:p w:rsidR="00127249" w:rsidRDefault="003B7F0A">
      <w:pPr>
        <w:pStyle w:val="Heading2"/>
      </w:pPr>
      <w:bookmarkStart w:id="13" w:name="analytical-approach"/>
      <w:r>
        <w:t>2.1 Analytical Approach</w:t>
      </w:r>
    </w:p>
    <w:p w:rsidR="00127249" w:rsidRDefault="003B7F0A">
      <w:pPr>
        <w:pStyle w:val="FirstParagraph"/>
      </w:pPr>
      <w:r>
        <w:t>Data were analyzed using thematic analysis following Braun and Clarke’s six-step approach. Coding was conducted manually and reviewed by two researchers to ensure consistency.</w:t>
      </w:r>
    </w:p>
    <w:p w:rsidR="00127249" w:rsidRDefault="00127249">
      <w:r>
        <w:pict>
          <v:rect id="_x0000_i1029" style="width:0;height:1.5pt" o:hralign="center" o:hrstd="t" o:hr="t"/>
        </w:pict>
      </w:r>
    </w:p>
    <w:p w:rsidR="00127249" w:rsidRDefault="003B7F0A">
      <w:pPr>
        <w:pStyle w:val="Heading2"/>
      </w:pPr>
      <w:bookmarkStart w:id="14" w:name="final-themes-and-sub-themes"/>
      <w:bookmarkEnd w:id="13"/>
      <w:r>
        <w:t xml:space="preserve">2.2 </w:t>
      </w:r>
      <w:r>
        <w:t>Final Themes and Sub-Themes</w:t>
      </w:r>
    </w:p>
    <w:p w:rsidR="00127249" w:rsidRDefault="003B7F0A">
      <w:pPr>
        <w:pStyle w:val="Heading3"/>
      </w:pPr>
      <w:bookmarkStart w:id="15" w:name="theme-1-active-environment-design"/>
      <w:r>
        <w:t>Theme 1: Active Environment Design</w:t>
      </w:r>
    </w:p>
    <w:p w:rsidR="00127249" w:rsidRDefault="003B7F0A">
      <w:pPr>
        <w:pStyle w:val="FirstParagraph"/>
      </w:pPr>
      <w:r>
        <w:t>Sub-themes:</w:t>
      </w:r>
    </w:p>
    <w:p w:rsidR="00127249" w:rsidRDefault="003B7F0A">
      <w:pPr>
        <w:pStyle w:val="Compact"/>
        <w:numPr>
          <w:ilvl w:val="0"/>
          <w:numId w:val="9"/>
        </w:numPr>
      </w:pPr>
      <w:r>
        <w:t>Accessibility and connectivity of active transport routes</w:t>
      </w:r>
    </w:p>
    <w:p w:rsidR="00127249" w:rsidRDefault="003B7F0A">
      <w:pPr>
        <w:pStyle w:val="Compact"/>
        <w:numPr>
          <w:ilvl w:val="0"/>
          <w:numId w:val="9"/>
        </w:numPr>
      </w:pPr>
      <w:r>
        <w:t>Quality and availability of green spaces</w:t>
      </w:r>
    </w:p>
    <w:p w:rsidR="00127249" w:rsidRDefault="003B7F0A">
      <w:pPr>
        <w:pStyle w:val="Compact"/>
        <w:numPr>
          <w:ilvl w:val="0"/>
          <w:numId w:val="9"/>
        </w:numPr>
      </w:pPr>
      <w:r>
        <w:t>Supportive infrastructure (lighting, benches, signage, public equipment)</w:t>
      </w:r>
    </w:p>
    <w:p w:rsidR="00127249" w:rsidRDefault="003B7F0A">
      <w:pPr>
        <w:pStyle w:val="FirstParagraph"/>
      </w:pPr>
      <w:r>
        <w:t>C</w:t>
      </w:r>
      <w:r>
        <w:t>odes:</w:t>
      </w:r>
    </w:p>
    <w:p w:rsidR="00127249" w:rsidRDefault="003B7F0A">
      <w:pPr>
        <w:pStyle w:val="Compact"/>
        <w:numPr>
          <w:ilvl w:val="0"/>
          <w:numId w:val="10"/>
        </w:numPr>
      </w:pPr>
      <w:r>
        <w:t>pedestrian and cycling network availability</w:t>
      </w:r>
    </w:p>
    <w:p w:rsidR="00127249" w:rsidRDefault="003B7F0A">
      <w:pPr>
        <w:pStyle w:val="Compact"/>
        <w:numPr>
          <w:ilvl w:val="0"/>
          <w:numId w:val="10"/>
        </w:numPr>
      </w:pPr>
      <w:r>
        <w:t>safe walking paths</w:t>
      </w:r>
    </w:p>
    <w:p w:rsidR="00127249" w:rsidRDefault="003B7F0A">
      <w:pPr>
        <w:pStyle w:val="Compact"/>
        <w:numPr>
          <w:ilvl w:val="0"/>
          <w:numId w:val="10"/>
        </w:numPr>
      </w:pPr>
      <w:r>
        <w:t>park accessibility</w:t>
      </w:r>
    </w:p>
    <w:p w:rsidR="00127249" w:rsidRDefault="003B7F0A">
      <w:pPr>
        <w:pStyle w:val="Compact"/>
        <w:numPr>
          <w:ilvl w:val="0"/>
          <w:numId w:val="10"/>
        </w:numPr>
      </w:pPr>
      <w:r>
        <w:t>lighting in sports areas</w:t>
      </w:r>
    </w:p>
    <w:p w:rsidR="00127249" w:rsidRDefault="003B7F0A">
      <w:pPr>
        <w:pStyle w:val="Compact"/>
        <w:numPr>
          <w:ilvl w:val="0"/>
          <w:numId w:val="10"/>
        </w:numPr>
      </w:pPr>
      <w:r>
        <w:lastRenderedPageBreak/>
        <w:t>public exercise equipment</w:t>
      </w:r>
    </w:p>
    <w:p w:rsidR="00127249" w:rsidRDefault="00127249">
      <w:r>
        <w:pict>
          <v:rect id="_x0000_i1030" style="width:0;height:1.5pt" o:hralign="center" o:hrstd="t" o:hr="t"/>
        </w:pict>
      </w:r>
    </w:p>
    <w:p w:rsidR="00127249" w:rsidRDefault="003B7F0A">
      <w:pPr>
        <w:pStyle w:val="Heading3"/>
      </w:pPr>
      <w:bookmarkStart w:id="16" w:name="Xaea3f7db30ebaa78cac49a2071bc0380dbc6ea4"/>
      <w:bookmarkEnd w:id="15"/>
      <w:r>
        <w:t>Theme 2: Facilitating Access and Motivation</w:t>
      </w:r>
    </w:p>
    <w:p w:rsidR="00127249" w:rsidRDefault="003B7F0A">
      <w:pPr>
        <w:pStyle w:val="FirstParagraph"/>
      </w:pPr>
      <w:r>
        <w:t>Sub-themes:</w:t>
      </w:r>
    </w:p>
    <w:p w:rsidR="00127249" w:rsidRDefault="003B7F0A">
      <w:pPr>
        <w:pStyle w:val="Compact"/>
        <w:numPr>
          <w:ilvl w:val="0"/>
          <w:numId w:val="11"/>
        </w:numPr>
      </w:pPr>
      <w:r>
        <w:t>Financial and cultural barriers</w:t>
      </w:r>
    </w:p>
    <w:p w:rsidR="00127249" w:rsidRDefault="003B7F0A">
      <w:pPr>
        <w:pStyle w:val="Compact"/>
        <w:numPr>
          <w:ilvl w:val="0"/>
          <w:numId w:val="11"/>
        </w:numPr>
      </w:pPr>
      <w:r>
        <w:t>Incentive-based participation strategies</w:t>
      </w:r>
    </w:p>
    <w:p w:rsidR="00127249" w:rsidRDefault="003B7F0A">
      <w:pPr>
        <w:pStyle w:val="Compact"/>
        <w:numPr>
          <w:ilvl w:val="0"/>
          <w:numId w:val="11"/>
        </w:numPr>
      </w:pPr>
      <w:r>
        <w:t>Awareness and educational campaigns</w:t>
      </w:r>
    </w:p>
    <w:p w:rsidR="00127249" w:rsidRDefault="003B7F0A">
      <w:pPr>
        <w:pStyle w:val="Compact"/>
        <w:numPr>
          <w:ilvl w:val="0"/>
          <w:numId w:val="11"/>
        </w:numPr>
      </w:pPr>
      <w:r>
        <w:t>Social and community engagement</w:t>
      </w:r>
    </w:p>
    <w:p w:rsidR="00127249" w:rsidRDefault="003B7F0A">
      <w:pPr>
        <w:pStyle w:val="FirstParagraph"/>
      </w:pPr>
      <w:r>
        <w:t>C</w:t>
      </w:r>
      <w:r>
        <w:t>odes:</w:t>
      </w:r>
    </w:p>
    <w:p w:rsidR="00127249" w:rsidRDefault="003B7F0A">
      <w:pPr>
        <w:pStyle w:val="Compact"/>
        <w:numPr>
          <w:ilvl w:val="0"/>
          <w:numId w:val="12"/>
        </w:numPr>
      </w:pPr>
      <w:r>
        <w:t>cost of access to facilities</w:t>
      </w:r>
    </w:p>
    <w:p w:rsidR="00127249" w:rsidRDefault="003B7F0A">
      <w:pPr>
        <w:pStyle w:val="Compact"/>
        <w:numPr>
          <w:ilvl w:val="0"/>
          <w:numId w:val="12"/>
        </w:numPr>
      </w:pPr>
      <w:r>
        <w:t>cultural constraints on participation</w:t>
      </w:r>
    </w:p>
    <w:p w:rsidR="00127249" w:rsidRDefault="003B7F0A">
      <w:pPr>
        <w:pStyle w:val="Compact"/>
        <w:numPr>
          <w:ilvl w:val="0"/>
          <w:numId w:val="12"/>
        </w:numPr>
      </w:pPr>
      <w:r>
        <w:t>health awareness programs</w:t>
      </w:r>
    </w:p>
    <w:p w:rsidR="00127249" w:rsidRDefault="003B7F0A">
      <w:pPr>
        <w:pStyle w:val="Compact"/>
        <w:numPr>
          <w:ilvl w:val="0"/>
          <w:numId w:val="12"/>
        </w:numPr>
      </w:pPr>
      <w:r>
        <w:t>group challenges</w:t>
      </w:r>
    </w:p>
    <w:p w:rsidR="00127249" w:rsidRDefault="003B7F0A">
      <w:pPr>
        <w:pStyle w:val="Compact"/>
        <w:numPr>
          <w:ilvl w:val="0"/>
          <w:numId w:val="12"/>
        </w:numPr>
      </w:pPr>
      <w:r>
        <w:t>subsidies and discount</w:t>
      </w:r>
      <w:r>
        <w:t>s</w:t>
      </w:r>
    </w:p>
    <w:p w:rsidR="00127249" w:rsidRDefault="00127249">
      <w:r>
        <w:pict>
          <v:rect id="_x0000_i1031" style="width:0;height:1.5pt" o:hralign="center" o:hrstd="t" o:hr="t"/>
        </w:pict>
      </w:r>
    </w:p>
    <w:p w:rsidR="00127249" w:rsidRDefault="003B7F0A">
      <w:pPr>
        <w:pStyle w:val="Heading3"/>
      </w:pPr>
      <w:bookmarkStart w:id="17" w:name="theme-3-institutional-and-policy-support"/>
      <w:bookmarkEnd w:id="16"/>
      <w:r>
        <w:t>Theme 3: Institutional and Policy Support</w:t>
      </w:r>
    </w:p>
    <w:p w:rsidR="00127249" w:rsidRDefault="003B7F0A">
      <w:pPr>
        <w:pStyle w:val="FirstParagraph"/>
      </w:pPr>
      <w:r>
        <w:t>Sub-themes:</w:t>
      </w:r>
    </w:p>
    <w:p w:rsidR="00127249" w:rsidRDefault="003B7F0A">
      <w:pPr>
        <w:pStyle w:val="Compact"/>
        <w:numPr>
          <w:ilvl w:val="0"/>
          <w:numId w:val="13"/>
        </w:numPr>
      </w:pPr>
      <w:r>
        <w:t>National and local sports policies</w:t>
      </w:r>
    </w:p>
    <w:p w:rsidR="00127249" w:rsidRDefault="003B7F0A">
      <w:pPr>
        <w:pStyle w:val="Compact"/>
        <w:numPr>
          <w:ilvl w:val="0"/>
          <w:numId w:val="13"/>
        </w:numPr>
      </w:pPr>
      <w:r>
        <w:t>Inter-organizational collaboration</w:t>
      </w:r>
    </w:p>
    <w:p w:rsidR="00127249" w:rsidRDefault="003B7F0A">
      <w:pPr>
        <w:pStyle w:val="Compact"/>
        <w:numPr>
          <w:ilvl w:val="0"/>
          <w:numId w:val="13"/>
        </w:numPr>
      </w:pPr>
      <w:r>
        <w:t>Infrastructure investment and budgeting</w:t>
      </w:r>
    </w:p>
    <w:p w:rsidR="00127249" w:rsidRDefault="003B7F0A">
      <w:pPr>
        <w:pStyle w:val="Compact"/>
        <w:numPr>
          <w:ilvl w:val="0"/>
          <w:numId w:val="13"/>
        </w:numPr>
      </w:pPr>
      <w:r>
        <w:t>Security and governance of sports environments</w:t>
      </w:r>
    </w:p>
    <w:p w:rsidR="00127249" w:rsidRDefault="003B7F0A">
      <w:pPr>
        <w:pStyle w:val="FirstParagraph"/>
      </w:pPr>
      <w:r>
        <w:t>C</w:t>
      </w:r>
      <w:r>
        <w:t>odes:</w:t>
      </w:r>
    </w:p>
    <w:p w:rsidR="00127249" w:rsidRDefault="003B7F0A">
      <w:pPr>
        <w:pStyle w:val="Compact"/>
        <w:numPr>
          <w:ilvl w:val="0"/>
          <w:numId w:val="14"/>
        </w:numPr>
      </w:pPr>
      <w:r>
        <w:t>government support for spo</w:t>
      </w:r>
      <w:r>
        <w:t>rts clubs</w:t>
      </w:r>
    </w:p>
    <w:p w:rsidR="00127249" w:rsidRDefault="003B7F0A">
      <w:pPr>
        <w:pStyle w:val="Compact"/>
        <w:numPr>
          <w:ilvl w:val="0"/>
          <w:numId w:val="14"/>
        </w:numPr>
      </w:pPr>
      <w:r>
        <w:t>inter-ministerial cooperation</w:t>
      </w:r>
    </w:p>
    <w:p w:rsidR="00127249" w:rsidRDefault="003B7F0A">
      <w:pPr>
        <w:pStyle w:val="Compact"/>
        <w:numPr>
          <w:ilvl w:val="0"/>
          <w:numId w:val="14"/>
        </w:numPr>
      </w:pPr>
      <w:r>
        <w:t>funding allocation for facilities</w:t>
      </w:r>
    </w:p>
    <w:p w:rsidR="00127249" w:rsidRDefault="003B7F0A">
      <w:pPr>
        <w:pStyle w:val="Compact"/>
        <w:numPr>
          <w:ilvl w:val="0"/>
          <w:numId w:val="14"/>
        </w:numPr>
      </w:pPr>
      <w:r>
        <w:t>sports club governance</w:t>
      </w:r>
    </w:p>
    <w:p w:rsidR="00127249" w:rsidRDefault="003B7F0A">
      <w:pPr>
        <w:pStyle w:val="Compact"/>
        <w:numPr>
          <w:ilvl w:val="0"/>
          <w:numId w:val="14"/>
        </w:numPr>
      </w:pPr>
      <w:r>
        <w:t>public-private partnerships</w:t>
      </w:r>
    </w:p>
    <w:p w:rsidR="00127249" w:rsidRDefault="00127249">
      <w:r>
        <w:pict>
          <v:rect id="_x0000_i1032" style="width:0;height:1.5pt" o:hralign="center" o:hrstd="t" o:hr="t"/>
        </w:pict>
      </w:r>
    </w:p>
    <w:p w:rsidR="00127249" w:rsidRDefault="003B7F0A">
      <w:pPr>
        <w:pStyle w:val="Heading2"/>
      </w:pPr>
      <w:bookmarkStart w:id="18" w:name="example-of-code-development-process"/>
      <w:bookmarkEnd w:id="14"/>
      <w:bookmarkEnd w:id="17"/>
      <w:r>
        <w:t>2.3 Example of Code Development Process</w:t>
      </w:r>
    </w:p>
    <w:p w:rsidR="00127249" w:rsidRDefault="003B7F0A">
      <w:pPr>
        <w:pStyle w:val="FirstParagraph"/>
      </w:pPr>
      <w:r>
        <w:t xml:space="preserve">Raw statement: &gt; </w:t>
      </w:r>
      <w:r>
        <w:t>“Financial, social, and cultural barriers reduce participation in physical activity.”</w:t>
      </w:r>
    </w:p>
    <w:p w:rsidR="00127249" w:rsidRDefault="003B7F0A">
      <w:pPr>
        <w:pStyle w:val="BodyText"/>
      </w:pPr>
      <w:r>
        <w:t>Initial codes:</w:t>
      </w:r>
    </w:p>
    <w:p w:rsidR="00127249" w:rsidRDefault="003B7F0A">
      <w:pPr>
        <w:pStyle w:val="Compact"/>
        <w:numPr>
          <w:ilvl w:val="0"/>
          <w:numId w:val="15"/>
        </w:numPr>
      </w:pPr>
      <w:r>
        <w:t>financial barriers</w:t>
      </w:r>
    </w:p>
    <w:p w:rsidR="00127249" w:rsidRDefault="003B7F0A">
      <w:pPr>
        <w:pStyle w:val="Compact"/>
        <w:numPr>
          <w:ilvl w:val="0"/>
          <w:numId w:val="15"/>
        </w:numPr>
      </w:pPr>
      <w:r>
        <w:lastRenderedPageBreak/>
        <w:t>social barriers</w:t>
      </w:r>
    </w:p>
    <w:p w:rsidR="00127249" w:rsidRDefault="003B7F0A">
      <w:pPr>
        <w:pStyle w:val="Compact"/>
        <w:numPr>
          <w:ilvl w:val="0"/>
          <w:numId w:val="15"/>
        </w:numPr>
      </w:pPr>
      <w:r>
        <w:t>cultural barriers</w:t>
      </w:r>
    </w:p>
    <w:p w:rsidR="00127249" w:rsidRDefault="003B7F0A">
      <w:pPr>
        <w:pStyle w:val="Compact"/>
        <w:numPr>
          <w:ilvl w:val="0"/>
          <w:numId w:val="15"/>
        </w:numPr>
      </w:pPr>
      <w:r>
        <w:t>low awareness of physical activity benefits</w:t>
      </w:r>
    </w:p>
    <w:p w:rsidR="00127249" w:rsidRDefault="003B7F0A">
      <w:pPr>
        <w:pStyle w:val="FirstParagraph"/>
      </w:pPr>
      <w:r>
        <w:t>Sub-theme:</w:t>
      </w:r>
    </w:p>
    <w:p w:rsidR="00127249" w:rsidRDefault="003B7F0A">
      <w:pPr>
        <w:pStyle w:val="Compact"/>
        <w:numPr>
          <w:ilvl w:val="0"/>
          <w:numId w:val="16"/>
        </w:numPr>
      </w:pPr>
      <w:r>
        <w:t>barriers to access and participation</w:t>
      </w:r>
    </w:p>
    <w:p w:rsidR="00127249" w:rsidRDefault="003B7F0A">
      <w:pPr>
        <w:pStyle w:val="FirstParagraph"/>
      </w:pPr>
      <w:r>
        <w:t>Theme:</w:t>
      </w:r>
    </w:p>
    <w:p w:rsidR="00127249" w:rsidRDefault="003B7F0A">
      <w:pPr>
        <w:pStyle w:val="Compact"/>
        <w:numPr>
          <w:ilvl w:val="0"/>
          <w:numId w:val="17"/>
        </w:numPr>
      </w:pPr>
      <w:r>
        <w:t>Fac</w:t>
      </w:r>
      <w:r>
        <w:t>ilitating Access and Motivation</w:t>
      </w:r>
    </w:p>
    <w:p w:rsidR="00127249" w:rsidRDefault="00127249">
      <w:r>
        <w:pict>
          <v:rect id="_x0000_i1033" style="width:0;height:1.5pt" o:hralign="center" o:hrstd="t" o:hr="t"/>
        </w:pict>
      </w:r>
    </w:p>
    <w:p w:rsidR="00127249" w:rsidRDefault="003B7F0A">
      <w:pPr>
        <w:pStyle w:val="Heading2"/>
      </w:pPr>
      <w:bookmarkStart w:id="19" w:name="trustworthiness-measures"/>
      <w:bookmarkEnd w:id="18"/>
      <w:r>
        <w:t>2.4 Trustworthiness Measures</w:t>
      </w:r>
    </w:p>
    <w:p w:rsidR="00127249" w:rsidRDefault="003B7F0A">
      <w:pPr>
        <w:pStyle w:val="Compact"/>
        <w:numPr>
          <w:ilvl w:val="0"/>
          <w:numId w:val="18"/>
        </w:numPr>
      </w:pPr>
      <w:r>
        <w:t>Credibility: triangulation and member checking</w:t>
      </w:r>
    </w:p>
    <w:p w:rsidR="00127249" w:rsidRDefault="003B7F0A">
      <w:pPr>
        <w:pStyle w:val="Compact"/>
        <w:numPr>
          <w:ilvl w:val="0"/>
          <w:numId w:val="18"/>
        </w:numPr>
      </w:pPr>
      <w:r>
        <w:t>Dependability: audit trail and peer review of coding</w:t>
      </w:r>
    </w:p>
    <w:p w:rsidR="00127249" w:rsidRDefault="003B7F0A">
      <w:pPr>
        <w:pStyle w:val="Compact"/>
        <w:numPr>
          <w:ilvl w:val="0"/>
          <w:numId w:val="18"/>
        </w:numPr>
      </w:pPr>
      <w:r>
        <w:t>Confirmability: use of raw excerpts and structured coding matrix</w:t>
      </w:r>
    </w:p>
    <w:p w:rsidR="00127249" w:rsidRDefault="003B7F0A">
      <w:pPr>
        <w:pStyle w:val="Compact"/>
        <w:numPr>
          <w:ilvl w:val="0"/>
          <w:numId w:val="18"/>
        </w:numPr>
      </w:pPr>
      <w:r>
        <w:t>Transferability: thick description of context and participants</w:t>
      </w:r>
    </w:p>
    <w:p w:rsidR="00127249" w:rsidRDefault="00127249">
      <w:r>
        <w:pict>
          <v:rect id="_x0000_i1034" style="width:0;height:1.5pt" o:hralign="center" o:hrstd="t" o:hr="t"/>
        </w:pict>
      </w:r>
    </w:p>
    <w:p w:rsidR="00127249" w:rsidRDefault="003B7F0A">
      <w:pPr>
        <w:pStyle w:val="Heading1"/>
      </w:pPr>
      <w:bookmarkStart w:id="20" w:name="notes-for-peer-review"/>
      <w:bookmarkEnd w:id="12"/>
      <w:bookmarkEnd w:id="19"/>
      <w:r>
        <w:t>3. Notes for Peer Review</w:t>
      </w:r>
    </w:p>
    <w:p w:rsidR="00127249" w:rsidRDefault="003B7F0A">
      <w:pPr>
        <w:pStyle w:val="Compact"/>
        <w:numPr>
          <w:ilvl w:val="0"/>
          <w:numId w:val="19"/>
        </w:numPr>
      </w:pPr>
      <w:r>
        <w:t>All participant identifiers have been anonymized (P1–P20)</w:t>
      </w:r>
    </w:p>
    <w:p w:rsidR="00127249" w:rsidRDefault="003B7F0A">
      <w:pPr>
        <w:pStyle w:val="Compact"/>
        <w:numPr>
          <w:ilvl w:val="0"/>
          <w:numId w:val="19"/>
        </w:numPr>
      </w:pPr>
      <w:r>
        <w:t>Data reflect semi-structured interviews conducted in Iraq (2025–2026)</w:t>
      </w:r>
    </w:p>
    <w:p w:rsidR="00127249" w:rsidRDefault="003B7F0A">
      <w:pPr>
        <w:pStyle w:val="Compact"/>
        <w:numPr>
          <w:ilvl w:val="0"/>
          <w:numId w:val="19"/>
        </w:numPr>
      </w:pPr>
      <w:r>
        <w:t>Analysis followed established qualitat</w:t>
      </w:r>
      <w:r>
        <w:t>ive research standards (COREQ guidelines).</w:t>
      </w:r>
      <w:bookmarkEnd w:id="20"/>
    </w:p>
    <w:sectPr w:rsidR="00127249" w:rsidSect="0012724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E5D26DC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254639D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0A99411"/>
    <w:multiLevelType w:val="multilevel"/>
    <w:tmpl w:val="F3F465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0A99413"/>
    <w:multiLevelType w:val="multilevel"/>
    <w:tmpl w:val="E3DE81C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>
    <w:nsid w:val="00A99416"/>
    <w:multiLevelType w:val="multilevel"/>
    <w:tmpl w:val="B8CCE4F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5">
    <w:nsid w:val="00A99418"/>
    <w:multiLevelType w:val="multilevel"/>
    <w:tmpl w:val="0D860D3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6">
    <w:nsid w:val="0A994111"/>
    <w:multiLevelType w:val="multilevel"/>
    <w:tmpl w:val="6C94DCDC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7">
    <w:nsid w:val="0A994113"/>
    <w:multiLevelType w:val="multilevel"/>
    <w:tmpl w:val="6D8C347A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6">
    <w:abstractNumId w:val="5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7">
    <w:abstractNumId w:val="6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8">
    <w:abstractNumId w:val="7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/>
  <w:rsids>
    <w:rsidRoot w:val="00127249"/>
    <w:rsid w:val="00127249"/>
    <w:rsid w:val="003B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127249"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27249"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  <w:rsid w:val="00127249"/>
  </w:style>
  <w:style w:type="paragraph" w:customStyle="1" w:styleId="Compact">
    <w:name w:val="Compact"/>
    <w:basedOn w:val="BodyText"/>
    <w:qFormat/>
    <w:rsid w:val="00127249"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rsid w:val="00127249"/>
    <w:pPr>
      <w:keepNext/>
      <w:keepLines/>
      <w:jc w:val="center"/>
    </w:pPr>
  </w:style>
  <w:style w:type="paragraph" w:styleId="Date">
    <w:name w:val="Date"/>
    <w:next w:val="BodyText"/>
    <w:qFormat/>
    <w:rsid w:val="00127249"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rsid w:val="00127249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127249"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rsid w:val="00127249"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rsid w:val="00127249"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127249"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127249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1272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127249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127249"/>
  </w:style>
  <w:style w:type="paragraph" w:styleId="Caption">
    <w:name w:val="caption"/>
    <w:basedOn w:val="Normal"/>
    <w:link w:val="BodyTextChar"/>
    <w:rsid w:val="00127249"/>
    <w:pPr>
      <w:spacing w:after="120"/>
    </w:pPr>
    <w:rPr>
      <w:i/>
    </w:rPr>
  </w:style>
  <w:style w:type="paragraph" w:customStyle="1" w:styleId="TableCaption">
    <w:name w:val="Table Caption"/>
    <w:basedOn w:val="Caption"/>
    <w:rsid w:val="00127249"/>
    <w:pPr>
      <w:keepNext/>
    </w:pPr>
  </w:style>
  <w:style w:type="paragraph" w:customStyle="1" w:styleId="ImageCaption">
    <w:name w:val="Image Caption"/>
    <w:basedOn w:val="Caption"/>
    <w:rsid w:val="00127249"/>
  </w:style>
  <w:style w:type="paragraph" w:customStyle="1" w:styleId="Figure">
    <w:name w:val="Figure"/>
    <w:basedOn w:val="Normal"/>
    <w:rsid w:val="00127249"/>
  </w:style>
  <w:style w:type="paragraph" w:customStyle="1" w:styleId="CaptionedFigure">
    <w:name w:val="Captioned Figure"/>
    <w:basedOn w:val="Figure"/>
    <w:rsid w:val="00127249"/>
    <w:pPr>
      <w:keepNext/>
    </w:pPr>
  </w:style>
  <w:style w:type="character" w:customStyle="1" w:styleId="BodyTextChar">
    <w:name w:val="Body Text Char"/>
    <w:basedOn w:val="DefaultParagraphFont"/>
    <w:link w:val="Caption"/>
    <w:rsid w:val="00127249"/>
  </w:style>
  <w:style w:type="character" w:customStyle="1" w:styleId="VerbatimChar">
    <w:name w:val="Verbatim Char"/>
    <w:basedOn w:val="BodyTextChar"/>
    <w:link w:val="SourceCode"/>
    <w:rsid w:val="00127249"/>
    <w:rPr>
      <w:rFonts w:ascii="Consolas" w:hAnsi="Consolas"/>
      <w:sz w:val="22"/>
    </w:rPr>
  </w:style>
  <w:style w:type="character" w:customStyle="1" w:styleId="SectionNumber">
    <w:name w:val="Section Number"/>
    <w:basedOn w:val="BodyTextChar"/>
    <w:rsid w:val="00127249"/>
  </w:style>
  <w:style w:type="character" w:styleId="FootnoteReference">
    <w:name w:val="footnote reference"/>
    <w:basedOn w:val="BodyTextChar"/>
    <w:rsid w:val="00127249"/>
    <w:rPr>
      <w:vertAlign w:val="superscript"/>
    </w:rPr>
  </w:style>
  <w:style w:type="character" w:styleId="Hyperlink">
    <w:name w:val="Hyperlink"/>
    <w:basedOn w:val="BodyTextChar"/>
    <w:rsid w:val="00127249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rsid w:val="00127249"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rsid w:val="00127249"/>
    <w:pPr>
      <w:wordWrap w:val="0"/>
    </w:pPr>
  </w:style>
  <w:style w:type="character" w:customStyle="1" w:styleId="KeywordTok">
    <w:name w:val="KeywordTok"/>
    <w:basedOn w:val="VerbatimChar"/>
    <w:rsid w:val="00127249"/>
    <w:rPr>
      <w:b/>
      <w:color w:val="007020"/>
    </w:rPr>
  </w:style>
  <w:style w:type="character" w:customStyle="1" w:styleId="DataTypeTok">
    <w:name w:val="DataTypeTok"/>
    <w:basedOn w:val="VerbatimChar"/>
    <w:rsid w:val="00127249"/>
    <w:rPr>
      <w:color w:val="902000"/>
    </w:rPr>
  </w:style>
  <w:style w:type="character" w:customStyle="1" w:styleId="DecValTok">
    <w:name w:val="DecValTok"/>
    <w:basedOn w:val="VerbatimChar"/>
    <w:rsid w:val="00127249"/>
    <w:rPr>
      <w:color w:val="40A070"/>
    </w:rPr>
  </w:style>
  <w:style w:type="character" w:customStyle="1" w:styleId="BaseNTok">
    <w:name w:val="BaseNTok"/>
    <w:basedOn w:val="VerbatimChar"/>
    <w:rsid w:val="00127249"/>
    <w:rPr>
      <w:color w:val="40A070"/>
    </w:rPr>
  </w:style>
  <w:style w:type="character" w:customStyle="1" w:styleId="FloatTok">
    <w:name w:val="FloatTok"/>
    <w:basedOn w:val="VerbatimChar"/>
    <w:rsid w:val="00127249"/>
    <w:rPr>
      <w:color w:val="40A070"/>
    </w:rPr>
  </w:style>
  <w:style w:type="character" w:customStyle="1" w:styleId="ConstantTok">
    <w:name w:val="ConstantTok"/>
    <w:basedOn w:val="VerbatimChar"/>
    <w:rsid w:val="00127249"/>
    <w:rPr>
      <w:color w:val="880000"/>
    </w:rPr>
  </w:style>
  <w:style w:type="character" w:customStyle="1" w:styleId="CharTok">
    <w:name w:val="CharTok"/>
    <w:basedOn w:val="VerbatimChar"/>
    <w:rsid w:val="00127249"/>
    <w:rPr>
      <w:color w:val="4070A0"/>
    </w:rPr>
  </w:style>
  <w:style w:type="character" w:customStyle="1" w:styleId="SpecialCharTok">
    <w:name w:val="SpecialCharTok"/>
    <w:basedOn w:val="VerbatimChar"/>
    <w:rsid w:val="00127249"/>
    <w:rPr>
      <w:color w:val="4070A0"/>
    </w:rPr>
  </w:style>
  <w:style w:type="character" w:customStyle="1" w:styleId="StringTok">
    <w:name w:val="StringTok"/>
    <w:basedOn w:val="VerbatimChar"/>
    <w:rsid w:val="00127249"/>
    <w:rPr>
      <w:color w:val="4070A0"/>
    </w:rPr>
  </w:style>
  <w:style w:type="character" w:customStyle="1" w:styleId="VerbatimStringTok">
    <w:name w:val="VerbatimStringTok"/>
    <w:basedOn w:val="VerbatimChar"/>
    <w:rsid w:val="00127249"/>
    <w:rPr>
      <w:color w:val="4070A0"/>
    </w:rPr>
  </w:style>
  <w:style w:type="character" w:customStyle="1" w:styleId="SpecialStringTok">
    <w:name w:val="SpecialStringTok"/>
    <w:basedOn w:val="VerbatimChar"/>
    <w:rsid w:val="00127249"/>
    <w:rPr>
      <w:color w:val="BB6688"/>
    </w:rPr>
  </w:style>
  <w:style w:type="character" w:customStyle="1" w:styleId="ImportTok">
    <w:name w:val="ImportTok"/>
    <w:basedOn w:val="VerbatimChar"/>
    <w:rsid w:val="00127249"/>
    <w:rPr>
      <w:b/>
      <w:color w:val="008000"/>
    </w:rPr>
  </w:style>
  <w:style w:type="character" w:customStyle="1" w:styleId="CommentTok">
    <w:name w:val="CommentTok"/>
    <w:basedOn w:val="VerbatimChar"/>
    <w:rsid w:val="00127249"/>
    <w:rPr>
      <w:i/>
      <w:color w:val="60A0B0"/>
    </w:rPr>
  </w:style>
  <w:style w:type="character" w:customStyle="1" w:styleId="DocumentationTok">
    <w:name w:val="DocumentationTok"/>
    <w:basedOn w:val="VerbatimChar"/>
    <w:rsid w:val="00127249"/>
    <w:rPr>
      <w:i/>
      <w:color w:val="BA2121"/>
    </w:rPr>
  </w:style>
  <w:style w:type="character" w:customStyle="1" w:styleId="AnnotationTok">
    <w:name w:val="AnnotationTok"/>
    <w:basedOn w:val="VerbatimChar"/>
    <w:rsid w:val="00127249"/>
    <w:rPr>
      <w:b/>
      <w:i/>
      <w:color w:val="60A0B0"/>
    </w:rPr>
  </w:style>
  <w:style w:type="character" w:customStyle="1" w:styleId="CommentVarTok">
    <w:name w:val="CommentVarTok"/>
    <w:basedOn w:val="VerbatimChar"/>
    <w:rsid w:val="00127249"/>
    <w:rPr>
      <w:b/>
      <w:i/>
      <w:color w:val="60A0B0"/>
    </w:rPr>
  </w:style>
  <w:style w:type="character" w:customStyle="1" w:styleId="OtherTok">
    <w:name w:val="OtherTok"/>
    <w:basedOn w:val="VerbatimChar"/>
    <w:rsid w:val="00127249"/>
    <w:rPr>
      <w:color w:val="007020"/>
    </w:rPr>
  </w:style>
  <w:style w:type="character" w:customStyle="1" w:styleId="FunctionTok">
    <w:name w:val="FunctionTok"/>
    <w:basedOn w:val="VerbatimChar"/>
    <w:rsid w:val="00127249"/>
    <w:rPr>
      <w:color w:val="06287E"/>
    </w:rPr>
  </w:style>
  <w:style w:type="character" w:customStyle="1" w:styleId="VariableTok">
    <w:name w:val="VariableTok"/>
    <w:basedOn w:val="VerbatimChar"/>
    <w:rsid w:val="00127249"/>
    <w:rPr>
      <w:color w:val="19177C"/>
    </w:rPr>
  </w:style>
  <w:style w:type="character" w:customStyle="1" w:styleId="ControlFlowTok">
    <w:name w:val="ControlFlowTok"/>
    <w:basedOn w:val="VerbatimChar"/>
    <w:rsid w:val="00127249"/>
    <w:rPr>
      <w:b/>
      <w:color w:val="007020"/>
    </w:rPr>
  </w:style>
  <w:style w:type="character" w:customStyle="1" w:styleId="OperatorTok">
    <w:name w:val="OperatorTok"/>
    <w:basedOn w:val="VerbatimChar"/>
    <w:rsid w:val="00127249"/>
    <w:rPr>
      <w:color w:val="666666"/>
    </w:rPr>
  </w:style>
  <w:style w:type="character" w:customStyle="1" w:styleId="BuiltInTok">
    <w:name w:val="BuiltInTok"/>
    <w:basedOn w:val="VerbatimChar"/>
    <w:rsid w:val="00127249"/>
    <w:rPr>
      <w:color w:val="008000"/>
    </w:rPr>
  </w:style>
  <w:style w:type="character" w:customStyle="1" w:styleId="ExtensionTok">
    <w:name w:val="ExtensionTok"/>
    <w:basedOn w:val="VerbatimChar"/>
    <w:rsid w:val="00127249"/>
  </w:style>
  <w:style w:type="character" w:customStyle="1" w:styleId="PreprocessorTok">
    <w:name w:val="PreprocessorTok"/>
    <w:basedOn w:val="VerbatimChar"/>
    <w:rsid w:val="00127249"/>
    <w:rPr>
      <w:color w:val="BC7A00"/>
    </w:rPr>
  </w:style>
  <w:style w:type="character" w:customStyle="1" w:styleId="AttributeTok">
    <w:name w:val="AttributeTok"/>
    <w:basedOn w:val="VerbatimChar"/>
    <w:rsid w:val="00127249"/>
    <w:rPr>
      <w:color w:val="7D9029"/>
    </w:rPr>
  </w:style>
  <w:style w:type="character" w:customStyle="1" w:styleId="RegionMarkerTok">
    <w:name w:val="RegionMarkerTok"/>
    <w:basedOn w:val="VerbatimChar"/>
    <w:rsid w:val="00127249"/>
  </w:style>
  <w:style w:type="character" w:customStyle="1" w:styleId="InformationTok">
    <w:name w:val="InformationTok"/>
    <w:basedOn w:val="VerbatimChar"/>
    <w:rsid w:val="00127249"/>
    <w:rPr>
      <w:b/>
      <w:i/>
      <w:color w:val="60A0B0"/>
    </w:rPr>
  </w:style>
  <w:style w:type="character" w:customStyle="1" w:styleId="WarningTok">
    <w:name w:val="WarningTok"/>
    <w:basedOn w:val="VerbatimChar"/>
    <w:rsid w:val="00127249"/>
    <w:rPr>
      <w:b/>
      <w:i/>
      <w:color w:val="60A0B0"/>
    </w:rPr>
  </w:style>
  <w:style w:type="character" w:customStyle="1" w:styleId="AlertTok">
    <w:name w:val="AlertTok"/>
    <w:basedOn w:val="VerbatimChar"/>
    <w:rsid w:val="00127249"/>
    <w:rPr>
      <w:b/>
      <w:color w:val="FF0000"/>
    </w:rPr>
  </w:style>
  <w:style w:type="character" w:customStyle="1" w:styleId="ErrorTok">
    <w:name w:val="ErrorTok"/>
    <w:basedOn w:val="VerbatimChar"/>
    <w:rsid w:val="00127249"/>
    <w:rPr>
      <w:b/>
      <w:color w:val="FF0000"/>
    </w:rPr>
  </w:style>
  <w:style w:type="character" w:customStyle="1" w:styleId="NormalTok">
    <w:name w:val="NormalTok"/>
    <w:basedOn w:val="VerbatimChar"/>
    <w:rsid w:val="00127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625</Words>
  <Characters>3564</Characters>
  <Application>Microsoft Office Word</Application>
  <DocSecurity>0</DocSecurity>
  <Lines>29</Lines>
  <Paragraphs>8</Paragraphs>
  <ScaleCrop>false</ScaleCrop>
  <Company>Grizli777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HAG</cp:lastModifiedBy>
  <cp:revision>3</cp:revision>
  <dcterms:created xsi:type="dcterms:W3CDTF">2026-05-25T06:14:00Z</dcterms:created>
  <dcterms:modified xsi:type="dcterms:W3CDTF">2026-05-25T17:26:00Z</dcterms:modified>
</cp:coreProperties>
</file>