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27841" w14:textId="77777777" w:rsidR="0025774A" w:rsidRDefault="0025774A" w:rsidP="0025774A">
      <w:pPr>
        <w:rPr>
          <w:b/>
        </w:rPr>
      </w:pPr>
      <w:r>
        <w:rPr>
          <w:b/>
        </w:rPr>
        <w:t>Additional supplementary files</w:t>
      </w:r>
    </w:p>
    <w:p w14:paraId="03AC2C4F" w14:textId="77777777" w:rsidR="0025774A" w:rsidRDefault="0025774A" w:rsidP="0025774A">
      <w:pPr>
        <w:rPr>
          <w:b/>
        </w:rPr>
      </w:pPr>
      <w:r>
        <w:rPr>
          <w:b/>
        </w:rPr>
        <w:t>Table S1. Clinical information of patients.</w:t>
      </w:r>
    </w:p>
    <w:tbl>
      <w:tblPr>
        <w:tblW w:w="4928" w:type="pct"/>
        <w:tblLayout w:type="fixed"/>
        <w:tblCellMar>
          <w:left w:w="0" w:type="dxa"/>
          <w:right w:w="0" w:type="dxa"/>
        </w:tblCellMar>
        <w:tblLook w:val="0600" w:firstRow="0" w:lastRow="0" w:firstColumn="0" w:lastColumn="0" w:noHBand="1" w:noVBand="1"/>
      </w:tblPr>
      <w:tblGrid>
        <w:gridCol w:w="840"/>
        <w:gridCol w:w="992"/>
        <w:gridCol w:w="851"/>
        <w:gridCol w:w="1276"/>
        <w:gridCol w:w="1701"/>
        <w:gridCol w:w="1984"/>
        <w:gridCol w:w="1278"/>
      </w:tblGrid>
      <w:tr w:rsidR="0025774A" w:rsidRPr="005D6DDB" w14:paraId="63CDF316" w14:textId="77777777" w:rsidTr="006E5749">
        <w:trPr>
          <w:trHeight w:val="542"/>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7F2C8C3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Patient n</w:t>
            </w:r>
            <w:r>
              <w:rPr>
                <w:rFonts w:eastAsia="Times New Roman" w:cs="Times New Roman"/>
                <w:b/>
                <w:bCs/>
                <w:color w:val="000000"/>
                <w:kern w:val="24"/>
                <w:sz w:val="20"/>
                <w:szCs w:val="20"/>
              </w:rPr>
              <w:t>o</w:t>
            </w:r>
            <w:r w:rsidRPr="005D6DDB">
              <w:rPr>
                <w:rFonts w:eastAsia="Times New Roman" w:cs="Times New Roman"/>
                <w:b/>
                <w:bCs/>
                <w:color w:val="000000"/>
                <w:kern w:val="24"/>
                <w:sz w:val="20"/>
                <w:szCs w:val="20"/>
              </w:rPr>
              <w:t>.</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B0D138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Diagnosis</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FB3A06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Sex</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91E42D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Localization</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8F7632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Age of diagnosis</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5A3FE0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ER, PR, HER2 status</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3F5610C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b/>
                <w:bCs/>
                <w:color w:val="000000"/>
                <w:kern w:val="24"/>
                <w:sz w:val="20"/>
                <w:szCs w:val="20"/>
              </w:rPr>
              <w:t>CanRisk-PVCP (%)</w:t>
            </w:r>
          </w:p>
        </w:tc>
      </w:tr>
      <w:tr w:rsidR="0025774A" w:rsidRPr="005D6DDB" w14:paraId="285859FC" w14:textId="77777777" w:rsidTr="006E5749">
        <w:trPr>
          <w:trHeight w:val="351"/>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6EF3828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0EE4938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71FD356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19F69E9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252DD4C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61</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6A47ACC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5ABD399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76.83</w:t>
            </w:r>
          </w:p>
        </w:tc>
      </w:tr>
      <w:tr w:rsidR="0025774A" w:rsidRPr="005D6DDB" w14:paraId="5CA17C86"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6080EE7D"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4D4A185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2E95714B"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362804F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3854475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69</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1441778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2E931BE2"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57D43417" w14:textId="77777777" w:rsidTr="006E5749">
        <w:trPr>
          <w:trHeight w:val="337"/>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3A330F3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P2</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53DAEE4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10F49A2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12C9802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57468A1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52</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482DB05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1BD1B9D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28.44</w:t>
            </w:r>
          </w:p>
        </w:tc>
      </w:tr>
      <w:tr w:rsidR="0025774A" w:rsidRPr="005D6DDB" w14:paraId="0D4FE708"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02DF4A46"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4B3112D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34AC4016"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4F235A2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1A46023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55</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0AD03B2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717AC120"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48139D6B"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4D5EE1D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P3</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C0BD1D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C7D4CC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DF6CF1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074C2E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36</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A65443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69F71CA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12.83</w:t>
            </w:r>
          </w:p>
        </w:tc>
      </w:tr>
      <w:tr w:rsidR="0025774A" w:rsidRPr="005D6DDB" w14:paraId="0A235E34" w14:textId="77777777" w:rsidTr="006E5749">
        <w:trPr>
          <w:trHeight w:val="337"/>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338AEEC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P4</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3F7517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OC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1FDF24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644DE9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B1D363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51</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AB63F4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3CA7BDA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18.9</w:t>
            </w:r>
          </w:p>
        </w:tc>
      </w:tr>
      <w:tr w:rsidR="0025774A" w:rsidRPr="005D6DDB" w14:paraId="54DD1809"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09E19CA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P5</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F43692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82565F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DC49C8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AB6AA6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46</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CB53CA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3FE5258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9.83</w:t>
            </w:r>
          </w:p>
        </w:tc>
      </w:tr>
      <w:tr w:rsidR="0025774A" w:rsidRPr="005D6DDB" w14:paraId="1BE8B3F1" w14:textId="77777777" w:rsidTr="006E5749">
        <w:trPr>
          <w:trHeight w:val="337"/>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40EFFE5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P6</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51FE219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OC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1D5C1FC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723B374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64C3BA6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48</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43D258E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77A8A5A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36.57</w:t>
            </w:r>
          </w:p>
        </w:tc>
      </w:tr>
      <w:tr w:rsidR="0025774A" w:rsidRPr="005D6DDB" w14:paraId="0001C38C" w14:textId="77777777" w:rsidTr="006E5749">
        <w:trPr>
          <w:trHeight w:val="542"/>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494BF326"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01BBE76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20A911CB"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111C552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06FB1FF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66</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6B072BE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 unknown</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0D2C8548"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2609E7EC" w14:textId="77777777" w:rsidTr="006E5749">
        <w:trPr>
          <w:trHeight w:val="351"/>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5EB781A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P7</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40F62C4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3F0C849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5E48746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1CA7109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48</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5034B4B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1105C95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21.66</w:t>
            </w:r>
          </w:p>
        </w:tc>
      </w:tr>
      <w:tr w:rsidR="0025774A" w:rsidRPr="005D6DDB" w14:paraId="17C4456E"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65130FFD"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2759532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28D7A469"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73CB0E2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4FEC0A3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48</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2D501A6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7510922A"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645411B6"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5FA83D4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P8</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4441FC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484756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898D54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A3AA4A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42</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6CAE2B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4067AC9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7.45</w:t>
            </w:r>
          </w:p>
        </w:tc>
      </w:tr>
      <w:tr w:rsidR="0025774A" w:rsidRPr="005D6DDB" w14:paraId="261D9E4D"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0838678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P9</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6E996C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A49B16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8285C5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F6C5DC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79</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B56C78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0B325CC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20.53</w:t>
            </w:r>
          </w:p>
        </w:tc>
      </w:tr>
      <w:tr w:rsidR="0025774A" w:rsidRPr="005D6DDB" w14:paraId="0F1DEE69" w14:textId="77777777" w:rsidTr="006E5749">
        <w:trPr>
          <w:trHeight w:val="351"/>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594EB44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P10</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3B68075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20EEDA9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0643C27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70884E9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43</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383C886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054A514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16.12</w:t>
            </w:r>
          </w:p>
        </w:tc>
      </w:tr>
      <w:tr w:rsidR="0025774A" w:rsidRPr="005D6DDB" w14:paraId="77A12960"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0A4FFA27"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393C730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5F148FC1"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32DBC74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3478419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43</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0479E99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54024F18"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1FC7D61C" w14:textId="77777777" w:rsidTr="006E5749">
        <w:trPr>
          <w:trHeight w:val="337"/>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7CBD4A0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P11</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04CDB5A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62BE89A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42B4B30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2944CCB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41</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4F6E52A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5665F07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49.38</w:t>
            </w:r>
          </w:p>
        </w:tc>
      </w:tr>
      <w:tr w:rsidR="0025774A" w:rsidRPr="005D6DDB" w14:paraId="553BB856"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506DBCD3"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1CF1BD8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0100937A"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0E2661F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71895F3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54</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3E1639C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75B25389"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55EFA1A3"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6F1BA7F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P12</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30777B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08857F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9A33FD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6D54C9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62</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FE8E24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543D7CF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9.45</w:t>
            </w:r>
          </w:p>
        </w:tc>
      </w:tr>
      <w:tr w:rsidR="0025774A" w:rsidRPr="005D6DDB" w14:paraId="6FB62B45"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6518D3D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P13</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484A37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F8018C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0441AA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FBF830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50</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113C31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0E30583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8.35</w:t>
            </w:r>
          </w:p>
        </w:tc>
      </w:tr>
      <w:tr w:rsidR="0025774A" w:rsidRPr="005D6DDB" w14:paraId="622174D5" w14:textId="77777777" w:rsidTr="006E5749">
        <w:trPr>
          <w:trHeight w:val="351"/>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3AA6F3B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P14</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31E0CB3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17E0A9A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20D8B5F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34C8D5B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59</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17BA937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6BB6E2A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14.5</w:t>
            </w:r>
          </w:p>
        </w:tc>
      </w:tr>
      <w:tr w:rsidR="0025774A" w:rsidRPr="005D6DDB" w14:paraId="304AFD05"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388C05B1"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6EC329D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502A304B"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7D8B96D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6F25CD8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61</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1849B83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5F2BD9AF"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59F88928"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47D9789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P15</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CF50A0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F8EBD6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2060DC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D4BB64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61</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C9CAEF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41F11D2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58.72</w:t>
            </w:r>
          </w:p>
        </w:tc>
      </w:tr>
      <w:tr w:rsidR="0025774A" w:rsidRPr="005D6DDB" w14:paraId="791FCFD0"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2EB2A68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P16</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6AAC76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0B0B62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647BF3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97EA54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66</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A974C8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7960295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10.79</w:t>
            </w:r>
          </w:p>
        </w:tc>
      </w:tr>
      <w:tr w:rsidR="0025774A" w:rsidRPr="005D6DDB" w14:paraId="2930A9B1"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547468A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P17</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0DFC5E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3B7223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3A7FA1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E31E5B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45</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B45D75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11634A9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13.48</w:t>
            </w:r>
          </w:p>
        </w:tc>
      </w:tr>
      <w:tr w:rsidR="0025774A" w:rsidRPr="005D6DDB" w14:paraId="6941C55B" w14:textId="77777777" w:rsidTr="006E5749">
        <w:trPr>
          <w:trHeight w:val="337"/>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4AEABF4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P18</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AB991D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C1CA6A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232C57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0CF1E4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53</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4CA84A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584EFCB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34.03</w:t>
            </w:r>
          </w:p>
        </w:tc>
      </w:tr>
      <w:tr w:rsidR="0025774A" w:rsidRPr="005D6DDB" w14:paraId="3F9FEEF8"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1B3D1BD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P19</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261AA2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7CA341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33E76C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E60AC1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60</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DB7578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5DA5E06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25.67</w:t>
            </w:r>
          </w:p>
        </w:tc>
      </w:tr>
      <w:tr w:rsidR="0025774A" w:rsidRPr="005D6DDB" w14:paraId="455043DB"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759F887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P20</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4433E6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22BDFB5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D5F1C9A"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4D9396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34</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C7C0F3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4E5F9E7F"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17.7</w:t>
            </w:r>
          </w:p>
        </w:tc>
      </w:tr>
      <w:tr w:rsidR="0025774A" w:rsidRPr="005D6DDB" w14:paraId="58D87123"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3347FA9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P21</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B65E22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EA2B85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386629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left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5580AF77"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49</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4D8510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39AA645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14.5</w:t>
            </w:r>
          </w:p>
        </w:tc>
      </w:tr>
      <w:tr w:rsidR="0025774A" w:rsidRPr="005D6DDB" w14:paraId="18FFA002"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02793E8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P22</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005FBF3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4369CF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6E3051E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4EC2814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50</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6E563F9"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7938F44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19.97</w:t>
            </w:r>
          </w:p>
        </w:tc>
      </w:tr>
      <w:tr w:rsidR="0025774A" w:rsidRPr="005D6DDB" w14:paraId="3A1959FD" w14:textId="77777777" w:rsidTr="006E5749">
        <w:trPr>
          <w:trHeight w:val="337"/>
        </w:trPr>
        <w:tc>
          <w:tcPr>
            <w:tcW w:w="471" w:type="pct"/>
            <w:tcBorders>
              <w:top w:val="single" w:sz="8" w:space="0" w:color="000000"/>
              <w:left w:val="single" w:sz="8" w:space="0" w:color="000000"/>
              <w:bottom w:val="nil"/>
              <w:right w:val="nil"/>
            </w:tcBorders>
            <w:shd w:val="clear" w:color="auto" w:fill="FFFFFF"/>
            <w:tcMar>
              <w:top w:w="7" w:type="dxa"/>
              <w:left w:w="7" w:type="dxa"/>
              <w:bottom w:w="0" w:type="dxa"/>
              <w:right w:w="7" w:type="dxa"/>
            </w:tcMar>
            <w:hideMark/>
          </w:tcPr>
          <w:p w14:paraId="21AA355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P23</w:t>
            </w:r>
          </w:p>
        </w:tc>
        <w:tc>
          <w:tcPr>
            <w:tcW w:w="556" w:type="pct"/>
            <w:tcBorders>
              <w:top w:val="single" w:sz="8" w:space="0" w:color="000000"/>
              <w:left w:val="nil"/>
              <w:bottom w:val="nil"/>
              <w:right w:val="nil"/>
            </w:tcBorders>
            <w:shd w:val="clear" w:color="auto" w:fill="FFFFFF"/>
            <w:tcMar>
              <w:top w:w="7" w:type="dxa"/>
              <w:left w:w="7" w:type="dxa"/>
              <w:bottom w:w="0" w:type="dxa"/>
              <w:right w:w="7" w:type="dxa"/>
            </w:tcMar>
            <w:hideMark/>
          </w:tcPr>
          <w:p w14:paraId="19CCD818"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OC</w:t>
            </w:r>
          </w:p>
        </w:tc>
        <w:tc>
          <w:tcPr>
            <w:tcW w:w="477" w:type="pct"/>
            <w:tcBorders>
              <w:top w:val="single" w:sz="8" w:space="0" w:color="000000"/>
              <w:left w:val="nil"/>
              <w:bottom w:val="nil"/>
              <w:right w:val="nil"/>
            </w:tcBorders>
            <w:shd w:val="clear" w:color="auto" w:fill="FFFFFF"/>
            <w:tcMar>
              <w:top w:w="7" w:type="dxa"/>
              <w:left w:w="7" w:type="dxa"/>
              <w:bottom w:w="0" w:type="dxa"/>
              <w:right w:w="7" w:type="dxa"/>
            </w:tcMar>
            <w:hideMark/>
          </w:tcPr>
          <w:p w14:paraId="628ADED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nil"/>
              <w:right w:val="nil"/>
            </w:tcBorders>
            <w:shd w:val="clear" w:color="auto" w:fill="FFFFFF"/>
            <w:tcMar>
              <w:top w:w="7" w:type="dxa"/>
              <w:left w:w="7" w:type="dxa"/>
              <w:bottom w:w="0" w:type="dxa"/>
              <w:right w:w="7" w:type="dxa"/>
            </w:tcMar>
            <w:hideMark/>
          </w:tcPr>
          <w:p w14:paraId="0494D5CD"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953" w:type="pct"/>
            <w:tcBorders>
              <w:top w:val="single" w:sz="8" w:space="0" w:color="000000"/>
              <w:left w:val="nil"/>
              <w:bottom w:val="nil"/>
              <w:right w:val="nil"/>
            </w:tcBorders>
            <w:shd w:val="clear" w:color="auto" w:fill="FFFFFF"/>
            <w:tcMar>
              <w:top w:w="7" w:type="dxa"/>
              <w:left w:w="7" w:type="dxa"/>
              <w:bottom w:w="0" w:type="dxa"/>
              <w:right w:w="7" w:type="dxa"/>
            </w:tcMar>
            <w:hideMark/>
          </w:tcPr>
          <w:p w14:paraId="5CDAC33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55</w:t>
            </w:r>
          </w:p>
        </w:tc>
        <w:tc>
          <w:tcPr>
            <w:tcW w:w="1112" w:type="pct"/>
            <w:tcBorders>
              <w:top w:val="single" w:sz="8" w:space="0" w:color="000000"/>
              <w:left w:val="nil"/>
              <w:bottom w:val="nil"/>
              <w:right w:val="nil"/>
            </w:tcBorders>
            <w:shd w:val="clear" w:color="auto" w:fill="FFFFFF"/>
            <w:tcMar>
              <w:top w:w="7" w:type="dxa"/>
              <w:left w:w="7" w:type="dxa"/>
              <w:bottom w:w="0" w:type="dxa"/>
              <w:right w:w="7" w:type="dxa"/>
            </w:tcMar>
            <w:hideMark/>
          </w:tcPr>
          <w:p w14:paraId="4F7FA8C3"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unknown</w:t>
            </w:r>
          </w:p>
        </w:tc>
        <w:tc>
          <w:tcPr>
            <w:tcW w:w="716" w:type="pct"/>
            <w:tcBorders>
              <w:top w:val="single" w:sz="8" w:space="0" w:color="000000"/>
              <w:left w:val="nil"/>
              <w:bottom w:val="nil"/>
              <w:right w:val="single" w:sz="8" w:space="0" w:color="000000"/>
            </w:tcBorders>
            <w:shd w:val="clear" w:color="auto" w:fill="FFFFFF"/>
            <w:tcMar>
              <w:top w:w="7" w:type="dxa"/>
              <w:left w:w="7" w:type="dxa"/>
              <w:bottom w:w="0" w:type="dxa"/>
              <w:right w:w="7" w:type="dxa"/>
            </w:tcMar>
            <w:hideMark/>
          </w:tcPr>
          <w:p w14:paraId="6F7A18E1"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15.85</w:t>
            </w:r>
          </w:p>
        </w:tc>
      </w:tr>
      <w:tr w:rsidR="0025774A" w:rsidRPr="005D6DDB" w14:paraId="5378005E" w14:textId="77777777" w:rsidTr="006E5749">
        <w:trPr>
          <w:trHeight w:val="351"/>
        </w:trPr>
        <w:tc>
          <w:tcPr>
            <w:tcW w:w="471" w:type="pct"/>
            <w:tcBorders>
              <w:top w:val="nil"/>
              <w:left w:val="single" w:sz="8" w:space="0" w:color="000000"/>
              <w:bottom w:val="single" w:sz="8" w:space="0" w:color="000000"/>
              <w:right w:val="nil"/>
            </w:tcBorders>
            <w:shd w:val="clear" w:color="auto" w:fill="FFFFFF"/>
            <w:tcMar>
              <w:top w:w="7" w:type="dxa"/>
              <w:left w:w="7" w:type="dxa"/>
              <w:bottom w:w="0" w:type="dxa"/>
              <w:right w:w="7" w:type="dxa"/>
            </w:tcMar>
            <w:hideMark/>
          </w:tcPr>
          <w:p w14:paraId="799E0843" w14:textId="77777777" w:rsidR="0025774A" w:rsidRPr="005D6DDB" w:rsidRDefault="0025774A" w:rsidP="006E5749">
            <w:pPr>
              <w:spacing w:after="0" w:line="240" w:lineRule="auto"/>
              <w:rPr>
                <w:rFonts w:eastAsia="Times New Roman" w:cs="Times New Roman"/>
                <w:sz w:val="20"/>
                <w:szCs w:val="20"/>
              </w:rPr>
            </w:pPr>
          </w:p>
        </w:tc>
        <w:tc>
          <w:tcPr>
            <w:tcW w:w="556" w:type="pct"/>
            <w:tcBorders>
              <w:top w:val="nil"/>
              <w:left w:val="nil"/>
              <w:bottom w:val="single" w:sz="8" w:space="0" w:color="000000"/>
              <w:right w:val="nil"/>
            </w:tcBorders>
            <w:shd w:val="clear" w:color="auto" w:fill="FFFFFF"/>
            <w:tcMar>
              <w:top w:w="7" w:type="dxa"/>
              <w:left w:w="7" w:type="dxa"/>
              <w:bottom w:w="0" w:type="dxa"/>
              <w:right w:w="7" w:type="dxa"/>
            </w:tcMar>
            <w:hideMark/>
          </w:tcPr>
          <w:p w14:paraId="3EAFEBE0"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nil"/>
              <w:left w:val="nil"/>
              <w:bottom w:val="single" w:sz="8" w:space="0" w:color="000000"/>
              <w:right w:val="nil"/>
            </w:tcBorders>
            <w:shd w:val="clear" w:color="auto" w:fill="FFFFFF"/>
            <w:tcMar>
              <w:top w:w="7" w:type="dxa"/>
              <w:left w:w="7" w:type="dxa"/>
              <w:bottom w:w="0" w:type="dxa"/>
              <w:right w:w="7" w:type="dxa"/>
            </w:tcMar>
            <w:hideMark/>
          </w:tcPr>
          <w:p w14:paraId="7DF8BBD3" w14:textId="77777777" w:rsidR="0025774A" w:rsidRPr="005D6DDB" w:rsidRDefault="0025774A" w:rsidP="006E5749">
            <w:pPr>
              <w:spacing w:after="0" w:line="240" w:lineRule="auto"/>
              <w:rPr>
                <w:rFonts w:eastAsia="Times New Roman" w:cs="Times New Roman"/>
                <w:sz w:val="20"/>
                <w:szCs w:val="20"/>
              </w:rPr>
            </w:pPr>
          </w:p>
        </w:tc>
        <w:tc>
          <w:tcPr>
            <w:tcW w:w="715" w:type="pct"/>
            <w:tcBorders>
              <w:top w:val="nil"/>
              <w:left w:val="nil"/>
              <w:bottom w:val="single" w:sz="8" w:space="0" w:color="000000"/>
              <w:right w:val="nil"/>
            </w:tcBorders>
            <w:shd w:val="clear" w:color="auto" w:fill="FFFFFF"/>
            <w:tcMar>
              <w:top w:w="7" w:type="dxa"/>
              <w:left w:w="7" w:type="dxa"/>
              <w:bottom w:w="0" w:type="dxa"/>
              <w:right w:w="7" w:type="dxa"/>
            </w:tcMar>
            <w:hideMark/>
          </w:tcPr>
          <w:p w14:paraId="4A4A8A7C"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nil"/>
              <w:left w:val="nil"/>
              <w:bottom w:val="single" w:sz="8" w:space="0" w:color="000000"/>
              <w:right w:val="nil"/>
            </w:tcBorders>
            <w:shd w:val="clear" w:color="auto" w:fill="FFFFFF"/>
            <w:tcMar>
              <w:top w:w="7" w:type="dxa"/>
              <w:left w:w="7" w:type="dxa"/>
              <w:bottom w:w="0" w:type="dxa"/>
              <w:right w:w="7" w:type="dxa"/>
            </w:tcMar>
            <w:hideMark/>
          </w:tcPr>
          <w:p w14:paraId="28AF8234"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73</w:t>
            </w:r>
          </w:p>
        </w:tc>
        <w:tc>
          <w:tcPr>
            <w:tcW w:w="1112" w:type="pct"/>
            <w:tcBorders>
              <w:top w:val="nil"/>
              <w:left w:val="nil"/>
              <w:bottom w:val="single" w:sz="8" w:space="0" w:color="000000"/>
              <w:right w:val="nil"/>
            </w:tcBorders>
            <w:shd w:val="clear" w:color="auto" w:fill="FFFFFF"/>
            <w:tcMar>
              <w:top w:w="7" w:type="dxa"/>
              <w:left w:w="7" w:type="dxa"/>
              <w:bottom w:w="0" w:type="dxa"/>
              <w:right w:w="7" w:type="dxa"/>
            </w:tcMar>
            <w:hideMark/>
          </w:tcPr>
          <w:p w14:paraId="7022BF7B"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nil"/>
              <w:left w:val="nil"/>
              <w:bottom w:val="single" w:sz="8" w:space="0" w:color="000000"/>
              <w:right w:val="single" w:sz="8" w:space="0" w:color="000000"/>
            </w:tcBorders>
            <w:shd w:val="clear" w:color="auto" w:fill="FFFFFF"/>
            <w:tcMar>
              <w:top w:w="7" w:type="dxa"/>
              <w:left w:w="7" w:type="dxa"/>
              <w:bottom w:w="0" w:type="dxa"/>
              <w:right w:w="7" w:type="dxa"/>
            </w:tcMar>
            <w:hideMark/>
          </w:tcPr>
          <w:p w14:paraId="0018D38A" w14:textId="77777777" w:rsidR="0025774A" w:rsidRPr="005D6DDB" w:rsidRDefault="0025774A" w:rsidP="006E5749">
            <w:pPr>
              <w:spacing w:after="0" w:line="240" w:lineRule="auto"/>
              <w:rPr>
                <w:rFonts w:eastAsia="Times New Roman" w:cs="Times New Roman"/>
                <w:sz w:val="20"/>
                <w:szCs w:val="20"/>
              </w:rPr>
            </w:pPr>
          </w:p>
        </w:tc>
      </w:tr>
      <w:tr w:rsidR="0025774A" w:rsidRPr="005D6DDB" w14:paraId="1EE08CD5" w14:textId="77777777" w:rsidTr="006E5749">
        <w:trPr>
          <w:trHeight w:val="351"/>
        </w:trPr>
        <w:tc>
          <w:tcPr>
            <w:tcW w:w="471" w:type="pct"/>
            <w:tcBorders>
              <w:top w:val="single" w:sz="8" w:space="0" w:color="000000"/>
              <w:left w:val="single" w:sz="8" w:space="0" w:color="000000"/>
              <w:bottom w:val="single" w:sz="8" w:space="0" w:color="000000"/>
              <w:right w:val="nil"/>
            </w:tcBorders>
            <w:shd w:val="clear" w:color="auto" w:fill="FFFFFF"/>
            <w:tcMar>
              <w:top w:w="7" w:type="dxa"/>
              <w:left w:w="7" w:type="dxa"/>
              <w:bottom w:w="0" w:type="dxa"/>
              <w:right w:w="7" w:type="dxa"/>
            </w:tcMar>
            <w:hideMark/>
          </w:tcPr>
          <w:p w14:paraId="3DB2E89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lastRenderedPageBreak/>
              <w:t>P24</w:t>
            </w:r>
          </w:p>
        </w:tc>
        <w:tc>
          <w:tcPr>
            <w:tcW w:w="556"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3910906"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BC</w:t>
            </w:r>
          </w:p>
        </w:tc>
        <w:tc>
          <w:tcPr>
            <w:tcW w:w="477"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3E13F8C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female</w:t>
            </w:r>
          </w:p>
        </w:tc>
        <w:tc>
          <w:tcPr>
            <w:tcW w:w="715"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1F3CD792"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right</w:t>
            </w:r>
          </w:p>
        </w:tc>
        <w:tc>
          <w:tcPr>
            <w:tcW w:w="953"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C26C29E"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39</w:t>
            </w:r>
          </w:p>
        </w:tc>
        <w:tc>
          <w:tcPr>
            <w:tcW w:w="1112" w:type="pct"/>
            <w:tcBorders>
              <w:top w:val="single" w:sz="8" w:space="0" w:color="000000"/>
              <w:left w:val="nil"/>
              <w:bottom w:val="single" w:sz="8" w:space="0" w:color="000000"/>
              <w:right w:val="nil"/>
            </w:tcBorders>
            <w:shd w:val="clear" w:color="auto" w:fill="FFFFFF"/>
            <w:tcMar>
              <w:top w:w="7" w:type="dxa"/>
              <w:left w:w="7" w:type="dxa"/>
              <w:bottom w:w="0" w:type="dxa"/>
              <w:right w:w="7" w:type="dxa"/>
            </w:tcMar>
            <w:hideMark/>
          </w:tcPr>
          <w:p w14:paraId="76052BA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ER+, PR+, HER2-</w:t>
            </w:r>
          </w:p>
        </w:tc>
        <w:tc>
          <w:tcPr>
            <w:tcW w:w="716" w:type="pct"/>
            <w:tcBorders>
              <w:top w:val="single" w:sz="8" w:space="0" w:color="000000"/>
              <w:left w:val="nil"/>
              <w:bottom w:val="single" w:sz="8" w:space="0" w:color="000000"/>
              <w:right w:val="single" w:sz="8" w:space="0" w:color="000000"/>
            </w:tcBorders>
            <w:shd w:val="clear" w:color="auto" w:fill="FFFFFF"/>
            <w:tcMar>
              <w:top w:w="7" w:type="dxa"/>
              <w:left w:w="7" w:type="dxa"/>
              <w:bottom w:w="0" w:type="dxa"/>
              <w:right w:w="7" w:type="dxa"/>
            </w:tcMar>
            <w:hideMark/>
          </w:tcPr>
          <w:p w14:paraId="3F6849B5" w14:textId="77777777" w:rsidR="0025774A" w:rsidRPr="005D6DDB" w:rsidRDefault="0025774A" w:rsidP="006E5749">
            <w:pPr>
              <w:spacing w:after="0" w:line="360" w:lineRule="auto"/>
              <w:jc w:val="center"/>
              <w:textAlignment w:val="bottom"/>
              <w:rPr>
                <w:rFonts w:eastAsia="Times New Roman" w:cs="Times New Roman"/>
                <w:sz w:val="20"/>
                <w:szCs w:val="20"/>
              </w:rPr>
            </w:pPr>
            <w:r w:rsidRPr="005D6DDB">
              <w:rPr>
                <w:rFonts w:eastAsia="Times New Roman" w:cs="Times New Roman"/>
                <w:color w:val="000000"/>
                <w:kern w:val="24"/>
                <w:sz w:val="20"/>
                <w:szCs w:val="20"/>
              </w:rPr>
              <w:t>35.1</w:t>
            </w:r>
          </w:p>
        </w:tc>
      </w:tr>
    </w:tbl>
    <w:p w14:paraId="27878652" w14:textId="77777777" w:rsidR="0025774A" w:rsidRDefault="0025774A" w:rsidP="0025774A">
      <w:pPr>
        <w:rPr>
          <w:b/>
        </w:rPr>
      </w:pPr>
    </w:p>
    <w:p w14:paraId="1538C172" w14:textId="77777777" w:rsidR="0025774A" w:rsidRDefault="0025774A" w:rsidP="0025774A">
      <w:r w:rsidRPr="00C11268">
        <w:t>Patient</w:t>
      </w:r>
      <w:r>
        <w:rPr>
          <w:b/>
        </w:rPr>
        <w:t xml:space="preserve"> </w:t>
      </w:r>
      <w:r>
        <w:t>no</w:t>
      </w:r>
      <w:r w:rsidRPr="0092502F">
        <w:t xml:space="preserve">.: </w:t>
      </w:r>
      <w:r>
        <w:t xml:space="preserve">patient </w:t>
      </w:r>
      <w:r w:rsidRPr="0092502F">
        <w:t>number</w:t>
      </w:r>
      <w:r>
        <w:t xml:space="preserve"> used in this manuscript, </w:t>
      </w:r>
      <w:r w:rsidRPr="0092502F">
        <w:t>BC: breast cancer, OC: ovarian cancer,</w:t>
      </w:r>
      <w:r>
        <w:t xml:space="preserve"> ER: Estrogen receptor, PR: Progesterone receptor, HER2: HER2 receptor, CanRisk-PVCP (pathogenic variant carrier probability): The patient’s probability of carrying germline pathogenic variant in </w:t>
      </w:r>
      <w:r w:rsidRPr="00F56BB5">
        <w:rPr>
          <w:i/>
        </w:rPr>
        <w:t>BRCA1</w:t>
      </w:r>
      <w:r>
        <w:t xml:space="preserve">, </w:t>
      </w:r>
      <w:r w:rsidRPr="00F56BB5">
        <w:rPr>
          <w:i/>
        </w:rPr>
        <w:t>BRCA2</w:t>
      </w:r>
      <w:r>
        <w:t xml:space="preserve">, </w:t>
      </w:r>
      <w:r w:rsidRPr="00F56BB5">
        <w:rPr>
          <w:i/>
        </w:rPr>
        <w:t>PALB2</w:t>
      </w:r>
      <w:r>
        <w:t xml:space="preserve">, </w:t>
      </w:r>
      <w:r w:rsidRPr="00F56BB5">
        <w:rPr>
          <w:i/>
        </w:rPr>
        <w:t>CHEK2</w:t>
      </w:r>
      <w:r>
        <w:t xml:space="preserve">, </w:t>
      </w:r>
      <w:r w:rsidRPr="00F56BB5">
        <w:rPr>
          <w:i/>
        </w:rPr>
        <w:t>ATM</w:t>
      </w:r>
      <w:r>
        <w:t xml:space="preserve">, </w:t>
      </w:r>
      <w:r w:rsidRPr="00F56BB5">
        <w:rPr>
          <w:i/>
        </w:rPr>
        <w:t>BARD1</w:t>
      </w:r>
      <w:r>
        <w:t xml:space="preserve">, </w:t>
      </w:r>
      <w:r w:rsidRPr="00F56BB5">
        <w:rPr>
          <w:i/>
        </w:rPr>
        <w:t>RAD51D</w:t>
      </w:r>
      <w:r>
        <w:t xml:space="preserve">, </w:t>
      </w:r>
      <w:r w:rsidRPr="00F56BB5">
        <w:rPr>
          <w:i/>
        </w:rPr>
        <w:t>RAD51C</w:t>
      </w:r>
      <w:r>
        <w:t xml:space="preserve"> or </w:t>
      </w:r>
      <w:r w:rsidRPr="00F56BB5">
        <w:rPr>
          <w:i/>
        </w:rPr>
        <w:t>BRIP1</w:t>
      </w:r>
      <w:r>
        <w:t>, estimated using the CanRisk-tool.</w:t>
      </w:r>
    </w:p>
    <w:p w14:paraId="3D61FB18" w14:textId="77777777" w:rsidR="0025774A" w:rsidRPr="002E3A50" w:rsidRDefault="0025774A" w:rsidP="0025774A">
      <w:r w:rsidRPr="009C2E4B">
        <w:rPr>
          <w:b/>
          <w:bCs/>
        </w:rPr>
        <w:t>Table S2:</w:t>
      </w:r>
      <w:r>
        <w:t xml:space="preserve"> </w:t>
      </w:r>
      <w:r w:rsidRPr="002E3A50">
        <w:rPr>
          <w:b/>
        </w:rPr>
        <w:t>Variant-level and gene-level enrichment analysis</w:t>
      </w: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817"/>
        <w:gridCol w:w="1052"/>
        <w:gridCol w:w="1136"/>
        <w:gridCol w:w="872"/>
        <w:gridCol w:w="1111"/>
        <w:gridCol w:w="1136"/>
        <w:gridCol w:w="1054"/>
        <w:gridCol w:w="1272"/>
        <w:gridCol w:w="1217"/>
        <w:gridCol w:w="1284"/>
        <w:gridCol w:w="1165"/>
      </w:tblGrid>
      <w:tr w:rsidR="0025774A" w:rsidRPr="002E3A50" w14:paraId="23CA39DE" w14:textId="77777777" w:rsidTr="006E5749">
        <w:trPr>
          <w:trHeight w:val="300"/>
        </w:trPr>
        <w:tc>
          <w:tcPr>
            <w:tcW w:w="1980" w:type="dxa"/>
            <w:noWrap/>
            <w:vAlign w:val="bottom"/>
            <w:hideMark/>
          </w:tcPr>
          <w:p w14:paraId="72EAA8E6"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variant</w:t>
            </w:r>
          </w:p>
        </w:tc>
        <w:tc>
          <w:tcPr>
            <w:tcW w:w="817" w:type="dxa"/>
            <w:noWrap/>
            <w:vAlign w:val="bottom"/>
            <w:hideMark/>
          </w:tcPr>
          <w:p w14:paraId="2F5E6FF3"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cases carrier</w:t>
            </w:r>
          </w:p>
        </w:tc>
        <w:tc>
          <w:tcPr>
            <w:tcW w:w="1052" w:type="dxa"/>
            <w:noWrap/>
            <w:vAlign w:val="bottom"/>
            <w:hideMark/>
          </w:tcPr>
          <w:p w14:paraId="54F9826F"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cases wildtype</w:t>
            </w:r>
          </w:p>
        </w:tc>
        <w:tc>
          <w:tcPr>
            <w:tcW w:w="1136" w:type="dxa"/>
            <w:noWrap/>
            <w:vAlign w:val="bottom"/>
            <w:hideMark/>
          </w:tcPr>
          <w:p w14:paraId="030DCF45"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case frequency</w:t>
            </w:r>
          </w:p>
        </w:tc>
        <w:tc>
          <w:tcPr>
            <w:tcW w:w="872" w:type="dxa"/>
            <w:noWrap/>
            <w:vAlign w:val="bottom"/>
            <w:hideMark/>
          </w:tcPr>
          <w:p w14:paraId="43D52F9B"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control carrier</w:t>
            </w:r>
          </w:p>
        </w:tc>
        <w:tc>
          <w:tcPr>
            <w:tcW w:w="1111" w:type="dxa"/>
            <w:noWrap/>
            <w:vAlign w:val="bottom"/>
            <w:hideMark/>
          </w:tcPr>
          <w:p w14:paraId="64902739"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control wildtype</w:t>
            </w:r>
          </w:p>
        </w:tc>
        <w:tc>
          <w:tcPr>
            <w:tcW w:w="1136" w:type="dxa"/>
            <w:noWrap/>
            <w:vAlign w:val="bottom"/>
            <w:hideMark/>
          </w:tcPr>
          <w:p w14:paraId="093DA55B"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control frequency</w:t>
            </w:r>
          </w:p>
        </w:tc>
        <w:tc>
          <w:tcPr>
            <w:tcW w:w="1054" w:type="dxa"/>
            <w:noWrap/>
            <w:vAlign w:val="bottom"/>
            <w:hideMark/>
          </w:tcPr>
          <w:p w14:paraId="1CFD39E6"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expected</w:t>
            </w:r>
          </w:p>
        </w:tc>
        <w:tc>
          <w:tcPr>
            <w:tcW w:w="1272" w:type="dxa"/>
            <w:noWrap/>
            <w:vAlign w:val="bottom"/>
            <w:hideMark/>
          </w:tcPr>
          <w:p w14:paraId="39A2FBFB"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enrichment</w:t>
            </w:r>
          </w:p>
        </w:tc>
        <w:tc>
          <w:tcPr>
            <w:tcW w:w="1217" w:type="dxa"/>
            <w:noWrap/>
            <w:vAlign w:val="bottom"/>
            <w:hideMark/>
          </w:tcPr>
          <w:p w14:paraId="3CA99457"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 xml:space="preserve">Beta binomial </w:t>
            </w:r>
            <w:r w:rsidRPr="002E3A50">
              <w:rPr>
                <w:rFonts w:ascii="Calibri" w:eastAsia="Times New Roman" w:hAnsi="Calibri" w:cs="Calibri"/>
                <w:b/>
                <w:bCs/>
                <w:i/>
                <w:iCs/>
                <w:color w:val="000000"/>
              </w:rPr>
              <w:t>p</w:t>
            </w:r>
            <w:r w:rsidRPr="002E3A50">
              <w:rPr>
                <w:rFonts w:ascii="Calibri" w:eastAsia="Times New Roman" w:hAnsi="Calibri" w:cs="Calibri"/>
                <w:b/>
                <w:bCs/>
                <w:color w:val="000000"/>
                <w:vertAlign w:val="subscript"/>
              </w:rPr>
              <w:t>adjust</w:t>
            </w:r>
          </w:p>
        </w:tc>
        <w:tc>
          <w:tcPr>
            <w:tcW w:w="1284" w:type="dxa"/>
            <w:noWrap/>
            <w:vAlign w:val="bottom"/>
            <w:hideMark/>
          </w:tcPr>
          <w:p w14:paraId="50ACA45F" w14:textId="77777777" w:rsidR="0025774A" w:rsidRPr="002E3A50" w:rsidRDefault="0025774A" w:rsidP="006E5749">
            <w:pPr>
              <w:spacing w:after="120" w:line="240" w:lineRule="auto"/>
              <w:jc w:val="center"/>
              <w:rPr>
                <w:rFonts w:ascii="Calibri" w:eastAsia="Times New Roman" w:hAnsi="Calibri" w:cs="Calibri"/>
                <w:b/>
                <w:bCs/>
                <w:color w:val="000000"/>
              </w:rPr>
            </w:pPr>
            <w:r w:rsidRPr="002E3A50">
              <w:rPr>
                <w:rFonts w:ascii="Calibri" w:eastAsia="Times New Roman" w:hAnsi="Calibri" w:cs="Calibri"/>
                <w:b/>
                <w:bCs/>
                <w:color w:val="000000"/>
              </w:rPr>
              <w:t>significance</w:t>
            </w:r>
          </w:p>
        </w:tc>
        <w:tc>
          <w:tcPr>
            <w:tcW w:w="1165" w:type="dxa"/>
            <w:noWrap/>
            <w:vAlign w:val="bottom"/>
            <w:hideMark/>
          </w:tcPr>
          <w:p w14:paraId="0A2AB764" w14:textId="77777777" w:rsidR="0025774A" w:rsidRPr="002E3A50" w:rsidRDefault="0025774A" w:rsidP="006E5749">
            <w:pPr>
              <w:spacing w:after="120" w:line="240" w:lineRule="auto"/>
              <w:rPr>
                <w:rFonts w:ascii="Calibri" w:eastAsia="Times New Roman" w:hAnsi="Calibri" w:cs="Calibri"/>
                <w:b/>
                <w:bCs/>
                <w:color w:val="000000"/>
              </w:rPr>
            </w:pPr>
            <w:r w:rsidRPr="002E3A50">
              <w:rPr>
                <w:rFonts w:ascii="Calibri" w:eastAsia="Times New Roman" w:hAnsi="Calibri" w:cs="Calibri"/>
                <w:b/>
                <w:bCs/>
                <w:color w:val="000000"/>
              </w:rPr>
              <w:t xml:space="preserve">Firth regression  </w:t>
            </w:r>
            <w:r w:rsidRPr="002E3A50">
              <w:rPr>
                <w:rFonts w:ascii="Calibri" w:eastAsia="Times New Roman" w:hAnsi="Calibri" w:cs="Calibri"/>
                <w:b/>
                <w:bCs/>
                <w:i/>
                <w:iCs/>
                <w:color w:val="000000"/>
              </w:rPr>
              <w:t>p</w:t>
            </w:r>
            <w:r w:rsidRPr="002E3A50">
              <w:rPr>
                <w:rFonts w:ascii="Calibri" w:eastAsia="Times New Roman" w:hAnsi="Calibri" w:cs="Calibri"/>
                <w:b/>
                <w:bCs/>
                <w:color w:val="000000"/>
                <w:vertAlign w:val="subscript"/>
              </w:rPr>
              <w:t>adjust</w:t>
            </w:r>
          </w:p>
        </w:tc>
      </w:tr>
      <w:tr w:rsidR="0025774A" w:rsidRPr="002E3A50" w14:paraId="020A48FD" w14:textId="77777777" w:rsidTr="006E5749">
        <w:trPr>
          <w:trHeight w:val="300"/>
        </w:trPr>
        <w:tc>
          <w:tcPr>
            <w:tcW w:w="1980" w:type="dxa"/>
            <w:noWrap/>
            <w:vAlign w:val="center"/>
            <w:hideMark/>
          </w:tcPr>
          <w:p w14:paraId="201AB884"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FANCM</w:t>
            </w:r>
            <w:r w:rsidRPr="002E3A50">
              <w:rPr>
                <w:rFonts w:ascii="Calibri" w:eastAsia="Times New Roman" w:hAnsi="Calibri" w:cs="Calibri"/>
                <w:color w:val="000000"/>
              </w:rPr>
              <w:t>: c.5791C&gt;T</w:t>
            </w:r>
          </w:p>
        </w:tc>
        <w:tc>
          <w:tcPr>
            <w:tcW w:w="817" w:type="dxa"/>
            <w:noWrap/>
            <w:vAlign w:val="center"/>
            <w:hideMark/>
          </w:tcPr>
          <w:p w14:paraId="3C2562A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0145FA6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74A33C0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354365E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598</w:t>
            </w:r>
          </w:p>
        </w:tc>
        <w:tc>
          <w:tcPr>
            <w:tcW w:w="1111" w:type="dxa"/>
            <w:noWrap/>
            <w:vAlign w:val="center"/>
            <w:hideMark/>
          </w:tcPr>
          <w:p w14:paraId="75A9810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305172</w:t>
            </w:r>
          </w:p>
        </w:tc>
        <w:tc>
          <w:tcPr>
            <w:tcW w:w="1136" w:type="dxa"/>
            <w:noWrap/>
            <w:vAlign w:val="bottom"/>
            <w:hideMark/>
          </w:tcPr>
          <w:p w14:paraId="02C793C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1.96E-03</w:t>
            </w:r>
          </w:p>
        </w:tc>
        <w:tc>
          <w:tcPr>
            <w:tcW w:w="1054" w:type="dxa"/>
            <w:noWrap/>
            <w:vAlign w:val="bottom"/>
            <w:hideMark/>
          </w:tcPr>
          <w:p w14:paraId="3D7E0A6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2.35E-01</w:t>
            </w:r>
          </w:p>
        </w:tc>
        <w:tc>
          <w:tcPr>
            <w:tcW w:w="1272" w:type="dxa"/>
            <w:noWrap/>
            <w:vAlign w:val="bottom"/>
            <w:hideMark/>
          </w:tcPr>
          <w:p w14:paraId="2761A64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4.26</w:t>
            </w:r>
          </w:p>
        </w:tc>
        <w:tc>
          <w:tcPr>
            <w:tcW w:w="1217" w:type="dxa"/>
            <w:noWrap/>
            <w:vAlign w:val="bottom"/>
            <w:hideMark/>
          </w:tcPr>
          <w:p w14:paraId="6833C2C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2.26E-01</w:t>
            </w:r>
          </w:p>
        </w:tc>
        <w:tc>
          <w:tcPr>
            <w:tcW w:w="1284" w:type="dxa"/>
            <w:noWrap/>
            <w:vAlign w:val="bottom"/>
            <w:hideMark/>
          </w:tcPr>
          <w:p w14:paraId="24C380B1" w14:textId="77777777" w:rsidR="0025774A" w:rsidRPr="002E3A50" w:rsidRDefault="0025774A" w:rsidP="006E5749">
            <w:pPr>
              <w:spacing w:after="120" w:line="240" w:lineRule="auto"/>
              <w:jc w:val="right"/>
              <w:rPr>
                <w:rFonts w:ascii="Calibri" w:eastAsia="Times New Roman" w:hAnsi="Calibri" w:cs="Calibri"/>
                <w:color w:val="000000"/>
              </w:rPr>
            </w:pPr>
          </w:p>
        </w:tc>
        <w:tc>
          <w:tcPr>
            <w:tcW w:w="1165" w:type="dxa"/>
            <w:noWrap/>
            <w:vAlign w:val="bottom"/>
            <w:hideMark/>
          </w:tcPr>
          <w:p w14:paraId="7B2CD592"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NA</w:t>
            </w:r>
          </w:p>
        </w:tc>
      </w:tr>
      <w:tr w:rsidR="0025774A" w:rsidRPr="002E3A50" w14:paraId="69B204C9" w14:textId="77777777" w:rsidTr="006E5749">
        <w:trPr>
          <w:trHeight w:val="300"/>
        </w:trPr>
        <w:tc>
          <w:tcPr>
            <w:tcW w:w="1980" w:type="dxa"/>
            <w:noWrap/>
            <w:vAlign w:val="center"/>
            <w:hideMark/>
          </w:tcPr>
          <w:p w14:paraId="5F9ECAA1"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FANCD2</w:t>
            </w:r>
            <w:r w:rsidRPr="002E3A50">
              <w:rPr>
                <w:rFonts w:ascii="Calibri" w:eastAsia="Times New Roman" w:hAnsi="Calibri" w:cs="Calibri"/>
                <w:color w:val="000000"/>
              </w:rPr>
              <w:t>: c.2715+1G&gt;A</w:t>
            </w:r>
          </w:p>
        </w:tc>
        <w:tc>
          <w:tcPr>
            <w:tcW w:w="817" w:type="dxa"/>
            <w:noWrap/>
            <w:vAlign w:val="center"/>
            <w:hideMark/>
          </w:tcPr>
          <w:p w14:paraId="69D06F9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7C55A9F3"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7D65D50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46AA29DC"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286</w:t>
            </w:r>
          </w:p>
        </w:tc>
        <w:tc>
          <w:tcPr>
            <w:tcW w:w="1111" w:type="dxa"/>
            <w:noWrap/>
            <w:vAlign w:val="center"/>
            <w:hideMark/>
          </w:tcPr>
          <w:p w14:paraId="0914BF4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300084</w:t>
            </w:r>
          </w:p>
        </w:tc>
        <w:tc>
          <w:tcPr>
            <w:tcW w:w="1136" w:type="dxa"/>
            <w:noWrap/>
            <w:vAlign w:val="bottom"/>
            <w:hideMark/>
          </w:tcPr>
          <w:p w14:paraId="7BFBD9C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9.52E-04</w:t>
            </w:r>
          </w:p>
        </w:tc>
        <w:tc>
          <w:tcPr>
            <w:tcW w:w="1054" w:type="dxa"/>
            <w:noWrap/>
            <w:vAlign w:val="bottom"/>
            <w:hideMark/>
          </w:tcPr>
          <w:p w14:paraId="07DE2A8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1.14E-01</w:t>
            </w:r>
          </w:p>
        </w:tc>
        <w:tc>
          <w:tcPr>
            <w:tcW w:w="1272" w:type="dxa"/>
            <w:noWrap/>
            <w:vAlign w:val="bottom"/>
            <w:hideMark/>
          </w:tcPr>
          <w:p w14:paraId="7111DC9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8.75</w:t>
            </w:r>
          </w:p>
        </w:tc>
        <w:tc>
          <w:tcPr>
            <w:tcW w:w="1217" w:type="dxa"/>
            <w:noWrap/>
            <w:vAlign w:val="bottom"/>
            <w:hideMark/>
          </w:tcPr>
          <w:p w14:paraId="5548C0D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1.38E-01</w:t>
            </w:r>
          </w:p>
        </w:tc>
        <w:tc>
          <w:tcPr>
            <w:tcW w:w="1284" w:type="dxa"/>
            <w:noWrap/>
            <w:vAlign w:val="bottom"/>
            <w:hideMark/>
          </w:tcPr>
          <w:p w14:paraId="631A90E8" w14:textId="77777777" w:rsidR="0025774A" w:rsidRPr="002E3A50" w:rsidRDefault="0025774A" w:rsidP="006E5749">
            <w:pPr>
              <w:spacing w:after="120" w:line="240" w:lineRule="auto"/>
              <w:jc w:val="right"/>
              <w:rPr>
                <w:rFonts w:ascii="Calibri" w:eastAsia="Times New Roman" w:hAnsi="Calibri" w:cs="Calibri"/>
                <w:color w:val="000000"/>
              </w:rPr>
            </w:pPr>
          </w:p>
        </w:tc>
        <w:tc>
          <w:tcPr>
            <w:tcW w:w="1165" w:type="dxa"/>
            <w:noWrap/>
            <w:vAlign w:val="bottom"/>
            <w:hideMark/>
          </w:tcPr>
          <w:p w14:paraId="0D35F2D8"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3B4117DC" w14:textId="77777777" w:rsidTr="006E5749">
        <w:trPr>
          <w:trHeight w:val="300"/>
        </w:trPr>
        <w:tc>
          <w:tcPr>
            <w:tcW w:w="1980" w:type="dxa"/>
            <w:noWrap/>
            <w:vAlign w:val="center"/>
            <w:hideMark/>
          </w:tcPr>
          <w:p w14:paraId="6D6E7553"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FAN1</w:t>
            </w:r>
            <w:r w:rsidRPr="002E3A50">
              <w:rPr>
                <w:rFonts w:ascii="Calibri" w:eastAsia="Times New Roman" w:hAnsi="Calibri" w:cs="Calibri"/>
                <w:color w:val="000000"/>
              </w:rPr>
              <w:t>: c.922_923del</w:t>
            </w:r>
          </w:p>
        </w:tc>
        <w:tc>
          <w:tcPr>
            <w:tcW w:w="817" w:type="dxa"/>
            <w:noWrap/>
            <w:vAlign w:val="center"/>
            <w:hideMark/>
          </w:tcPr>
          <w:p w14:paraId="4197D6F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791F2F53"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3C6782A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6A0D2D0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92</w:t>
            </w:r>
          </w:p>
        </w:tc>
        <w:tc>
          <w:tcPr>
            <w:tcW w:w="1111" w:type="dxa"/>
            <w:noWrap/>
            <w:vAlign w:val="center"/>
            <w:hideMark/>
          </w:tcPr>
          <w:p w14:paraId="1685E50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305685</w:t>
            </w:r>
          </w:p>
        </w:tc>
        <w:tc>
          <w:tcPr>
            <w:tcW w:w="1136" w:type="dxa"/>
            <w:noWrap/>
            <w:vAlign w:val="bottom"/>
            <w:hideMark/>
          </w:tcPr>
          <w:p w14:paraId="29B0E65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3.01E-04</w:t>
            </w:r>
          </w:p>
        </w:tc>
        <w:tc>
          <w:tcPr>
            <w:tcW w:w="1054" w:type="dxa"/>
            <w:noWrap/>
            <w:vAlign w:val="bottom"/>
            <w:hideMark/>
          </w:tcPr>
          <w:p w14:paraId="0281371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3.61E-02</w:t>
            </w:r>
          </w:p>
        </w:tc>
        <w:tc>
          <w:tcPr>
            <w:tcW w:w="1272" w:type="dxa"/>
            <w:noWrap/>
            <w:vAlign w:val="bottom"/>
            <w:hideMark/>
          </w:tcPr>
          <w:p w14:paraId="322AB8D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27.70</w:t>
            </w:r>
          </w:p>
        </w:tc>
        <w:tc>
          <w:tcPr>
            <w:tcW w:w="1217" w:type="dxa"/>
            <w:noWrap/>
            <w:vAlign w:val="bottom"/>
            <w:hideMark/>
          </w:tcPr>
          <w:p w14:paraId="2C01908F"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5.76E-02</w:t>
            </w:r>
          </w:p>
        </w:tc>
        <w:tc>
          <w:tcPr>
            <w:tcW w:w="1284" w:type="dxa"/>
            <w:noWrap/>
            <w:vAlign w:val="bottom"/>
            <w:hideMark/>
          </w:tcPr>
          <w:p w14:paraId="53138BE0"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2FE9E69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471B7DB6" w14:textId="77777777" w:rsidTr="006E5749">
        <w:trPr>
          <w:trHeight w:val="300"/>
        </w:trPr>
        <w:tc>
          <w:tcPr>
            <w:tcW w:w="1980" w:type="dxa"/>
            <w:noWrap/>
            <w:vAlign w:val="center"/>
            <w:hideMark/>
          </w:tcPr>
          <w:p w14:paraId="4B3D324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FANCE</w:t>
            </w:r>
            <w:r w:rsidRPr="002E3A50">
              <w:rPr>
                <w:rFonts w:ascii="Calibri" w:eastAsia="Times New Roman" w:hAnsi="Calibri" w:cs="Calibri"/>
                <w:color w:val="000000"/>
              </w:rPr>
              <w:t>: c.1111C&gt;T</w:t>
            </w:r>
          </w:p>
        </w:tc>
        <w:tc>
          <w:tcPr>
            <w:tcW w:w="817" w:type="dxa"/>
            <w:noWrap/>
            <w:vAlign w:val="center"/>
            <w:hideMark/>
          </w:tcPr>
          <w:p w14:paraId="05BFBCF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27C044E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161FA26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56A6903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15</w:t>
            </w:r>
          </w:p>
        </w:tc>
        <w:tc>
          <w:tcPr>
            <w:tcW w:w="1111" w:type="dxa"/>
            <w:noWrap/>
            <w:vAlign w:val="center"/>
            <w:hideMark/>
          </w:tcPr>
          <w:p w14:paraId="4EF6F09C"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305797</w:t>
            </w:r>
          </w:p>
        </w:tc>
        <w:tc>
          <w:tcPr>
            <w:tcW w:w="1136" w:type="dxa"/>
            <w:noWrap/>
            <w:vAlign w:val="bottom"/>
            <w:hideMark/>
          </w:tcPr>
          <w:p w14:paraId="727962B7"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4.90E-05</w:t>
            </w:r>
          </w:p>
        </w:tc>
        <w:tc>
          <w:tcPr>
            <w:tcW w:w="1054" w:type="dxa"/>
            <w:noWrap/>
            <w:vAlign w:val="bottom"/>
            <w:hideMark/>
          </w:tcPr>
          <w:p w14:paraId="35CD02B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5.89E-03</w:t>
            </w:r>
          </w:p>
        </w:tc>
        <w:tc>
          <w:tcPr>
            <w:tcW w:w="1272" w:type="dxa"/>
            <w:noWrap/>
            <w:vAlign w:val="bottom"/>
            <w:hideMark/>
          </w:tcPr>
          <w:p w14:paraId="14EDE04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169.90</w:t>
            </w:r>
          </w:p>
        </w:tc>
        <w:tc>
          <w:tcPr>
            <w:tcW w:w="1217" w:type="dxa"/>
            <w:noWrap/>
            <w:vAlign w:val="bottom"/>
            <w:hideMark/>
          </w:tcPr>
          <w:p w14:paraId="04C0D2D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1.46E-02</w:t>
            </w:r>
          </w:p>
        </w:tc>
        <w:tc>
          <w:tcPr>
            <w:tcW w:w="1284" w:type="dxa"/>
            <w:noWrap/>
            <w:vAlign w:val="bottom"/>
            <w:hideMark/>
          </w:tcPr>
          <w:p w14:paraId="74644E0D"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4713366B"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523680B3" w14:textId="77777777" w:rsidTr="006E5749">
        <w:trPr>
          <w:trHeight w:val="300"/>
        </w:trPr>
        <w:tc>
          <w:tcPr>
            <w:tcW w:w="1980" w:type="dxa"/>
            <w:noWrap/>
            <w:vAlign w:val="center"/>
            <w:hideMark/>
          </w:tcPr>
          <w:p w14:paraId="04B29CF7"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MSH6</w:t>
            </w:r>
            <w:r w:rsidRPr="002E3A50">
              <w:rPr>
                <w:rFonts w:ascii="Calibri" w:eastAsia="Times New Roman" w:hAnsi="Calibri" w:cs="Calibri"/>
                <w:color w:val="000000"/>
              </w:rPr>
              <w:t>:c.2150_2153del</w:t>
            </w:r>
          </w:p>
        </w:tc>
        <w:tc>
          <w:tcPr>
            <w:tcW w:w="817" w:type="dxa"/>
            <w:noWrap/>
            <w:vAlign w:val="center"/>
            <w:hideMark/>
          </w:tcPr>
          <w:p w14:paraId="533C6E2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505A670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372FF68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4611513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7</w:t>
            </w:r>
          </w:p>
        </w:tc>
        <w:tc>
          <w:tcPr>
            <w:tcW w:w="1111" w:type="dxa"/>
            <w:noWrap/>
            <w:vAlign w:val="center"/>
            <w:hideMark/>
          </w:tcPr>
          <w:p w14:paraId="216673D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305808</w:t>
            </w:r>
          </w:p>
        </w:tc>
        <w:tc>
          <w:tcPr>
            <w:tcW w:w="1136" w:type="dxa"/>
            <w:noWrap/>
            <w:vAlign w:val="bottom"/>
            <w:hideMark/>
          </w:tcPr>
          <w:p w14:paraId="7276E16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2.29E-05</w:t>
            </w:r>
          </w:p>
        </w:tc>
        <w:tc>
          <w:tcPr>
            <w:tcW w:w="1054" w:type="dxa"/>
            <w:noWrap/>
            <w:vAlign w:val="bottom"/>
            <w:hideMark/>
          </w:tcPr>
          <w:p w14:paraId="55B25EF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2.75E-03</w:t>
            </w:r>
          </w:p>
        </w:tc>
        <w:tc>
          <w:tcPr>
            <w:tcW w:w="1272" w:type="dxa"/>
            <w:noWrap/>
            <w:vAlign w:val="bottom"/>
            <w:hideMark/>
          </w:tcPr>
          <w:p w14:paraId="36F24A9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364.07</w:t>
            </w:r>
          </w:p>
        </w:tc>
        <w:tc>
          <w:tcPr>
            <w:tcW w:w="1217" w:type="dxa"/>
            <w:noWrap/>
            <w:vAlign w:val="bottom"/>
            <w:hideMark/>
          </w:tcPr>
          <w:p w14:paraId="0824CF1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8.77E-03</w:t>
            </w:r>
          </w:p>
        </w:tc>
        <w:tc>
          <w:tcPr>
            <w:tcW w:w="1284" w:type="dxa"/>
            <w:noWrap/>
            <w:vAlign w:val="bottom"/>
            <w:hideMark/>
          </w:tcPr>
          <w:p w14:paraId="072A44DC"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7BA05DAC"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NA</w:t>
            </w:r>
          </w:p>
        </w:tc>
      </w:tr>
      <w:tr w:rsidR="0025774A" w:rsidRPr="002E3A50" w14:paraId="3FDC054A" w14:textId="77777777" w:rsidTr="006E5749">
        <w:trPr>
          <w:trHeight w:val="300"/>
        </w:trPr>
        <w:tc>
          <w:tcPr>
            <w:tcW w:w="1980" w:type="dxa"/>
            <w:noWrap/>
            <w:vAlign w:val="center"/>
            <w:hideMark/>
          </w:tcPr>
          <w:p w14:paraId="0FF43E8D"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MSH4</w:t>
            </w:r>
            <w:r w:rsidRPr="002E3A50">
              <w:rPr>
                <w:rFonts w:ascii="Calibri" w:eastAsia="Times New Roman" w:hAnsi="Calibri" w:cs="Calibri"/>
                <w:color w:val="000000"/>
              </w:rPr>
              <w:t>: c.2198C&gt;A</w:t>
            </w:r>
          </w:p>
        </w:tc>
        <w:tc>
          <w:tcPr>
            <w:tcW w:w="817" w:type="dxa"/>
            <w:noWrap/>
            <w:vAlign w:val="center"/>
            <w:hideMark/>
          </w:tcPr>
          <w:p w14:paraId="281073C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1A374B6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56537BC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5BC0CD0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93</w:t>
            </w:r>
          </w:p>
        </w:tc>
        <w:tc>
          <w:tcPr>
            <w:tcW w:w="1111" w:type="dxa"/>
            <w:noWrap/>
            <w:vAlign w:val="center"/>
            <w:hideMark/>
          </w:tcPr>
          <w:p w14:paraId="0E86347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284742</w:t>
            </w:r>
          </w:p>
        </w:tc>
        <w:tc>
          <w:tcPr>
            <w:tcW w:w="1136" w:type="dxa"/>
            <w:noWrap/>
            <w:vAlign w:val="bottom"/>
            <w:hideMark/>
          </w:tcPr>
          <w:p w14:paraId="4D96EE6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3.27E-04</w:t>
            </w:r>
          </w:p>
        </w:tc>
        <w:tc>
          <w:tcPr>
            <w:tcW w:w="1054" w:type="dxa"/>
            <w:noWrap/>
            <w:vAlign w:val="bottom"/>
            <w:hideMark/>
          </w:tcPr>
          <w:p w14:paraId="3243C77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3.92E-02</w:t>
            </w:r>
          </w:p>
        </w:tc>
        <w:tc>
          <w:tcPr>
            <w:tcW w:w="1272" w:type="dxa"/>
            <w:noWrap/>
            <w:vAlign w:val="bottom"/>
            <w:hideMark/>
          </w:tcPr>
          <w:p w14:paraId="6D48245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25.52</w:t>
            </w:r>
          </w:p>
        </w:tc>
        <w:tc>
          <w:tcPr>
            <w:tcW w:w="1217" w:type="dxa"/>
            <w:noWrap/>
            <w:vAlign w:val="bottom"/>
            <w:hideMark/>
          </w:tcPr>
          <w:p w14:paraId="03A68D4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5.76E-02</w:t>
            </w:r>
          </w:p>
        </w:tc>
        <w:tc>
          <w:tcPr>
            <w:tcW w:w="1284" w:type="dxa"/>
            <w:noWrap/>
            <w:vAlign w:val="bottom"/>
            <w:hideMark/>
          </w:tcPr>
          <w:p w14:paraId="2786797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6CEFA00D"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08119E51" w14:textId="77777777" w:rsidTr="006E5749">
        <w:trPr>
          <w:trHeight w:val="300"/>
        </w:trPr>
        <w:tc>
          <w:tcPr>
            <w:tcW w:w="1980" w:type="dxa"/>
            <w:noWrap/>
            <w:vAlign w:val="center"/>
            <w:hideMark/>
          </w:tcPr>
          <w:p w14:paraId="76C3B761"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WRN</w:t>
            </w:r>
            <w:r w:rsidRPr="002E3A50">
              <w:rPr>
                <w:rFonts w:ascii="Calibri" w:eastAsia="Times New Roman" w:hAnsi="Calibri" w:cs="Calibri"/>
                <w:color w:val="000000"/>
              </w:rPr>
              <w:t>: c.724+1G&gt;A</w:t>
            </w:r>
          </w:p>
        </w:tc>
        <w:tc>
          <w:tcPr>
            <w:tcW w:w="817" w:type="dxa"/>
            <w:noWrap/>
            <w:vAlign w:val="center"/>
            <w:hideMark/>
          </w:tcPr>
          <w:p w14:paraId="4D5EF9B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4F9F2737"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27B0503C"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3202CCD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w:t>
            </w:r>
          </w:p>
        </w:tc>
        <w:tc>
          <w:tcPr>
            <w:tcW w:w="1111" w:type="dxa"/>
            <w:noWrap/>
            <w:vAlign w:val="center"/>
            <w:hideMark/>
          </w:tcPr>
          <w:p w14:paraId="3078183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302863</w:t>
            </w:r>
          </w:p>
        </w:tc>
        <w:tc>
          <w:tcPr>
            <w:tcW w:w="1136" w:type="dxa"/>
            <w:noWrap/>
            <w:vAlign w:val="bottom"/>
            <w:hideMark/>
          </w:tcPr>
          <w:p w14:paraId="0A44AE0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0.00E+00</w:t>
            </w:r>
          </w:p>
        </w:tc>
        <w:tc>
          <w:tcPr>
            <w:tcW w:w="1054" w:type="dxa"/>
            <w:noWrap/>
            <w:vAlign w:val="bottom"/>
            <w:hideMark/>
          </w:tcPr>
          <w:p w14:paraId="07D3F13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0.00E+00</w:t>
            </w:r>
          </w:p>
        </w:tc>
        <w:tc>
          <w:tcPr>
            <w:tcW w:w="1272" w:type="dxa"/>
            <w:noWrap/>
            <w:vAlign w:val="bottom"/>
            <w:hideMark/>
          </w:tcPr>
          <w:p w14:paraId="68D8D1A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NA</w:t>
            </w:r>
          </w:p>
        </w:tc>
        <w:tc>
          <w:tcPr>
            <w:tcW w:w="1217" w:type="dxa"/>
            <w:noWrap/>
            <w:vAlign w:val="bottom"/>
            <w:hideMark/>
          </w:tcPr>
          <w:p w14:paraId="60F08A6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2.77E-03</w:t>
            </w:r>
          </w:p>
        </w:tc>
        <w:tc>
          <w:tcPr>
            <w:tcW w:w="1284" w:type="dxa"/>
            <w:noWrap/>
            <w:vAlign w:val="bottom"/>
            <w:hideMark/>
          </w:tcPr>
          <w:p w14:paraId="06FA5FDF"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vMerge w:val="restart"/>
            <w:noWrap/>
            <w:vAlign w:val="bottom"/>
            <w:hideMark/>
          </w:tcPr>
          <w:p w14:paraId="4E3CA84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4F2CE3EC" w14:textId="77777777" w:rsidTr="006E5749">
        <w:trPr>
          <w:trHeight w:val="300"/>
        </w:trPr>
        <w:tc>
          <w:tcPr>
            <w:tcW w:w="1980" w:type="dxa"/>
            <w:noWrap/>
            <w:vAlign w:val="center"/>
            <w:hideMark/>
          </w:tcPr>
          <w:p w14:paraId="26F34512"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WRN</w:t>
            </w:r>
            <w:r w:rsidRPr="002E3A50">
              <w:rPr>
                <w:rFonts w:ascii="Calibri" w:eastAsia="Times New Roman" w:hAnsi="Calibri" w:cs="Calibri"/>
                <w:color w:val="000000"/>
              </w:rPr>
              <w:t>: c.2103_2104del</w:t>
            </w:r>
          </w:p>
        </w:tc>
        <w:tc>
          <w:tcPr>
            <w:tcW w:w="817" w:type="dxa"/>
            <w:noWrap/>
            <w:vAlign w:val="center"/>
            <w:hideMark/>
          </w:tcPr>
          <w:p w14:paraId="5DAD8D7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6619FF53"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0E650A37"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5545AB8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w:t>
            </w:r>
          </w:p>
        </w:tc>
        <w:tc>
          <w:tcPr>
            <w:tcW w:w="1111" w:type="dxa"/>
            <w:noWrap/>
            <w:vAlign w:val="center"/>
            <w:hideMark/>
          </w:tcPr>
          <w:p w14:paraId="6CD177A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305789</w:t>
            </w:r>
          </w:p>
        </w:tc>
        <w:tc>
          <w:tcPr>
            <w:tcW w:w="1136" w:type="dxa"/>
            <w:noWrap/>
            <w:vAlign w:val="bottom"/>
            <w:hideMark/>
          </w:tcPr>
          <w:p w14:paraId="3AE87BA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6.54E-06</w:t>
            </w:r>
          </w:p>
        </w:tc>
        <w:tc>
          <w:tcPr>
            <w:tcW w:w="1054" w:type="dxa"/>
            <w:noWrap/>
            <w:vAlign w:val="bottom"/>
            <w:hideMark/>
          </w:tcPr>
          <w:p w14:paraId="03DC162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7.85E-04</w:t>
            </w:r>
          </w:p>
        </w:tc>
        <w:tc>
          <w:tcPr>
            <w:tcW w:w="1272" w:type="dxa"/>
            <w:noWrap/>
            <w:vAlign w:val="bottom"/>
            <w:hideMark/>
          </w:tcPr>
          <w:p w14:paraId="2D49916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1274.13</w:t>
            </w:r>
          </w:p>
        </w:tc>
        <w:tc>
          <w:tcPr>
            <w:tcW w:w="1217" w:type="dxa"/>
            <w:noWrap/>
            <w:vAlign w:val="bottom"/>
            <w:hideMark/>
          </w:tcPr>
          <w:p w14:paraId="7A5C1D1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4.12E-03</w:t>
            </w:r>
          </w:p>
        </w:tc>
        <w:tc>
          <w:tcPr>
            <w:tcW w:w="1284" w:type="dxa"/>
            <w:noWrap/>
            <w:vAlign w:val="bottom"/>
            <w:hideMark/>
          </w:tcPr>
          <w:p w14:paraId="3AD410A9"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vMerge/>
            <w:vAlign w:val="center"/>
            <w:hideMark/>
          </w:tcPr>
          <w:p w14:paraId="748FE40E" w14:textId="77777777" w:rsidR="0025774A" w:rsidRPr="002E3A50" w:rsidRDefault="0025774A" w:rsidP="006E5749">
            <w:pPr>
              <w:spacing w:after="120" w:line="240" w:lineRule="auto"/>
              <w:rPr>
                <w:rFonts w:ascii="Calibri" w:eastAsia="Times New Roman" w:hAnsi="Calibri" w:cs="Calibri"/>
                <w:color w:val="000000"/>
              </w:rPr>
            </w:pPr>
          </w:p>
        </w:tc>
      </w:tr>
      <w:tr w:rsidR="0025774A" w:rsidRPr="002E3A50" w14:paraId="1B6CB144" w14:textId="77777777" w:rsidTr="006E5749">
        <w:trPr>
          <w:trHeight w:val="300"/>
        </w:trPr>
        <w:tc>
          <w:tcPr>
            <w:tcW w:w="1980" w:type="dxa"/>
            <w:noWrap/>
            <w:vAlign w:val="center"/>
            <w:hideMark/>
          </w:tcPr>
          <w:p w14:paraId="0830B1E0"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BLM</w:t>
            </w:r>
            <w:r w:rsidRPr="002E3A50">
              <w:rPr>
                <w:rFonts w:ascii="Calibri" w:eastAsia="Times New Roman" w:hAnsi="Calibri" w:cs="Calibri"/>
                <w:color w:val="000000"/>
              </w:rPr>
              <w:t>: c.1642C&gt;T</w:t>
            </w:r>
          </w:p>
        </w:tc>
        <w:tc>
          <w:tcPr>
            <w:tcW w:w="817" w:type="dxa"/>
            <w:noWrap/>
            <w:vAlign w:val="center"/>
            <w:hideMark/>
          </w:tcPr>
          <w:p w14:paraId="4F24896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w:t>
            </w:r>
          </w:p>
        </w:tc>
        <w:tc>
          <w:tcPr>
            <w:tcW w:w="1052" w:type="dxa"/>
            <w:noWrap/>
            <w:vAlign w:val="center"/>
            <w:hideMark/>
          </w:tcPr>
          <w:p w14:paraId="47B7587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118</w:t>
            </w:r>
          </w:p>
        </w:tc>
        <w:tc>
          <w:tcPr>
            <w:tcW w:w="1136" w:type="dxa"/>
            <w:noWrap/>
            <w:vAlign w:val="center"/>
            <w:hideMark/>
          </w:tcPr>
          <w:p w14:paraId="5FCA456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1.67E-02</w:t>
            </w:r>
          </w:p>
        </w:tc>
        <w:tc>
          <w:tcPr>
            <w:tcW w:w="872" w:type="dxa"/>
            <w:noWrap/>
            <w:vAlign w:val="center"/>
            <w:hideMark/>
          </w:tcPr>
          <w:p w14:paraId="6DD4FDF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104</w:t>
            </w:r>
          </w:p>
        </w:tc>
        <w:tc>
          <w:tcPr>
            <w:tcW w:w="1111" w:type="dxa"/>
            <w:noWrap/>
            <w:vAlign w:val="center"/>
            <w:hideMark/>
          </w:tcPr>
          <w:p w14:paraId="1F1F06F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305120</w:t>
            </w:r>
          </w:p>
        </w:tc>
        <w:tc>
          <w:tcPr>
            <w:tcW w:w="1136" w:type="dxa"/>
            <w:noWrap/>
            <w:vAlign w:val="bottom"/>
            <w:hideMark/>
          </w:tcPr>
          <w:p w14:paraId="045B8B8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3.41E-04</w:t>
            </w:r>
          </w:p>
        </w:tc>
        <w:tc>
          <w:tcPr>
            <w:tcW w:w="1054" w:type="dxa"/>
            <w:noWrap/>
            <w:vAlign w:val="bottom"/>
            <w:hideMark/>
          </w:tcPr>
          <w:p w14:paraId="470554D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4.09E-02</w:t>
            </w:r>
          </w:p>
        </w:tc>
        <w:tc>
          <w:tcPr>
            <w:tcW w:w="1272" w:type="dxa"/>
            <w:noWrap/>
            <w:vAlign w:val="bottom"/>
            <w:hideMark/>
          </w:tcPr>
          <w:p w14:paraId="3293E9C3"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48.91</w:t>
            </w:r>
          </w:p>
        </w:tc>
        <w:tc>
          <w:tcPr>
            <w:tcW w:w="1217" w:type="dxa"/>
            <w:noWrap/>
            <w:vAlign w:val="bottom"/>
            <w:hideMark/>
          </w:tcPr>
          <w:p w14:paraId="6F7B9FC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3.87E-03</w:t>
            </w:r>
          </w:p>
        </w:tc>
        <w:tc>
          <w:tcPr>
            <w:tcW w:w="1284" w:type="dxa"/>
            <w:noWrap/>
            <w:vAlign w:val="bottom"/>
            <w:hideMark/>
          </w:tcPr>
          <w:p w14:paraId="74AD6923"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3BA74772"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5B841F84" w14:textId="77777777" w:rsidTr="006E5749">
        <w:trPr>
          <w:trHeight w:val="300"/>
        </w:trPr>
        <w:tc>
          <w:tcPr>
            <w:tcW w:w="1980" w:type="dxa"/>
            <w:noWrap/>
            <w:vAlign w:val="center"/>
            <w:hideMark/>
          </w:tcPr>
          <w:p w14:paraId="33D930C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ERCC4</w:t>
            </w:r>
            <w:r w:rsidRPr="002E3A50">
              <w:rPr>
                <w:rFonts w:ascii="Calibri" w:eastAsia="Times New Roman" w:hAnsi="Calibri" w:cs="Calibri"/>
                <w:color w:val="000000"/>
              </w:rPr>
              <w:t>: c.1765C&gt;T</w:t>
            </w:r>
          </w:p>
        </w:tc>
        <w:tc>
          <w:tcPr>
            <w:tcW w:w="817" w:type="dxa"/>
            <w:noWrap/>
            <w:vAlign w:val="center"/>
            <w:hideMark/>
          </w:tcPr>
          <w:p w14:paraId="2E32240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549D0E8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2843907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430AC26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106</w:t>
            </w:r>
          </w:p>
        </w:tc>
        <w:tc>
          <w:tcPr>
            <w:tcW w:w="1111" w:type="dxa"/>
            <w:noWrap/>
            <w:vAlign w:val="center"/>
            <w:hideMark/>
          </w:tcPr>
          <w:p w14:paraId="0ED0F61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305701</w:t>
            </w:r>
          </w:p>
        </w:tc>
        <w:tc>
          <w:tcPr>
            <w:tcW w:w="1136" w:type="dxa"/>
            <w:noWrap/>
            <w:vAlign w:val="bottom"/>
            <w:hideMark/>
          </w:tcPr>
          <w:p w14:paraId="017C74F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3.47E-04</w:t>
            </w:r>
          </w:p>
        </w:tc>
        <w:tc>
          <w:tcPr>
            <w:tcW w:w="1054" w:type="dxa"/>
            <w:noWrap/>
            <w:vAlign w:val="bottom"/>
            <w:hideMark/>
          </w:tcPr>
          <w:p w14:paraId="1EA0079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4.16E-02</w:t>
            </w:r>
          </w:p>
        </w:tc>
        <w:tc>
          <w:tcPr>
            <w:tcW w:w="1272" w:type="dxa"/>
            <w:noWrap/>
            <w:vAlign w:val="bottom"/>
            <w:hideMark/>
          </w:tcPr>
          <w:p w14:paraId="7C4F055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24.04</w:t>
            </w:r>
          </w:p>
        </w:tc>
        <w:tc>
          <w:tcPr>
            <w:tcW w:w="1217" w:type="dxa"/>
            <w:noWrap/>
            <w:vAlign w:val="bottom"/>
            <w:hideMark/>
          </w:tcPr>
          <w:p w14:paraId="7E8DB54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5.76E-02</w:t>
            </w:r>
          </w:p>
        </w:tc>
        <w:tc>
          <w:tcPr>
            <w:tcW w:w="1284" w:type="dxa"/>
            <w:noWrap/>
            <w:vAlign w:val="bottom"/>
            <w:hideMark/>
          </w:tcPr>
          <w:p w14:paraId="1D6F9FF0"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5E577082"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28456F9D" w14:textId="77777777" w:rsidTr="006E5749">
        <w:trPr>
          <w:trHeight w:val="300"/>
        </w:trPr>
        <w:tc>
          <w:tcPr>
            <w:tcW w:w="1980" w:type="dxa"/>
            <w:noWrap/>
            <w:vAlign w:val="center"/>
            <w:hideMark/>
          </w:tcPr>
          <w:p w14:paraId="76B9E131"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MRE11</w:t>
            </w:r>
            <w:r w:rsidRPr="002E3A50">
              <w:rPr>
                <w:rFonts w:ascii="Calibri" w:eastAsia="Times New Roman" w:hAnsi="Calibri" w:cs="Calibri"/>
                <w:color w:val="000000"/>
              </w:rPr>
              <w:t>: c.1516G&gt;T</w:t>
            </w:r>
          </w:p>
        </w:tc>
        <w:tc>
          <w:tcPr>
            <w:tcW w:w="817" w:type="dxa"/>
            <w:noWrap/>
            <w:vAlign w:val="center"/>
            <w:hideMark/>
          </w:tcPr>
          <w:p w14:paraId="540117A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48F434A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5B95019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7E6A377F"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29</w:t>
            </w:r>
          </w:p>
        </w:tc>
        <w:tc>
          <w:tcPr>
            <w:tcW w:w="1111" w:type="dxa"/>
            <w:noWrap/>
            <w:vAlign w:val="center"/>
            <w:hideMark/>
          </w:tcPr>
          <w:p w14:paraId="4BDFEDD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305658</w:t>
            </w:r>
          </w:p>
        </w:tc>
        <w:tc>
          <w:tcPr>
            <w:tcW w:w="1136" w:type="dxa"/>
            <w:noWrap/>
            <w:vAlign w:val="bottom"/>
            <w:hideMark/>
          </w:tcPr>
          <w:p w14:paraId="68B3F76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9.49E-05</w:t>
            </w:r>
          </w:p>
        </w:tc>
        <w:tc>
          <w:tcPr>
            <w:tcW w:w="1054" w:type="dxa"/>
            <w:noWrap/>
            <w:vAlign w:val="bottom"/>
            <w:hideMark/>
          </w:tcPr>
          <w:p w14:paraId="5B26B09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1.14E-02</w:t>
            </w:r>
          </w:p>
        </w:tc>
        <w:tc>
          <w:tcPr>
            <w:tcW w:w="1272" w:type="dxa"/>
            <w:noWrap/>
            <w:vAlign w:val="bottom"/>
            <w:hideMark/>
          </w:tcPr>
          <w:p w14:paraId="76505A1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87.84</w:t>
            </w:r>
          </w:p>
        </w:tc>
        <w:tc>
          <w:tcPr>
            <w:tcW w:w="1217" w:type="dxa"/>
            <w:noWrap/>
            <w:vAlign w:val="bottom"/>
            <w:hideMark/>
          </w:tcPr>
          <w:p w14:paraId="039D96D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2.34E-02</w:t>
            </w:r>
          </w:p>
        </w:tc>
        <w:tc>
          <w:tcPr>
            <w:tcW w:w="1284" w:type="dxa"/>
            <w:noWrap/>
            <w:vAlign w:val="bottom"/>
            <w:hideMark/>
          </w:tcPr>
          <w:p w14:paraId="4FAFEE66"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2B599F6A"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016D1838" w14:textId="77777777" w:rsidTr="006E5749">
        <w:trPr>
          <w:trHeight w:val="300"/>
        </w:trPr>
        <w:tc>
          <w:tcPr>
            <w:tcW w:w="1980" w:type="dxa"/>
            <w:noWrap/>
            <w:vAlign w:val="center"/>
            <w:hideMark/>
          </w:tcPr>
          <w:p w14:paraId="0AD7A62A"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XRCC4</w:t>
            </w:r>
            <w:r w:rsidRPr="002E3A50">
              <w:rPr>
                <w:rFonts w:ascii="Calibri" w:eastAsia="Times New Roman" w:hAnsi="Calibri" w:cs="Calibri"/>
                <w:color w:val="000000"/>
              </w:rPr>
              <w:t>: c.25del</w:t>
            </w:r>
          </w:p>
        </w:tc>
        <w:tc>
          <w:tcPr>
            <w:tcW w:w="817" w:type="dxa"/>
            <w:noWrap/>
            <w:vAlign w:val="center"/>
            <w:hideMark/>
          </w:tcPr>
          <w:p w14:paraId="0E0E61B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58C775C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76FD69D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72D3540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321</w:t>
            </w:r>
          </w:p>
        </w:tc>
        <w:tc>
          <w:tcPr>
            <w:tcW w:w="1111" w:type="dxa"/>
            <w:noWrap/>
            <w:vAlign w:val="center"/>
            <w:hideMark/>
          </w:tcPr>
          <w:p w14:paraId="304C278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305339</w:t>
            </w:r>
          </w:p>
        </w:tc>
        <w:tc>
          <w:tcPr>
            <w:tcW w:w="1136" w:type="dxa"/>
            <w:noWrap/>
            <w:vAlign w:val="bottom"/>
            <w:hideMark/>
          </w:tcPr>
          <w:p w14:paraId="74943CE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1.05E-03</w:t>
            </w:r>
          </w:p>
        </w:tc>
        <w:tc>
          <w:tcPr>
            <w:tcW w:w="1054" w:type="dxa"/>
            <w:noWrap/>
            <w:vAlign w:val="bottom"/>
            <w:hideMark/>
          </w:tcPr>
          <w:p w14:paraId="75F251B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1.26E-01</w:t>
            </w:r>
          </w:p>
        </w:tc>
        <w:tc>
          <w:tcPr>
            <w:tcW w:w="1272" w:type="dxa"/>
            <w:noWrap/>
            <w:vAlign w:val="bottom"/>
            <w:hideMark/>
          </w:tcPr>
          <w:p w14:paraId="6C36095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7.94</w:t>
            </w:r>
          </w:p>
        </w:tc>
        <w:tc>
          <w:tcPr>
            <w:tcW w:w="1217" w:type="dxa"/>
            <w:noWrap/>
            <w:vAlign w:val="bottom"/>
            <w:hideMark/>
          </w:tcPr>
          <w:p w14:paraId="70110E1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1.39E-01</w:t>
            </w:r>
          </w:p>
        </w:tc>
        <w:tc>
          <w:tcPr>
            <w:tcW w:w="1284" w:type="dxa"/>
            <w:noWrap/>
            <w:vAlign w:val="bottom"/>
            <w:hideMark/>
          </w:tcPr>
          <w:p w14:paraId="59559CAF" w14:textId="77777777" w:rsidR="0025774A" w:rsidRPr="002E3A50" w:rsidRDefault="0025774A" w:rsidP="006E5749">
            <w:pPr>
              <w:spacing w:after="120" w:line="240" w:lineRule="auto"/>
              <w:jc w:val="right"/>
              <w:rPr>
                <w:rFonts w:ascii="Calibri" w:eastAsia="Times New Roman" w:hAnsi="Calibri" w:cs="Calibri"/>
                <w:color w:val="000000"/>
              </w:rPr>
            </w:pPr>
          </w:p>
        </w:tc>
        <w:tc>
          <w:tcPr>
            <w:tcW w:w="1165" w:type="dxa"/>
            <w:noWrap/>
            <w:vAlign w:val="bottom"/>
            <w:hideMark/>
          </w:tcPr>
          <w:p w14:paraId="4468BED0"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0D1616F6" w14:textId="77777777" w:rsidTr="006E5749">
        <w:trPr>
          <w:trHeight w:val="300"/>
        </w:trPr>
        <w:tc>
          <w:tcPr>
            <w:tcW w:w="1980" w:type="dxa"/>
            <w:noWrap/>
            <w:vAlign w:val="center"/>
            <w:hideMark/>
          </w:tcPr>
          <w:p w14:paraId="5146C9F9"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SPIDR</w:t>
            </w:r>
            <w:r w:rsidRPr="002E3A50">
              <w:rPr>
                <w:rFonts w:ascii="Calibri" w:eastAsia="Times New Roman" w:hAnsi="Calibri" w:cs="Calibri"/>
                <w:color w:val="000000"/>
              </w:rPr>
              <w:t>: c.814C&gt;T</w:t>
            </w:r>
          </w:p>
        </w:tc>
        <w:tc>
          <w:tcPr>
            <w:tcW w:w="817" w:type="dxa"/>
            <w:noWrap/>
            <w:vAlign w:val="center"/>
            <w:hideMark/>
          </w:tcPr>
          <w:p w14:paraId="23BF470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7C158ABF"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6178B71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6F1521B5"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w:t>
            </w:r>
          </w:p>
        </w:tc>
        <w:tc>
          <w:tcPr>
            <w:tcW w:w="1111" w:type="dxa"/>
            <w:noWrap/>
            <w:vAlign w:val="center"/>
            <w:hideMark/>
          </w:tcPr>
          <w:p w14:paraId="18BAFE9D"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304077</w:t>
            </w:r>
          </w:p>
        </w:tc>
        <w:tc>
          <w:tcPr>
            <w:tcW w:w="1136" w:type="dxa"/>
            <w:noWrap/>
            <w:vAlign w:val="bottom"/>
            <w:hideMark/>
          </w:tcPr>
          <w:p w14:paraId="58C68934"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0.00E+00</w:t>
            </w:r>
          </w:p>
        </w:tc>
        <w:tc>
          <w:tcPr>
            <w:tcW w:w="1054" w:type="dxa"/>
            <w:noWrap/>
            <w:vAlign w:val="bottom"/>
            <w:hideMark/>
          </w:tcPr>
          <w:p w14:paraId="538A6442"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0.00E+00</w:t>
            </w:r>
          </w:p>
        </w:tc>
        <w:tc>
          <w:tcPr>
            <w:tcW w:w="1272" w:type="dxa"/>
            <w:noWrap/>
            <w:vAlign w:val="bottom"/>
            <w:hideMark/>
          </w:tcPr>
          <w:p w14:paraId="7F35260B"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NA</w:t>
            </w:r>
          </w:p>
        </w:tc>
        <w:tc>
          <w:tcPr>
            <w:tcW w:w="1217" w:type="dxa"/>
            <w:noWrap/>
            <w:vAlign w:val="bottom"/>
            <w:hideMark/>
          </w:tcPr>
          <w:p w14:paraId="35016DAE"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2.77E-03</w:t>
            </w:r>
          </w:p>
        </w:tc>
        <w:tc>
          <w:tcPr>
            <w:tcW w:w="1284" w:type="dxa"/>
            <w:noWrap/>
            <w:vAlign w:val="bottom"/>
            <w:hideMark/>
          </w:tcPr>
          <w:p w14:paraId="12D98574"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c>
          <w:tcPr>
            <w:tcW w:w="1165" w:type="dxa"/>
            <w:noWrap/>
            <w:vAlign w:val="bottom"/>
            <w:hideMark/>
          </w:tcPr>
          <w:p w14:paraId="3DE1736E"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w:t>
            </w:r>
          </w:p>
        </w:tc>
      </w:tr>
      <w:tr w:rsidR="0025774A" w:rsidRPr="002E3A50" w14:paraId="549D3BDB" w14:textId="77777777" w:rsidTr="006E5749">
        <w:trPr>
          <w:trHeight w:val="300"/>
        </w:trPr>
        <w:tc>
          <w:tcPr>
            <w:tcW w:w="1980" w:type="dxa"/>
            <w:noWrap/>
            <w:vAlign w:val="center"/>
            <w:hideMark/>
          </w:tcPr>
          <w:p w14:paraId="237B803C"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i/>
                <w:iCs/>
                <w:color w:val="000000"/>
              </w:rPr>
              <w:t>PNKP</w:t>
            </w:r>
            <w:r w:rsidRPr="002E3A50">
              <w:rPr>
                <w:rFonts w:ascii="Calibri" w:eastAsia="Times New Roman" w:hAnsi="Calibri" w:cs="Calibri"/>
                <w:color w:val="000000"/>
              </w:rPr>
              <w:t>: c.1029+2T&gt;C</w:t>
            </w:r>
          </w:p>
        </w:tc>
        <w:tc>
          <w:tcPr>
            <w:tcW w:w="817" w:type="dxa"/>
            <w:noWrap/>
            <w:vAlign w:val="center"/>
            <w:hideMark/>
          </w:tcPr>
          <w:p w14:paraId="53F33F5C"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w:t>
            </w:r>
          </w:p>
        </w:tc>
        <w:tc>
          <w:tcPr>
            <w:tcW w:w="1052" w:type="dxa"/>
            <w:noWrap/>
            <w:vAlign w:val="center"/>
            <w:hideMark/>
          </w:tcPr>
          <w:p w14:paraId="35D283CA"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119</w:t>
            </w:r>
          </w:p>
        </w:tc>
        <w:tc>
          <w:tcPr>
            <w:tcW w:w="1136" w:type="dxa"/>
            <w:noWrap/>
            <w:vAlign w:val="center"/>
            <w:hideMark/>
          </w:tcPr>
          <w:p w14:paraId="6816AE47"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8.33E-03</w:t>
            </w:r>
          </w:p>
        </w:tc>
        <w:tc>
          <w:tcPr>
            <w:tcW w:w="872" w:type="dxa"/>
            <w:noWrap/>
            <w:vAlign w:val="center"/>
            <w:hideMark/>
          </w:tcPr>
          <w:p w14:paraId="4928C816"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1097</w:t>
            </w:r>
          </w:p>
        </w:tc>
        <w:tc>
          <w:tcPr>
            <w:tcW w:w="1111" w:type="dxa"/>
            <w:noWrap/>
            <w:vAlign w:val="center"/>
            <w:hideMark/>
          </w:tcPr>
          <w:p w14:paraId="3C90DC38"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239560</w:t>
            </w:r>
          </w:p>
        </w:tc>
        <w:tc>
          <w:tcPr>
            <w:tcW w:w="1136" w:type="dxa"/>
            <w:noWrap/>
            <w:vAlign w:val="bottom"/>
            <w:hideMark/>
          </w:tcPr>
          <w:p w14:paraId="1C5D1D39"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4.56E-03</w:t>
            </w:r>
          </w:p>
        </w:tc>
        <w:tc>
          <w:tcPr>
            <w:tcW w:w="1054" w:type="dxa"/>
            <w:noWrap/>
            <w:vAlign w:val="bottom"/>
            <w:hideMark/>
          </w:tcPr>
          <w:p w14:paraId="3B36D51F"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5.47E-01</w:t>
            </w:r>
          </w:p>
        </w:tc>
        <w:tc>
          <w:tcPr>
            <w:tcW w:w="1272" w:type="dxa"/>
            <w:noWrap/>
            <w:vAlign w:val="bottom"/>
            <w:hideMark/>
          </w:tcPr>
          <w:p w14:paraId="419ACFB1"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1.83</w:t>
            </w:r>
          </w:p>
        </w:tc>
        <w:tc>
          <w:tcPr>
            <w:tcW w:w="1217" w:type="dxa"/>
            <w:noWrap/>
            <w:vAlign w:val="bottom"/>
            <w:hideMark/>
          </w:tcPr>
          <w:p w14:paraId="6B1E9370" w14:textId="77777777" w:rsidR="0025774A" w:rsidRPr="002E3A50" w:rsidRDefault="0025774A" w:rsidP="006E5749">
            <w:pPr>
              <w:spacing w:after="120" w:line="240" w:lineRule="auto"/>
              <w:jc w:val="right"/>
              <w:rPr>
                <w:rFonts w:ascii="Calibri" w:eastAsia="Times New Roman" w:hAnsi="Calibri" w:cs="Calibri"/>
                <w:color w:val="000000"/>
              </w:rPr>
            </w:pPr>
            <w:r w:rsidRPr="002E3A50">
              <w:rPr>
                <w:rFonts w:ascii="Calibri" w:eastAsia="Times New Roman" w:hAnsi="Calibri" w:cs="Calibri"/>
                <w:color w:val="000000"/>
              </w:rPr>
              <w:t>4.22E-01</w:t>
            </w:r>
          </w:p>
        </w:tc>
        <w:tc>
          <w:tcPr>
            <w:tcW w:w="1284" w:type="dxa"/>
            <w:noWrap/>
            <w:vAlign w:val="bottom"/>
            <w:hideMark/>
          </w:tcPr>
          <w:p w14:paraId="0F0B1D3C" w14:textId="77777777" w:rsidR="0025774A" w:rsidRPr="002E3A50" w:rsidRDefault="0025774A" w:rsidP="006E5749">
            <w:pPr>
              <w:spacing w:after="120" w:line="240" w:lineRule="auto"/>
              <w:jc w:val="right"/>
              <w:rPr>
                <w:rFonts w:ascii="Calibri" w:eastAsia="Times New Roman" w:hAnsi="Calibri" w:cs="Calibri"/>
                <w:color w:val="000000"/>
              </w:rPr>
            </w:pPr>
          </w:p>
        </w:tc>
        <w:tc>
          <w:tcPr>
            <w:tcW w:w="1165" w:type="dxa"/>
            <w:noWrap/>
            <w:vAlign w:val="bottom"/>
            <w:hideMark/>
          </w:tcPr>
          <w:p w14:paraId="386D4FDA" w14:textId="77777777" w:rsidR="0025774A" w:rsidRPr="002E3A50" w:rsidRDefault="0025774A" w:rsidP="006E5749">
            <w:pPr>
              <w:spacing w:after="120" w:line="240" w:lineRule="auto"/>
              <w:rPr>
                <w:rFonts w:ascii="Calibri" w:eastAsia="Times New Roman" w:hAnsi="Calibri" w:cs="Calibri"/>
                <w:color w:val="000000"/>
              </w:rPr>
            </w:pPr>
            <w:r w:rsidRPr="002E3A50">
              <w:rPr>
                <w:rFonts w:ascii="Calibri" w:eastAsia="Times New Roman" w:hAnsi="Calibri" w:cs="Calibri"/>
                <w:color w:val="000000"/>
              </w:rPr>
              <w:t>NA</w:t>
            </w:r>
          </w:p>
        </w:tc>
      </w:tr>
    </w:tbl>
    <w:p w14:paraId="2F0E1C59" w14:textId="77777777" w:rsidR="0025774A" w:rsidRPr="002E3A50" w:rsidRDefault="0025774A" w:rsidP="0025774A">
      <w:pPr>
        <w:rPr>
          <w:b/>
          <w:bCs/>
        </w:rPr>
      </w:pPr>
    </w:p>
    <w:p w14:paraId="4B62495D" w14:textId="77777777" w:rsidR="0025774A" w:rsidRDefault="0025774A" w:rsidP="0025774A">
      <w:r w:rsidRPr="009C2E4B">
        <w:rPr>
          <w:b/>
          <w:bCs/>
        </w:rPr>
        <w:t>Table S2:</w:t>
      </w:r>
      <w:r>
        <w:t xml:space="preserve"> Variant-level analyses were performed using a beta binomial test and gene-level analyses using Firth regression. Note that monoallelic LPV/PVs in </w:t>
      </w:r>
      <w:r w:rsidRPr="009C2E4B">
        <w:rPr>
          <w:i/>
          <w:iCs/>
        </w:rPr>
        <w:t>MSH6</w:t>
      </w:r>
      <w:r>
        <w:t xml:space="preserve"> are associated with Lynch syndrome. Variants that were not included in the gene-level burden test due to higher carrier frequencies (</w:t>
      </w:r>
      <w:r w:rsidRPr="009C2E4B">
        <w:rPr>
          <w:i/>
          <w:iCs/>
        </w:rPr>
        <w:t>FANCM, PNKP</w:t>
      </w:r>
      <w:r>
        <w:t>) or autosomal dominant inheritance (</w:t>
      </w:r>
      <w:r w:rsidRPr="009C2E4B">
        <w:rPr>
          <w:i/>
          <w:iCs/>
        </w:rPr>
        <w:t>MSH6</w:t>
      </w:r>
      <w:r>
        <w:t xml:space="preserve">) are indicated by NA. Significance levels: ., </w:t>
      </w:r>
      <w:r w:rsidRPr="00062478">
        <w:rPr>
          <w:i/>
          <w:iCs/>
        </w:rPr>
        <w:t>p</w:t>
      </w:r>
      <w:r w:rsidRPr="00062478">
        <w:rPr>
          <w:vertAlign w:val="subscript"/>
        </w:rPr>
        <w:t>adjust</w:t>
      </w:r>
      <w:r>
        <w:t xml:space="preserve"> &lt; 0.1; *, </w:t>
      </w:r>
      <w:r w:rsidRPr="00062478">
        <w:rPr>
          <w:i/>
          <w:iCs/>
        </w:rPr>
        <w:t>p</w:t>
      </w:r>
      <w:r w:rsidRPr="00062478">
        <w:rPr>
          <w:vertAlign w:val="subscript"/>
        </w:rPr>
        <w:t>adjust</w:t>
      </w:r>
      <w:r>
        <w:t xml:space="preserve"> &lt; 0.05; **, </w:t>
      </w:r>
      <w:r w:rsidRPr="00062478">
        <w:rPr>
          <w:i/>
          <w:iCs/>
        </w:rPr>
        <w:t>p</w:t>
      </w:r>
      <w:r w:rsidRPr="00062478">
        <w:rPr>
          <w:vertAlign w:val="subscript"/>
        </w:rPr>
        <w:t>adjust</w:t>
      </w:r>
      <w:r>
        <w:t xml:space="preserve"> &lt; 0.01; ***, </w:t>
      </w:r>
      <w:r w:rsidRPr="00062478">
        <w:rPr>
          <w:i/>
          <w:iCs/>
        </w:rPr>
        <w:t>p</w:t>
      </w:r>
      <w:r w:rsidRPr="00062478">
        <w:rPr>
          <w:vertAlign w:val="subscript"/>
        </w:rPr>
        <w:t>adjust</w:t>
      </w:r>
      <w:r>
        <w:t xml:space="preserve"> &lt; 0.001.</w:t>
      </w:r>
    </w:p>
    <w:p w14:paraId="14A5561F" w14:textId="77777777" w:rsidR="0025774A" w:rsidRDefault="0025774A" w:rsidP="0025774A"/>
    <w:p w14:paraId="25E594DE" w14:textId="77777777" w:rsidR="0025774A" w:rsidRDefault="0025774A" w:rsidP="0025774A">
      <w:r>
        <w:rPr>
          <w:noProof/>
        </w:rPr>
        <w:drawing>
          <wp:inline distT="0" distB="0" distL="0" distR="0" wp14:anchorId="08C60DC0" wp14:editId="310A305B">
            <wp:extent cx="5669280" cy="2870200"/>
            <wp:effectExtent l="0" t="0" r="7620" b="635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9280" cy="2870200"/>
                    </a:xfrm>
                    <a:prstGeom prst="rect">
                      <a:avLst/>
                    </a:prstGeom>
                    <a:noFill/>
                    <a:ln>
                      <a:noFill/>
                    </a:ln>
                  </pic:spPr>
                </pic:pic>
              </a:graphicData>
            </a:graphic>
          </wp:inline>
        </w:drawing>
      </w:r>
    </w:p>
    <w:p w14:paraId="738CC590" w14:textId="77777777" w:rsidR="0025774A" w:rsidRDefault="0025774A" w:rsidP="0025774A">
      <w:r>
        <w:rPr>
          <w:b/>
        </w:rPr>
        <w:t>Figure S1. W</w:t>
      </w:r>
      <w:r w:rsidRPr="00450CDE">
        <w:rPr>
          <w:b/>
        </w:rPr>
        <w:t>orkflow of the WGS analysis</w:t>
      </w:r>
      <w:r>
        <w:rPr>
          <w:b/>
        </w:rPr>
        <w:t xml:space="preserve">. </w:t>
      </w:r>
      <w:r w:rsidRPr="00F65087">
        <w:t>Top panel: Variant calling and annotation using the megSAP NGS analysis pipeline, followed by variant filtering. Bottom panel: Detection of MEIs using Mobster, followed by MEI filtering based on DNA repair genes.</w:t>
      </w:r>
      <w:r>
        <w:t xml:space="preserve"> </w:t>
      </w:r>
    </w:p>
    <w:p w14:paraId="7A841900" w14:textId="77777777" w:rsidR="0025774A" w:rsidRPr="00C21B8D" w:rsidRDefault="0025774A" w:rsidP="0025774A">
      <w:r>
        <w:t>Databases: dbSNP</w:t>
      </w:r>
      <w:r w:rsidRPr="00997CE2">
        <w:rPr>
          <w:vertAlign w:val="superscript"/>
        </w:rPr>
        <w:t>1</w:t>
      </w:r>
      <w:r>
        <w:t>, ClinVar</w:t>
      </w:r>
      <w:r w:rsidRPr="00997CE2">
        <w:rPr>
          <w:vertAlign w:val="superscript"/>
        </w:rPr>
        <w:t>2</w:t>
      </w:r>
      <w:r>
        <w:t>, ClinGen</w:t>
      </w:r>
      <w:r>
        <w:rPr>
          <w:vertAlign w:val="superscript"/>
        </w:rPr>
        <w:t>3</w:t>
      </w:r>
      <w:r>
        <w:t>, OMIM</w:t>
      </w:r>
      <w:r w:rsidRPr="00997CE2">
        <w:rPr>
          <w:vertAlign w:val="superscript"/>
        </w:rPr>
        <w:t>4</w:t>
      </w:r>
      <w:r>
        <w:t>, COSMIC</w:t>
      </w:r>
      <w:r w:rsidRPr="00997CE2">
        <w:rPr>
          <w:vertAlign w:val="superscript"/>
        </w:rPr>
        <w:t>5</w:t>
      </w:r>
      <w:r>
        <w:t>, 1000g</w:t>
      </w:r>
      <w:r w:rsidRPr="00997CE2">
        <w:rPr>
          <w:vertAlign w:val="superscript"/>
        </w:rPr>
        <w:t>6</w:t>
      </w:r>
      <w:r>
        <w:t>, gnomAD</w:t>
      </w:r>
      <w:r w:rsidRPr="00997CE2">
        <w:rPr>
          <w:vertAlign w:val="superscript"/>
        </w:rPr>
        <w:t>7</w:t>
      </w:r>
      <w:r>
        <w:t>, VEP</w:t>
      </w:r>
      <w:r w:rsidRPr="00997CE2">
        <w:rPr>
          <w:vertAlign w:val="superscript"/>
        </w:rPr>
        <w:t>8</w:t>
      </w:r>
      <w:r>
        <w:t>, phyloP</w:t>
      </w:r>
      <w:r w:rsidRPr="00997CE2">
        <w:rPr>
          <w:vertAlign w:val="superscript"/>
        </w:rPr>
        <w:t>9</w:t>
      </w:r>
      <w:r>
        <w:t>, CADD</w:t>
      </w:r>
      <w:r w:rsidRPr="00997CE2">
        <w:rPr>
          <w:vertAlign w:val="superscript"/>
        </w:rPr>
        <w:t>10</w:t>
      </w:r>
      <w:r>
        <w:t>, REVEL</w:t>
      </w:r>
      <w:r w:rsidRPr="00997CE2">
        <w:rPr>
          <w:vertAlign w:val="superscript"/>
        </w:rPr>
        <w:t>11</w:t>
      </w:r>
      <w:r>
        <w:t>, AlphaMissense</w:t>
      </w:r>
      <w:r w:rsidRPr="00997CE2">
        <w:rPr>
          <w:vertAlign w:val="superscript"/>
        </w:rPr>
        <w:t>12</w:t>
      </w:r>
      <w:r>
        <w:t>, DECIPHER</w:t>
      </w:r>
      <w:r w:rsidRPr="00997CE2">
        <w:rPr>
          <w:vertAlign w:val="superscript"/>
        </w:rPr>
        <w:t>13</w:t>
      </w:r>
      <w:r>
        <w:t>, DGV</w:t>
      </w:r>
      <w:r w:rsidRPr="00997CE2">
        <w:rPr>
          <w:vertAlign w:val="superscript"/>
        </w:rPr>
        <w:t>14</w:t>
      </w:r>
      <w:r>
        <w:t>.</w:t>
      </w:r>
    </w:p>
    <w:p w14:paraId="38C00039" w14:textId="77777777" w:rsidR="0025774A" w:rsidRDefault="0025774A" w:rsidP="0025774A">
      <w:pPr>
        <w:pStyle w:val="CommentText"/>
        <w:numPr>
          <w:ilvl w:val="0"/>
          <w:numId w:val="1"/>
        </w:numPr>
      </w:pPr>
      <w:r>
        <w:t>Sherry ST, Ward MH, Kholodov M, Baker J, Phan L, Smigielski EM, Sirotkin K. dbSNP: the NCBI database of genetic variation. Nucleic Acids Res. 2001 Jan 1;29(1):308-11. doi: 10.1093/nar/29.1.308. PMID: 11125122; PMCID: PMC29783.</w:t>
      </w:r>
    </w:p>
    <w:p w14:paraId="38D561D9" w14:textId="77777777" w:rsidR="0025774A" w:rsidRDefault="0025774A" w:rsidP="0025774A">
      <w:pPr>
        <w:pStyle w:val="CommentText"/>
        <w:numPr>
          <w:ilvl w:val="0"/>
          <w:numId w:val="1"/>
        </w:numPr>
      </w:pPr>
      <w:hyperlink r:id="rId6" w:history="1">
        <w:r w:rsidRPr="00A57E8C">
          <w:rPr>
            <w:rStyle w:val="Hyperlink"/>
          </w:rPr>
          <w:t>https://www.ncbi.nlm.nih.gov/clinvar</w:t>
        </w:r>
      </w:hyperlink>
      <w:r>
        <w:t>; Landrum MJ, Chitipiralla S, Kaur K, Brown G, Chen C, Hart J, Hoffman D, Jang W, Liu C, Maddipatla Z, Maiti R, Mitchell J, Rezaie T, Riley G, Song G, Yang J, Ziyabari L, Russette A, Kattman BL. ClinVar: updates to support classifications of both germline and somatic variants. Nucleic Acids Res. 2024 Nov 23:gkae1090. doi: 10.1093/nar/gkae1090. [</w:t>
      </w:r>
      <w:hyperlink r:id="rId7" w:history="1">
        <w:r>
          <w:rPr>
            <w:rStyle w:val="Hyperlink"/>
          </w:rPr>
          <w:t>PMID:39578691</w:t>
        </w:r>
      </w:hyperlink>
      <w:r>
        <w:t>]</w:t>
      </w:r>
    </w:p>
    <w:p w14:paraId="6D17A52F" w14:textId="77777777" w:rsidR="0025774A" w:rsidRDefault="0025774A" w:rsidP="0025774A">
      <w:pPr>
        <w:pStyle w:val="CommentText"/>
        <w:numPr>
          <w:ilvl w:val="0"/>
          <w:numId w:val="1"/>
        </w:numPr>
      </w:pPr>
      <w:r w:rsidRPr="00ED6421">
        <w:t>https://www.clinicalgenome.org</w:t>
      </w:r>
    </w:p>
    <w:p w14:paraId="3F28F6BB" w14:textId="77777777" w:rsidR="0025774A" w:rsidRDefault="0025774A" w:rsidP="0025774A">
      <w:pPr>
        <w:pStyle w:val="CommentText"/>
        <w:numPr>
          <w:ilvl w:val="0"/>
          <w:numId w:val="1"/>
        </w:numPr>
      </w:pPr>
      <w:r w:rsidRPr="008F4507">
        <w:t xml:space="preserve">Online Mendelian Inheritance in Man, OMIM®. McKusick-Nathans Institute of Genetic Medicine, Johns Hopkins University (Baltimore, MD), </w:t>
      </w:r>
      <w:r>
        <w:t>2025</w:t>
      </w:r>
      <w:r w:rsidRPr="008F4507">
        <w:t xml:space="preserve">. World Wide Web URL: </w:t>
      </w:r>
      <w:hyperlink r:id="rId8" w:history="1">
        <w:r w:rsidRPr="00A57E8C">
          <w:rPr>
            <w:rStyle w:val="Hyperlink"/>
          </w:rPr>
          <w:t>https://omim.org/</w:t>
        </w:r>
      </w:hyperlink>
    </w:p>
    <w:p w14:paraId="218E4B1D" w14:textId="77777777" w:rsidR="0025774A" w:rsidRDefault="0025774A" w:rsidP="0025774A">
      <w:pPr>
        <w:pStyle w:val="CommentText"/>
        <w:numPr>
          <w:ilvl w:val="0"/>
          <w:numId w:val="1"/>
        </w:numPr>
      </w:pPr>
      <w:r w:rsidRPr="008F4507">
        <w:t>Forbes SA, Tang G, Bindal N, Bamford S, Dawson E, Cole C, Kok CY, Jia M, Ewing R, Menzies A, Teague JW, Stratton MR, Futreal PA. COSMIC (the Catalogue of Somatic Mutations in Cancer): a resource to investigate acquired mutations in human cancer. Nucleic Acids Res. 2010 Jan;38(Database issue):D652-7. doi: 10.1093/nar/gkp995. Epub 2009 Nov 11. PMID: 19906727; PMCID: PMC2808858.</w:t>
      </w:r>
    </w:p>
    <w:p w14:paraId="6AE44F94" w14:textId="77777777" w:rsidR="0025774A" w:rsidRPr="00FE7E54" w:rsidRDefault="0025774A" w:rsidP="0025774A">
      <w:pPr>
        <w:pStyle w:val="ListParagraph"/>
        <w:numPr>
          <w:ilvl w:val="0"/>
          <w:numId w:val="1"/>
        </w:numPr>
        <w:spacing w:after="0" w:line="240" w:lineRule="auto"/>
        <w:rPr>
          <w:sz w:val="20"/>
          <w:szCs w:val="20"/>
        </w:rPr>
      </w:pPr>
      <w:r w:rsidRPr="00FE7E54">
        <w:rPr>
          <w:sz w:val="20"/>
          <w:szCs w:val="20"/>
        </w:rPr>
        <w:t>1000 Genomes Project Consortium; Auton A, Brooks LD, Durbin RM, Garrison EP, Kang HM, Korbel JO, Marchini JL, McCarthy S, McVean GA, Abecasis GR. A global reference for human genetic variation. Nature. 2015 Oct 1;526(7571):68-74. doi: 10.1038/nature15393. PMID: 26432245; PMCID: PMC4750478.</w:t>
      </w:r>
    </w:p>
    <w:p w14:paraId="53CDDBDF" w14:textId="77777777" w:rsidR="0025774A" w:rsidRDefault="0025774A" w:rsidP="0025774A">
      <w:pPr>
        <w:pStyle w:val="CommentText"/>
        <w:numPr>
          <w:ilvl w:val="0"/>
          <w:numId w:val="1"/>
        </w:numPr>
      </w:pPr>
      <w:r w:rsidRPr="008F2B41">
        <w:t>Chen, S., Francioli, L.C., Goodrich, J.K. et al. A genomic mutational constraint map using variation in 76,156 human genomes. Nature 625, 92–100 (2024). https://doi.org/10.1038/s41586-023-06045-0</w:t>
      </w:r>
    </w:p>
    <w:p w14:paraId="1B78E4A3" w14:textId="77777777" w:rsidR="0025774A" w:rsidRDefault="0025774A" w:rsidP="0025774A">
      <w:pPr>
        <w:pStyle w:val="CommentText"/>
        <w:numPr>
          <w:ilvl w:val="0"/>
          <w:numId w:val="1"/>
        </w:numPr>
      </w:pPr>
      <w:r w:rsidRPr="00582149">
        <w:lastRenderedPageBreak/>
        <w:t>McLaren W, Gil L, Hunt SE, Riat HS, Ritchie GR, Thormann A, Flicek P, Cunningham F.</w:t>
      </w:r>
      <w:r>
        <w:t xml:space="preserve"> The Ensembl Variant Effect Predictor. Genome Biology Jun 6;17(1):122. (2016) doi:10.1186/s13059-016-0974-4</w:t>
      </w:r>
    </w:p>
    <w:p w14:paraId="07E806E7" w14:textId="77777777" w:rsidR="0025774A" w:rsidRDefault="0025774A" w:rsidP="0025774A">
      <w:pPr>
        <w:pStyle w:val="CommentText"/>
        <w:numPr>
          <w:ilvl w:val="0"/>
          <w:numId w:val="1"/>
        </w:numPr>
      </w:pPr>
      <w:r>
        <w:t>Pollard KS, Hubisz MJ, Rosenbloom KR, Siepel A. Detection of nonneutral substitution rates on mammalian phylogenies. Genome Res. 2010 Jan;20(1):110-21. doi: 10.1101/gr.097857.109. Epub 2009 Oct 26. PMID: 19858363; PMCID: PMC2798823.</w:t>
      </w:r>
    </w:p>
    <w:p w14:paraId="6B5D7C8B" w14:textId="77777777" w:rsidR="0025774A" w:rsidRDefault="0025774A" w:rsidP="0025774A">
      <w:pPr>
        <w:pStyle w:val="CommentText"/>
        <w:numPr>
          <w:ilvl w:val="0"/>
          <w:numId w:val="1"/>
        </w:numPr>
      </w:pPr>
      <w:r w:rsidRPr="008F2B41">
        <w:t>Philipp Rentzsch, Daniela Witten, Gregory M Cooper, Jay Shendure, Martin Kircher, CADD: predicting the deleteriousness of variants throughout the human genome, Nucleic Acids Research, Volume 47, Issue D1, 08 January 2019, Pages D886–D894, https://doi.org/10.1093/nar/gky1016</w:t>
      </w:r>
    </w:p>
    <w:p w14:paraId="7C7FDC46" w14:textId="77777777" w:rsidR="0025774A" w:rsidRDefault="0025774A" w:rsidP="0025774A">
      <w:pPr>
        <w:pStyle w:val="CommentText"/>
        <w:numPr>
          <w:ilvl w:val="0"/>
          <w:numId w:val="1"/>
        </w:numPr>
      </w:pPr>
      <w:r w:rsidRPr="008F2B41">
        <w:t>Ioannidis NM, Rothstein JH, Pejaver V, Middha S, McDonnell SK, Baheti S, Musolf A, Li Q, Holzinger E, Karyadi D, Cannon-Albright LA, Teerlink CC, Stanford JL, Isaacs WB, Xu J, Cooney KA, Lange EM, Schleutker J, Carpten JD, Powell IJ, Cussenot O, Cancel-Tassin G, Giles GG, MacInnis RJ, Maier C, Hsieh CL, Wiklund F, Catalona WJ, Foulkes WD, Mandal D, Eeles RA, Kote-Jarai Z, Bustamante CD, Schaid DJ, Hastie T, Ostrander EA, Bailey-Wilson JE, Radivojac P, Thibodeau SN, Whittemore AS, Sieh W. REVEL: An Ensemble Method for Predicting the Pathogenicity of Rare Missense Variants. Am J Hum Genet. 2016 Oct 6;99(4):877-885. doi: 10.1016/j.ajhg.2016.08.016. Epub 2016 Sep 22. PMID: 27666373; PMCID: PMC5065685.</w:t>
      </w:r>
    </w:p>
    <w:p w14:paraId="50326C54" w14:textId="77777777" w:rsidR="0025774A" w:rsidRDefault="0025774A" w:rsidP="0025774A">
      <w:pPr>
        <w:pStyle w:val="CommentText"/>
        <w:numPr>
          <w:ilvl w:val="0"/>
          <w:numId w:val="1"/>
        </w:numPr>
      </w:pPr>
      <w:r w:rsidRPr="008F2B41">
        <w:t>Cheng J, Novati G, Pan J, Bycroft C, Žemgulytė A, Applebaum T, Pritzel A, Wong LH, Zielinski M, Sargeant T, Schneider RG, Senior AW, Jumper J, Hassabis D, Kohli P, Avsec Ž. Accurate proteome-wide missense variant effect prediction with AlphaMissense. Science. 2023 Sep 22;381(6664):eadg7492. doi: 10.1126/science.adg7492. Epub 2023 Sep 22. PMID: 37733863.</w:t>
      </w:r>
    </w:p>
    <w:p w14:paraId="3972B8F1" w14:textId="77777777" w:rsidR="0025774A" w:rsidRDefault="0025774A" w:rsidP="0025774A">
      <w:r>
        <w:rPr>
          <w:b/>
          <w:noProof/>
        </w:rPr>
        <w:lastRenderedPageBreak/>
        <w:drawing>
          <wp:inline distT="0" distB="0" distL="0" distR="0" wp14:anchorId="6EEDCFF9" wp14:editId="34507726">
            <wp:extent cx="5735116" cy="8710993"/>
            <wp:effectExtent l="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391" cy="8723561"/>
                    </a:xfrm>
                    <a:prstGeom prst="rect">
                      <a:avLst/>
                    </a:prstGeom>
                    <a:noFill/>
                  </pic:spPr>
                </pic:pic>
              </a:graphicData>
            </a:graphic>
          </wp:inline>
        </w:drawing>
      </w:r>
    </w:p>
    <w:p w14:paraId="012DDB02" w14:textId="77777777" w:rsidR="0025774A" w:rsidRDefault="0025774A" w:rsidP="0025774A">
      <w:r w:rsidRPr="0029534F">
        <w:rPr>
          <w:b/>
        </w:rPr>
        <w:lastRenderedPageBreak/>
        <w:t xml:space="preserve">Figure </w:t>
      </w:r>
      <w:r>
        <w:rPr>
          <w:b/>
        </w:rPr>
        <w:t>S2</w:t>
      </w:r>
      <w:r w:rsidRPr="0029534F">
        <w:rPr>
          <w:b/>
        </w:rPr>
        <w:t>. MEI</w:t>
      </w:r>
      <w:r>
        <w:rPr>
          <w:b/>
        </w:rPr>
        <w:t>s</w:t>
      </w:r>
      <w:r w:rsidRPr="0029534F">
        <w:rPr>
          <w:b/>
        </w:rPr>
        <w:t xml:space="preserve"> in DNA repair g</w:t>
      </w:r>
      <w:r>
        <w:rPr>
          <w:b/>
        </w:rPr>
        <w:t xml:space="preserve">enes detected by Mobster in WGS data from 134 HBOC patients. </w:t>
      </w:r>
      <w:r>
        <w:t>Left side: WGS and Mobster visualization via IGV [1] comparing control (upper part) to patient (lower part) with soft-clipped based of the insertion shown. A.)</w:t>
      </w:r>
      <w:r w:rsidRPr="005D7B2D">
        <w:t xml:space="preserve"> </w:t>
      </w:r>
      <w:r w:rsidRPr="007B302B">
        <w:t>AluYc3</w:t>
      </w:r>
      <w:r>
        <w:t xml:space="preserve"> insertion</w:t>
      </w:r>
      <w:r w:rsidRPr="005D7B2D">
        <w:t xml:space="preserve"> in </w:t>
      </w:r>
      <w:r>
        <w:t xml:space="preserve">the </w:t>
      </w:r>
      <w:r w:rsidRPr="005D7B2D">
        <w:rPr>
          <w:i/>
        </w:rPr>
        <w:t>MSH4</w:t>
      </w:r>
      <w:r w:rsidRPr="005D7B2D">
        <w:t xml:space="preserve"> gene</w:t>
      </w:r>
      <w:r>
        <w:t xml:space="preserve"> of patient P20. B.)</w:t>
      </w:r>
      <w:r w:rsidRPr="005F1CF4">
        <w:t xml:space="preserve"> </w:t>
      </w:r>
      <w:r w:rsidRPr="004E1FD4">
        <w:t>AluYb9</w:t>
      </w:r>
      <w:r w:rsidRPr="0078458F">
        <w:t xml:space="preserve"> insertion </w:t>
      </w:r>
      <w:r w:rsidRPr="00F62BA3">
        <w:t xml:space="preserve">in the </w:t>
      </w:r>
      <w:r w:rsidRPr="00F62BA3">
        <w:rPr>
          <w:i/>
        </w:rPr>
        <w:t>MTOR</w:t>
      </w:r>
      <w:r w:rsidRPr="00F62BA3">
        <w:t xml:space="preserve"> gene of patient</w:t>
      </w:r>
      <w:r>
        <w:t xml:space="preserve"> P21. C.) </w:t>
      </w:r>
      <w:r w:rsidRPr="00470BFD">
        <w:t>AluYa5</w:t>
      </w:r>
      <w:r>
        <w:t xml:space="preserve"> insertion</w:t>
      </w:r>
      <w:r w:rsidRPr="005D7B2D">
        <w:t xml:space="preserve"> in </w:t>
      </w:r>
      <w:r>
        <w:t xml:space="preserve">the </w:t>
      </w:r>
      <w:r w:rsidRPr="00BB2C35">
        <w:rPr>
          <w:i/>
        </w:rPr>
        <w:t>POLB</w:t>
      </w:r>
      <w:r w:rsidRPr="005D7B2D">
        <w:t xml:space="preserve"> gene</w:t>
      </w:r>
      <w:r>
        <w:t xml:space="preserve"> of patient P22. D.) </w:t>
      </w:r>
      <w:r w:rsidRPr="00201A35">
        <w:t xml:space="preserve">L1 element insertion in the </w:t>
      </w:r>
      <w:r w:rsidRPr="00201A35">
        <w:rPr>
          <w:i/>
        </w:rPr>
        <w:t>POLK</w:t>
      </w:r>
      <w:r w:rsidRPr="00201A35">
        <w:t xml:space="preserve"> gene </w:t>
      </w:r>
      <w:r>
        <w:t>of patient P23. E.)</w:t>
      </w:r>
      <w:r w:rsidRPr="00201A35">
        <w:t xml:space="preserve"> L1 element insertion in the </w:t>
      </w:r>
      <w:r>
        <w:rPr>
          <w:i/>
        </w:rPr>
        <w:t>SPIDR</w:t>
      </w:r>
      <w:r w:rsidRPr="00201A35">
        <w:t xml:space="preserve"> gene </w:t>
      </w:r>
      <w:r>
        <w:t xml:space="preserve">of patient P1. F.) </w:t>
      </w:r>
      <w:r w:rsidRPr="00470BFD">
        <w:t>AluYb9</w:t>
      </w:r>
      <w:r w:rsidRPr="00201A35">
        <w:t xml:space="preserve"> </w:t>
      </w:r>
      <w:r>
        <w:t>insertion</w:t>
      </w:r>
      <w:r w:rsidRPr="005D7B2D">
        <w:t xml:space="preserve"> in </w:t>
      </w:r>
      <w:r>
        <w:t xml:space="preserve">the </w:t>
      </w:r>
      <w:r>
        <w:rPr>
          <w:i/>
        </w:rPr>
        <w:t>TP63</w:t>
      </w:r>
      <w:r w:rsidRPr="005D7B2D">
        <w:t xml:space="preserve"> gene</w:t>
      </w:r>
      <w:r>
        <w:t xml:space="preserve"> of patient P24. The red arrows mark the insertion point of each MEI.</w:t>
      </w:r>
    </w:p>
    <w:p w14:paraId="57378CF4" w14:textId="77777777" w:rsidR="0025774A" w:rsidRDefault="0025774A" w:rsidP="0025774A">
      <w:r>
        <w:t>Right side: Magnified view of the soft-clipped base sequence at the insertion point of the MEI (highlighted by a black box). Directly below each magnification is the consensus sequence of the corresponding MEI, as retrieved from the Dfam 3.7 database (</w:t>
      </w:r>
      <w:r w:rsidRPr="002C06B1">
        <w:t>https://www.dfam.org/</w:t>
      </w:r>
      <w:r>
        <w:t>).</w:t>
      </w:r>
    </w:p>
    <w:p w14:paraId="09275372" w14:textId="77777777" w:rsidR="0025774A" w:rsidRDefault="0025774A" w:rsidP="0025774A">
      <w:pPr>
        <w:pStyle w:val="ListParagraph"/>
        <w:numPr>
          <w:ilvl w:val="0"/>
          <w:numId w:val="2"/>
        </w:numPr>
      </w:pPr>
      <w:r w:rsidRPr="000A43D2">
        <w:t>Robinson JT, Thorvaldsdóttir H, Winckler W, Guttman M, Lander ES, Getz G, Mesirov JP. Integrative genomics viewer. Nat Biotechnol. 2011 Jan;29(1):24-6. doi: 10.1038/nbt.1754. PMID: 21221095; PMCID: PMC3346182</w:t>
      </w:r>
    </w:p>
    <w:p w14:paraId="44B90372" w14:textId="77777777" w:rsidR="0025774A" w:rsidRPr="00DC12A0" w:rsidRDefault="0025774A" w:rsidP="0025774A">
      <w:pPr>
        <w:rPr>
          <w:b/>
        </w:rPr>
      </w:pPr>
    </w:p>
    <w:p w14:paraId="32E85CE4" w14:textId="77777777" w:rsidR="00DE6AE2" w:rsidRDefault="00DE6AE2"/>
    <w:sectPr w:rsidR="00DE6AE2" w:rsidSect="0025774A">
      <w:footerReference w:type="default" r:id="rId10"/>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352587"/>
      <w:docPartObj>
        <w:docPartGallery w:val="Page Numbers (Bottom of Page)"/>
        <w:docPartUnique/>
      </w:docPartObj>
    </w:sdtPr>
    <w:sdtContent>
      <w:p w14:paraId="0DF7B1AB" w14:textId="77777777" w:rsidR="0025774A" w:rsidRDefault="0025774A">
        <w:pPr>
          <w:pStyle w:val="Footer"/>
          <w:jc w:val="right"/>
        </w:pPr>
        <w:r>
          <w:fldChar w:fldCharType="begin"/>
        </w:r>
        <w:r>
          <w:instrText>PAGE   \* MERGEFORMAT</w:instrText>
        </w:r>
        <w:r>
          <w:fldChar w:fldCharType="separate"/>
        </w:r>
        <w:r>
          <w:rPr>
            <w:lang w:val="de-DE"/>
          </w:rPr>
          <w:t>2</w:t>
        </w:r>
        <w:r>
          <w:fldChar w:fldCharType="end"/>
        </w:r>
      </w:p>
    </w:sdtContent>
  </w:sdt>
  <w:p w14:paraId="72679DD2" w14:textId="77777777" w:rsidR="0025774A" w:rsidRDefault="0025774A">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227CE"/>
    <w:multiLevelType w:val="hybridMultilevel"/>
    <w:tmpl w:val="B72A48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F204711"/>
    <w:multiLevelType w:val="hybridMultilevel"/>
    <w:tmpl w:val="16E822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0167208">
    <w:abstractNumId w:val="0"/>
  </w:num>
  <w:num w:numId="2" w16cid:durableId="168838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4A"/>
    <w:rsid w:val="00195413"/>
    <w:rsid w:val="0025774A"/>
    <w:rsid w:val="003D0186"/>
    <w:rsid w:val="007278E4"/>
    <w:rsid w:val="00A3738C"/>
    <w:rsid w:val="00BC6C35"/>
    <w:rsid w:val="00CB270D"/>
    <w:rsid w:val="00CF7583"/>
    <w:rsid w:val="00D90563"/>
    <w:rsid w:val="00DE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4E2A"/>
  <w15:chartTrackingRefBased/>
  <w15:docId w15:val="{A5D227DA-9AFA-4541-BEAD-541238727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74A"/>
    <w:pPr>
      <w:spacing w:line="480" w:lineRule="auto"/>
    </w:pPr>
    <w:rPr>
      <w:rFonts w:ascii="Times New Roman" w:hAnsi="Times New Roman"/>
      <w:kern w:val="0"/>
      <w:sz w:val="22"/>
      <w:szCs w:val="22"/>
      <w14:ligatures w14:val="none"/>
    </w:rPr>
  </w:style>
  <w:style w:type="paragraph" w:styleId="Heading1">
    <w:name w:val="heading 1"/>
    <w:basedOn w:val="Normal"/>
    <w:next w:val="Normal"/>
    <w:link w:val="Heading1Char"/>
    <w:uiPriority w:val="9"/>
    <w:qFormat/>
    <w:rsid w:val="002577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77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77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77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77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77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7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7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7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7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77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77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77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77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77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7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7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74A"/>
    <w:rPr>
      <w:rFonts w:eastAsiaTheme="majorEastAsia" w:cstheme="majorBidi"/>
      <w:color w:val="272727" w:themeColor="text1" w:themeTint="D8"/>
    </w:rPr>
  </w:style>
  <w:style w:type="paragraph" w:styleId="Title">
    <w:name w:val="Title"/>
    <w:basedOn w:val="Normal"/>
    <w:next w:val="Normal"/>
    <w:link w:val="TitleChar"/>
    <w:uiPriority w:val="10"/>
    <w:qFormat/>
    <w:rsid w:val="002577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7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7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7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74A"/>
    <w:pPr>
      <w:spacing w:before="160"/>
      <w:jc w:val="center"/>
    </w:pPr>
    <w:rPr>
      <w:i/>
      <w:iCs/>
      <w:color w:val="404040" w:themeColor="text1" w:themeTint="BF"/>
    </w:rPr>
  </w:style>
  <w:style w:type="character" w:customStyle="1" w:styleId="QuoteChar">
    <w:name w:val="Quote Char"/>
    <w:basedOn w:val="DefaultParagraphFont"/>
    <w:link w:val="Quote"/>
    <w:uiPriority w:val="29"/>
    <w:rsid w:val="0025774A"/>
    <w:rPr>
      <w:i/>
      <w:iCs/>
      <w:color w:val="404040" w:themeColor="text1" w:themeTint="BF"/>
    </w:rPr>
  </w:style>
  <w:style w:type="paragraph" w:styleId="ListParagraph">
    <w:name w:val="List Paragraph"/>
    <w:basedOn w:val="Normal"/>
    <w:uiPriority w:val="34"/>
    <w:qFormat/>
    <w:rsid w:val="0025774A"/>
    <w:pPr>
      <w:ind w:left="720"/>
      <w:contextualSpacing/>
    </w:pPr>
  </w:style>
  <w:style w:type="character" w:styleId="IntenseEmphasis">
    <w:name w:val="Intense Emphasis"/>
    <w:basedOn w:val="DefaultParagraphFont"/>
    <w:uiPriority w:val="21"/>
    <w:qFormat/>
    <w:rsid w:val="0025774A"/>
    <w:rPr>
      <w:i/>
      <w:iCs/>
      <w:color w:val="0F4761" w:themeColor="accent1" w:themeShade="BF"/>
    </w:rPr>
  </w:style>
  <w:style w:type="paragraph" w:styleId="IntenseQuote">
    <w:name w:val="Intense Quote"/>
    <w:basedOn w:val="Normal"/>
    <w:next w:val="Normal"/>
    <w:link w:val="IntenseQuoteChar"/>
    <w:uiPriority w:val="30"/>
    <w:qFormat/>
    <w:rsid w:val="002577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774A"/>
    <w:rPr>
      <w:i/>
      <w:iCs/>
      <w:color w:val="0F4761" w:themeColor="accent1" w:themeShade="BF"/>
    </w:rPr>
  </w:style>
  <w:style w:type="character" w:styleId="IntenseReference">
    <w:name w:val="Intense Reference"/>
    <w:basedOn w:val="DefaultParagraphFont"/>
    <w:uiPriority w:val="32"/>
    <w:qFormat/>
    <w:rsid w:val="0025774A"/>
    <w:rPr>
      <w:b/>
      <w:bCs/>
      <w:smallCaps/>
      <w:color w:val="0F4761" w:themeColor="accent1" w:themeShade="BF"/>
      <w:spacing w:val="5"/>
    </w:rPr>
  </w:style>
  <w:style w:type="character" w:styleId="Hyperlink">
    <w:name w:val="Hyperlink"/>
    <w:basedOn w:val="DefaultParagraphFont"/>
    <w:uiPriority w:val="99"/>
    <w:unhideWhenUsed/>
    <w:rsid w:val="0025774A"/>
    <w:rPr>
      <w:color w:val="467886" w:themeColor="hyperlink"/>
      <w:u w:val="single"/>
    </w:rPr>
  </w:style>
  <w:style w:type="paragraph" w:styleId="CommentText">
    <w:name w:val="annotation text"/>
    <w:basedOn w:val="Normal"/>
    <w:link w:val="CommentTextChar"/>
    <w:uiPriority w:val="99"/>
    <w:unhideWhenUsed/>
    <w:rsid w:val="0025774A"/>
    <w:pPr>
      <w:spacing w:line="240" w:lineRule="auto"/>
    </w:pPr>
    <w:rPr>
      <w:sz w:val="20"/>
      <w:szCs w:val="20"/>
    </w:rPr>
  </w:style>
  <w:style w:type="character" w:customStyle="1" w:styleId="CommentTextChar">
    <w:name w:val="Comment Text Char"/>
    <w:basedOn w:val="DefaultParagraphFont"/>
    <w:link w:val="CommentText"/>
    <w:uiPriority w:val="99"/>
    <w:rsid w:val="0025774A"/>
    <w:rPr>
      <w:rFonts w:ascii="Times New Roman" w:hAnsi="Times New Roman"/>
      <w:kern w:val="0"/>
      <w:sz w:val="20"/>
      <w:szCs w:val="20"/>
      <w14:ligatures w14:val="none"/>
    </w:rPr>
  </w:style>
  <w:style w:type="paragraph" w:styleId="Footer">
    <w:name w:val="footer"/>
    <w:basedOn w:val="Normal"/>
    <w:link w:val="FooterChar"/>
    <w:uiPriority w:val="99"/>
    <w:unhideWhenUsed/>
    <w:rsid w:val="00257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74A"/>
    <w:rPr>
      <w:rFonts w:ascii="Times New Roman" w:hAnsi="Times New Roman"/>
      <w:kern w:val="0"/>
      <w:sz w:val="22"/>
      <w:szCs w:val="22"/>
      <w14:ligatures w14:val="none"/>
    </w:rPr>
  </w:style>
  <w:style w:type="character" w:styleId="LineNumber">
    <w:name w:val="line number"/>
    <w:basedOn w:val="DefaultParagraphFont"/>
    <w:uiPriority w:val="99"/>
    <w:semiHidden/>
    <w:unhideWhenUsed/>
    <w:rsid w:val="00257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mim.org/" TargetMode="External"/><Relationship Id="rId3" Type="http://schemas.openxmlformats.org/officeDocument/2006/relationships/settings" Target="settings.xml"/><Relationship Id="rId7" Type="http://schemas.openxmlformats.org/officeDocument/2006/relationships/hyperlink" Target="https://www.ncbi.nlm.nih.gov/pubmed/3957869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clinvar"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1314</Words>
  <Characters>7492</Characters>
  <Application>Microsoft Office Word</Application>
  <DocSecurity>0</DocSecurity>
  <Lines>62</Lines>
  <Paragraphs>17</Paragraphs>
  <ScaleCrop>false</ScaleCrop>
  <Company>Springer Nature</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Nawale</dc:creator>
  <cp:keywords/>
  <dc:description/>
  <cp:lastModifiedBy>Nilesh Nawale</cp:lastModifiedBy>
  <cp:revision>1</cp:revision>
  <dcterms:created xsi:type="dcterms:W3CDTF">2026-05-20T10:52:00Z</dcterms:created>
  <dcterms:modified xsi:type="dcterms:W3CDTF">2026-05-20T10:52:00Z</dcterms:modified>
</cp:coreProperties>
</file>