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D67B" w14:textId="77777777" w:rsidR="00797074" w:rsidRDefault="00797074" w:rsidP="00797074">
      <w:pPr>
        <w:pStyle w:val="BodyTex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86468C3" wp14:editId="3F1403AA">
            <wp:extent cx="5274310" cy="4211955"/>
            <wp:effectExtent l="0" t="0" r="2540" b="0"/>
            <wp:docPr id="117578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858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6E16F" w14:textId="77777777" w:rsidR="00797074" w:rsidRDefault="00797074" w:rsidP="00797074">
      <w:pPr>
        <w:pStyle w:val="BodyTex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E1</w:t>
      </w:r>
      <w:r>
        <w:rPr>
          <w:rFonts w:ascii="Times New Roman" w:hAnsi="Times New Roman" w:cs="Times New Roman"/>
          <w:b/>
          <w:bCs/>
          <w:sz w:val="20"/>
          <w:szCs w:val="20"/>
        </w:rPr>
        <w:t>: Interobserver reproducibility of quantitative dual-energy CT parameters.</w:t>
      </w:r>
    </w:p>
    <w:p w14:paraId="1A13345F" w14:textId="77777777" w:rsidR="00797074" w:rsidRDefault="00797074" w:rsidP="00797074">
      <w:pPr>
        <w:pStyle w:val="BodyText"/>
        <w:spacing w:after="0"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Note.—</w:t>
      </w:r>
      <w:r>
        <w:rPr>
          <w:rFonts w:ascii="Times New Roman" w:hAnsi="Times New Roman" w:cs="Times New Roman"/>
          <w:sz w:val="20"/>
          <w:szCs w:val="20"/>
        </w:rPr>
        <w:t> Horizontal bar chart illustrates the intraclass correlation coefficients (ICCs) for 19 quantitative parameters between two independent readers. The vertical dashed line indicates the threshold for excellent agreement (ICC = .75). Error bars represent 95% CIs. All functional spectral parameters (slopes) and iodine concentration metrics exceeded this threshold, confirming high measurement stability for model construction. AP = arterial phase, DECT = dual-energy CT, ECV = extracellular volume fraction, EP = equilibrium phase, IC = iodine concentration, NIC = normalized iodine concentration, VP = venous phase.</w:t>
      </w:r>
    </w:p>
    <w:p w14:paraId="6DCCDA34" w14:textId="77777777" w:rsidR="00797074" w:rsidRDefault="00797074" w:rsidP="00797074">
      <w:pPr>
        <w:pStyle w:val="BodyText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6DBF7D9" w14:textId="77777777" w:rsidR="00797074" w:rsidRDefault="00797074" w:rsidP="00797074">
      <w:pPr>
        <w:pStyle w:val="BodyTex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DDD704A" wp14:editId="3329B76D">
            <wp:extent cx="5274310" cy="2117090"/>
            <wp:effectExtent l="0" t="0" r="2540" b="0"/>
            <wp:docPr id="10940064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06465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1C85" w14:textId="77777777" w:rsidR="00797074" w:rsidRDefault="00797074" w:rsidP="00797074">
      <w:pPr>
        <w:pStyle w:val="BodyTex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E2</w:t>
      </w:r>
      <w:r>
        <w:rPr>
          <w:rFonts w:ascii="Times New Roman" w:hAnsi="Times New Roman" w:cs="Times New Roman"/>
          <w:b/>
          <w:bCs/>
          <w:sz w:val="20"/>
          <w:szCs w:val="20"/>
        </w:rPr>
        <w:t>: Radiomic and spectral feature selection using the least absolute shrinkage and selection operator (LASSO) method.</w:t>
      </w:r>
    </w:p>
    <w:p w14:paraId="2812E83E" w14:textId="77777777" w:rsidR="00797074" w:rsidRDefault="00797074" w:rsidP="00797074">
      <w:pPr>
        <w:pStyle w:val="BodyTex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Note.—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</w:rPr>
        <w:t>(A)</w:t>
      </w:r>
      <w:r>
        <w:rPr>
          <w:rFonts w:ascii="Times New Roman" w:hAnsi="Times New Roman" w:cs="Times New Roman"/>
          <w:sz w:val="20"/>
          <w:szCs w:val="20"/>
        </w:rPr>
        <w:t> Selection of the optimal tuning parameter (</w:t>
      </w:r>
      <w:r>
        <w:rPr>
          <w:rFonts w:ascii="Times New Roman" w:hAnsi="Times New Roman" w:cs="Times New Roman"/>
          <w:i/>
          <w:iCs/>
          <w:sz w:val="20"/>
          <w:szCs w:val="20"/>
        </w:rPr>
        <w:t>λ</w:t>
      </w:r>
      <w:r>
        <w:rPr>
          <w:rFonts w:ascii="Times New Roman" w:hAnsi="Times New Roman" w:cs="Times New Roman"/>
          <w:sz w:val="20"/>
          <w:szCs w:val="20"/>
        </w:rPr>
        <w:t>) via 10-fold cross-validation. The mean squared error (MSE) is plotted against −</w:t>
      </w:r>
      <w:r>
        <w:rPr>
          <w:rFonts w:ascii="Times New Roman" w:hAnsi="Times New Roman" w:cs="Times New Roman"/>
          <w:i/>
          <w:iCs/>
          <w:sz w:val="20"/>
          <w:szCs w:val="20"/>
        </w:rPr>
        <w:t>log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λ</w:t>
      </w:r>
      <w:r>
        <w:rPr>
          <w:rFonts w:ascii="Times New Roman" w:hAnsi="Times New Roman" w:cs="Times New Roman"/>
          <w:sz w:val="20"/>
          <w:szCs w:val="20"/>
        </w:rPr>
        <w:t>). The vertical dashed line indicates the optimal </w:t>
      </w:r>
      <w:r>
        <w:rPr>
          <w:rFonts w:ascii="Times New Roman" w:hAnsi="Times New Roman" w:cs="Times New Roman"/>
          <w:i/>
          <w:iCs/>
          <w:sz w:val="20"/>
          <w:szCs w:val="20"/>
        </w:rPr>
        <w:t>λ</w:t>
      </w:r>
      <w:r>
        <w:rPr>
          <w:rFonts w:ascii="Times New Roman" w:hAnsi="Times New Roman" w:cs="Times New Roman"/>
          <w:sz w:val="20"/>
          <w:szCs w:val="20"/>
        </w:rPr>
        <w:t> value where the MSE is minimized, ensuring a balance between model complexity and predictive power. </w:t>
      </w:r>
      <w:r>
        <w:rPr>
          <w:rFonts w:ascii="Times New Roman" w:hAnsi="Times New Roman" w:cs="Times New Roman"/>
          <w:b/>
          <w:bCs/>
          <w:sz w:val="20"/>
          <w:szCs w:val="20"/>
        </w:rPr>
        <w:t>(B)</w:t>
      </w:r>
      <w:r>
        <w:rPr>
          <w:rFonts w:ascii="Times New Roman" w:hAnsi="Times New Roman" w:cs="Times New Roman"/>
          <w:sz w:val="20"/>
          <w:szCs w:val="20"/>
        </w:rPr>
        <w:t> LASSO coefficient profile plot against the −</w:t>
      </w:r>
      <w:r>
        <w:rPr>
          <w:rFonts w:ascii="Times New Roman" w:hAnsi="Times New Roman" w:cs="Times New Roman"/>
          <w:i/>
          <w:iCs/>
          <w:sz w:val="20"/>
          <w:szCs w:val="20"/>
        </w:rPr>
        <w:t>log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λ</w:t>
      </w:r>
      <w:r>
        <w:rPr>
          <w:rFonts w:ascii="Times New Roman" w:hAnsi="Times New Roman" w:cs="Times New Roman"/>
          <w:sz w:val="20"/>
          <w:szCs w:val="20"/>
        </w:rPr>
        <w:t>) sequence. Each colored line represents the coefficient of a candidate feature. At the optimal </w:t>
      </w:r>
      <w:r>
        <w:rPr>
          <w:rFonts w:ascii="Times New Roman" w:hAnsi="Times New Roman" w:cs="Times New Roman"/>
          <w:i/>
          <w:iCs/>
          <w:sz w:val="20"/>
          <w:szCs w:val="20"/>
        </w:rPr>
        <w:t>λ</w:t>
      </w:r>
      <w:r>
        <w:rPr>
          <w:rFonts w:ascii="Times New Roman" w:hAnsi="Times New Roman" w:cs="Times New Roman"/>
          <w:sz w:val="20"/>
          <w:szCs w:val="20"/>
        </w:rPr>
        <w:t> value, 12 features with non-zero coefficients were identified to construct the final signature.</w:t>
      </w:r>
    </w:p>
    <w:p w14:paraId="730CBBD6" w14:textId="77777777" w:rsidR="00797074" w:rsidRDefault="00797074" w:rsidP="00797074">
      <w:pPr>
        <w:pStyle w:val="BodyTex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35346C9" wp14:editId="4CCF5DDE">
            <wp:extent cx="5274310" cy="4376420"/>
            <wp:effectExtent l="0" t="0" r="2540" b="5080"/>
            <wp:docPr id="463438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3888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F024B" w14:textId="77777777" w:rsidR="00797074" w:rsidRDefault="00797074" w:rsidP="00797074">
      <w:pPr>
        <w:pStyle w:val="BodyText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E3</w:t>
      </w:r>
      <w:r>
        <w:rPr>
          <w:rFonts w:ascii="Times New Roman" w:hAnsi="Times New Roman" w:cs="Times New Roman"/>
          <w:b/>
          <w:bCs/>
          <w:sz w:val="20"/>
          <w:szCs w:val="20"/>
        </w:rPr>
        <w:t>: Biological correlation between the Habitat-Spectral signature and pathological markers.</w:t>
      </w:r>
    </w:p>
    <w:p w14:paraId="6B57D355" w14:textId="77777777" w:rsidR="00797074" w:rsidRDefault="00797074" w:rsidP="00797074">
      <w:pPr>
        <w:pStyle w:val="BodyTex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Note.—</w:t>
      </w:r>
      <w:r>
        <w:rPr>
          <w:rFonts w:ascii="Times New Roman" w:hAnsi="Times New Roman" w:cs="Times New Roman"/>
          <w:sz w:val="20"/>
          <w:szCs w:val="20"/>
        </w:rPr>
        <w:t> Heatmap illustrates Spearman correlation coefficients (</w:t>
      </w:r>
      <w:r>
        <w:rPr>
          <w:rFonts w:ascii="Times New Roman" w:hAnsi="Times New Roman" w:cs="Times New Roman"/>
          <w:i/>
          <w:iCs/>
          <w:sz w:val="20"/>
          <w:szCs w:val="20"/>
        </w:rPr>
        <w:t>ρ</w:t>
      </w:r>
      <w:r>
        <w:rPr>
          <w:rFonts w:ascii="Times New Roman" w:hAnsi="Times New Roman" w:cs="Times New Roman"/>
          <w:sz w:val="20"/>
          <w:szCs w:val="20"/>
        </w:rPr>
        <w:t>) between the three components of the integrated model and macroscopic pathological findings. Venous-phase spectral slope (</w:t>
      </w:r>
      <w:proofErr w:type="spellStart"/>
      <w:r>
        <w:rPr>
          <w:rFonts w:ascii="Times New Roman" w:hAnsi="Times New Roman" w:cs="Times New Roman"/>
          <w:sz w:val="20"/>
          <w:szCs w:val="20"/>
        </w:rPr>
        <w:t>Slope_VP</w:t>
      </w:r>
      <w:proofErr w:type="spellEnd"/>
      <w:r>
        <w:rPr>
          <w:rFonts w:ascii="Times New Roman" w:hAnsi="Times New Roman" w:cs="Times New Roman"/>
          <w:sz w:val="20"/>
          <w:szCs w:val="20"/>
        </w:rPr>
        <w:t>) shows the strongest negative association with invasion status (</w:t>
      </w:r>
      <w:r>
        <w:rPr>
          <w:rFonts w:ascii="Times New Roman" w:hAnsi="Times New Roman" w:cs="Times New Roman"/>
          <w:i/>
          <w:iCs/>
          <w:sz w:val="20"/>
          <w:szCs w:val="20"/>
        </w:rPr>
        <w:t>r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=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–.48,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.001), supporting its role as a functional surrogate for tissue microenvironment remodeling.</w:t>
      </w:r>
    </w:p>
    <w:p w14:paraId="2A9418BD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74"/>
    <w:rsid w:val="00066677"/>
    <w:rsid w:val="003A4E89"/>
    <w:rsid w:val="00556784"/>
    <w:rsid w:val="00797074"/>
    <w:rsid w:val="008B07A6"/>
    <w:rsid w:val="00987B63"/>
    <w:rsid w:val="00D31E7D"/>
    <w:rsid w:val="00E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D5B7"/>
  <w15:chartTrackingRefBased/>
  <w15:docId w15:val="{90ED9CFE-CDC4-447A-B905-A4EEB624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7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797074"/>
    <w:pPr>
      <w:widowControl w:val="0"/>
      <w:spacing w:after="120" w:line="240" w:lineRule="auto"/>
      <w:jc w:val="both"/>
    </w:pPr>
    <w:rPr>
      <w:rFonts w:eastAsiaTheme="minorEastAsia"/>
      <w:sz w:val="21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qFormat/>
    <w:rsid w:val="00797074"/>
    <w:rPr>
      <w:rFonts w:eastAsiaTheme="minorEastAsia"/>
      <w:sz w:val="21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2026-05-19T13:10:00Z</dcterms:created>
  <dcterms:modified xsi:type="dcterms:W3CDTF">2026-05-19T13:11:00Z</dcterms:modified>
</cp:coreProperties>
</file>