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7C16AA"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  <w:r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  <w:t>Supplementary Table 2. Sensitivity Analyses of the Association Between Pre-existing Dementia and Acute Kidney Injury Using Different Caliper Widths and Propensity Score Adjustment Strategies</w:t>
      </w:r>
    </w:p>
    <w:p w14:paraId="719DC133">
      <w:pPr>
        <w:spacing w:line="360" w:lineRule="auto"/>
        <w:rPr>
          <w:rFonts w:hint="default" w:ascii="Times New Roman" w:hAnsi="Times New Roman" w:cs="Times New Roman" w:eastAsiaTheme="minorEastAsia"/>
          <w:sz w:val="24"/>
          <w:szCs w:val="24"/>
          <w:lang w:val="en-US" w:eastAsia="zh-CN"/>
        </w:rPr>
      </w:pPr>
    </w:p>
    <w:tbl>
      <w:tblPr>
        <w:tblStyle w:val="3"/>
        <w:tblW w:w="8519" w:type="dxa"/>
        <w:jc w:val="center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03"/>
        <w:gridCol w:w="908"/>
        <w:gridCol w:w="3007"/>
        <w:gridCol w:w="3501"/>
      </w:tblGrid>
      <w:tr w14:paraId="0EDFBFAB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</w:tcPr>
          <w:p w14:paraId="72EE3504">
            <w:pPr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caliper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</w:tcPr>
          <w:p w14:paraId="1D79D542">
            <w:pPr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Pairs</w:t>
            </w:r>
          </w:p>
        </w:tc>
        <w:tc>
          <w:tcPr>
            <w:tcW w:w="0" w:type="auto"/>
            <w:tcBorders>
              <w:top w:val="single" w:color="auto" w:sz="12" w:space="0"/>
              <w:bottom w:val="single" w:color="auto" w:sz="4" w:space="0"/>
            </w:tcBorders>
          </w:tcPr>
          <w:p w14:paraId="640C86EE">
            <w:pPr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 xml:space="preserve">Dementia, 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OR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(95%CI)</w:t>
            </w:r>
          </w:p>
        </w:tc>
        <w:tc>
          <w:tcPr>
            <w:tcW w:w="3501" w:type="dxa"/>
            <w:tcBorders>
              <w:top w:val="single" w:color="auto" w:sz="12" w:space="0"/>
              <w:bottom w:val="single" w:color="auto" w:sz="4" w:space="0"/>
            </w:tcBorders>
          </w:tcPr>
          <w:p w14:paraId="16315AE2">
            <w:pPr>
              <w:snapToGrid w:val="0"/>
              <w:spacing w:line="360" w:lineRule="auto"/>
              <w:jc w:val="center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 xml:space="preserve">Dementia + 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PS</w:t>
            </w: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, O</w:t>
            </w:r>
            <w:r>
              <w:rPr>
                <w:rFonts w:hint="eastAsia" w:cs="Times New Roman"/>
                <w:sz w:val="20"/>
                <w:szCs w:val="20"/>
                <w:lang w:val="en-US" w:eastAsia="zh-CN"/>
              </w:rPr>
              <w:t>R</w:t>
            </w:r>
            <w:bookmarkStart w:id="0" w:name="_GoBack"/>
            <w:bookmarkEnd w:id="0"/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 xml:space="preserve"> (95%CI)</w:t>
            </w:r>
          </w:p>
        </w:tc>
      </w:tr>
      <w:tr w14:paraId="6F52531E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tcBorders>
              <w:top w:val="single" w:color="auto" w:sz="4" w:space="0"/>
            </w:tcBorders>
          </w:tcPr>
          <w:p w14:paraId="691A0ECF">
            <w:pPr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0.1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1A6356A2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1840</w:t>
            </w:r>
          </w:p>
        </w:tc>
        <w:tc>
          <w:tcPr>
            <w:tcW w:w="0" w:type="auto"/>
            <w:tcBorders>
              <w:top w:val="single" w:color="auto" w:sz="4" w:space="0"/>
            </w:tcBorders>
          </w:tcPr>
          <w:p w14:paraId="3BD4654F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1.56 (1.24 -1.96)</w:t>
            </w:r>
          </w:p>
        </w:tc>
        <w:tc>
          <w:tcPr>
            <w:tcW w:w="3501" w:type="dxa"/>
            <w:tcBorders>
              <w:top w:val="single" w:color="auto" w:sz="4" w:space="0"/>
            </w:tcBorders>
          </w:tcPr>
          <w:p w14:paraId="2211E683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1.5 (1.24 -1.96)</w:t>
            </w:r>
          </w:p>
        </w:tc>
      </w:tr>
      <w:tr w14:paraId="2BD280D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0" w:type="auto"/>
            <w:shd w:val="clear" w:color="auto" w:fill="auto"/>
            <w:vAlign w:val="top"/>
          </w:tcPr>
          <w:p w14:paraId="61AD5513">
            <w:pPr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0.05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0B46B952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1830</w:t>
            </w:r>
          </w:p>
        </w:tc>
        <w:tc>
          <w:tcPr>
            <w:tcW w:w="0" w:type="auto"/>
            <w:shd w:val="clear" w:color="auto" w:fill="auto"/>
            <w:vAlign w:val="top"/>
          </w:tcPr>
          <w:p w14:paraId="58CEC9DD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1.55 (1.231-1.96)</w:t>
            </w:r>
          </w:p>
        </w:tc>
        <w:tc>
          <w:tcPr>
            <w:tcW w:w="3501" w:type="dxa"/>
            <w:shd w:val="clear" w:color="auto" w:fill="auto"/>
            <w:vAlign w:val="top"/>
          </w:tcPr>
          <w:p w14:paraId="4374E434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1.5 (1.23 -1.96)</w:t>
            </w:r>
          </w:p>
        </w:tc>
      </w:tr>
      <w:tr w14:paraId="76BB8BC7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0" w:hRule="atLeast"/>
          <w:jc w:val="center"/>
        </w:trPr>
        <w:tc>
          <w:tcPr>
            <w:tcW w:w="1103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779EE1F5">
            <w:pPr>
              <w:snapToGrid w:val="0"/>
              <w:spacing w:line="360" w:lineRule="auto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0.2</w:t>
            </w:r>
          </w:p>
        </w:tc>
        <w:tc>
          <w:tcPr>
            <w:tcW w:w="908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6A1281A8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1843</w:t>
            </w:r>
          </w:p>
        </w:tc>
        <w:tc>
          <w:tcPr>
            <w:tcW w:w="3007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509291EB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1.54 (1.23-1.95)</w:t>
            </w:r>
          </w:p>
        </w:tc>
        <w:tc>
          <w:tcPr>
            <w:tcW w:w="3501" w:type="dxa"/>
            <w:tcBorders>
              <w:bottom w:val="single" w:color="auto" w:sz="12" w:space="0"/>
            </w:tcBorders>
            <w:shd w:val="clear" w:color="auto" w:fill="auto"/>
            <w:vAlign w:val="top"/>
          </w:tcPr>
          <w:p w14:paraId="5798A4E7">
            <w:pPr>
              <w:snapToGrid w:val="0"/>
              <w:spacing w:line="360" w:lineRule="auto"/>
              <w:jc w:val="right"/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</w:pPr>
            <w:r>
              <w:rPr>
                <w:rFonts w:hint="default" w:ascii="Times New Roman" w:hAnsi="Times New Roman" w:cs="Times New Roman" w:eastAsiaTheme="minorEastAsia"/>
                <w:sz w:val="20"/>
                <w:szCs w:val="20"/>
                <w:lang w:val="en-US" w:eastAsia="zh-CN"/>
              </w:rPr>
              <w:t>1.54 (1.23 -1.95)</w:t>
            </w:r>
          </w:p>
        </w:tc>
      </w:tr>
    </w:tbl>
    <w:p w14:paraId="106C0C73">
      <w:pPr>
        <w:rPr>
          <w:rFonts w:hint="default"/>
          <w:lang w:val="en-US" w:eastAsia="zh-CN"/>
        </w:rPr>
      </w:pPr>
      <w:r>
        <w:rPr>
          <w:rFonts w:hint="eastAsia"/>
          <w:lang w:val="en-US" w:eastAsia="zh-CN"/>
        </w:rPr>
        <w:t>Abbreviation: OR, odds ratio; CI,confidence interval; PS, propensity score.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2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C3368B4"/>
    <w:rsid w:val="1EF077BA"/>
    <w:rsid w:val="383E6074"/>
    <w:rsid w:val="4D046BB8"/>
    <w:rsid w:val="63B3128D"/>
    <w:rsid w:val="7AC73389"/>
    <w:rsid w:val="7C2D79D7"/>
    <w:rsid w:val="7F2648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overflowPunct w:val="0"/>
      <w:topLinePunct/>
      <w:adjustRightInd w:val="0"/>
      <w:jc w:val="both"/>
    </w:pPr>
    <w:rPr>
      <w:rFonts w:ascii="Times New Roman" w:hAnsi="Times New Roman" w:cs="Times New Roman" w:eastAsiaTheme="minorEastAsia"/>
      <w:color w:val="auto"/>
      <w:spacing w:val="-6"/>
      <w:kern w:val="2"/>
      <w:sz w:val="24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64</Words>
  <Characters>395</Characters>
  <Lines>0</Lines>
  <Paragraphs>0</Paragraphs>
  <TotalTime>2</TotalTime>
  <ScaleCrop>false</ScaleCrop>
  <LinksUpToDate>false</LinksUpToDate>
  <CharactersWithSpaces>441</CharactersWithSpaces>
  <Application>WPS Office_12.1.0.20784_F1E327BC-269C-435d-A152-05C5408002CA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2025-06-15T02:52:00Z</dcterms:created>
  <dc:creator>WUYANHUA</dc:creator>
  <cp:lastModifiedBy>EVA</cp:lastModifiedBy>
  <dcterms:modified xsi:type="dcterms:W3CDTF">2026-05-06T11:38:21Z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2052-12.1.0.20784</vt:lpwstr>
  </property>
  <property fmtid="{D5CDD505-2E9C-101B-9397-08002B2CF9AE}" pid="3" name="ICV">
    <vt:lpwstr>A21E46665C4041C9B011F0482C675D76_12</vt:lpwstr>
  </property>
  <property fmtid="{D5CDD505-2E9C-101B-9397-08002B2CF9AE}" pid="4" name="KSOTemplateDocerSaveRecord">
    <vt:lpwstr>eyJoZGlkIjoiMzEwNTM5NzYwMDRjMzkwZTVkZjY2ODkwMGIxNGU0OTUiLCJ1c2VySWQiOiIzNDU3NzMzMzIifQ==</vt:lpwstr>
  </property>
</Properties>
</file>