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95F" w:rsidRPr="0086095F" w:rsidRDefault="0086095F" w:rsidP="0086095F">
      <w:pPr>
        <w:jc w:val="center"/>
        <w:rPr>
          <w:b/>
          <w:sz w:val="28"/>
        </w:rPr>
      </w:pPr>
      <w:r w:rsidRPr="0086095F">
        <w:rPr>
          <w:b/>
          <w:sz w:val="28"/>
        </w:rPr>
        <w:t>SUPPLEMENTARY INFORMATION</w:t>
      </w:r>
    </w:p>
    <w:p w:rsidR="0086095F" w:rsidRDefault="0086095F" w:rsidP="0086095F">
      <w:pPr>
        <w:jc w:val="both"/>
        <w:rPr>
          <w:b/>
        </w:rPr>
      </w:pPr>
    </w:p>
    <w:p w:rsidR="007A3E92" w:rsidRDefault="007A3E92" w:rsidP="0086095F">
      <w:pPr>
        <w:jc w:val="both"/>
        <w:rPr>
          <w:b/>
        </w:rPr>
      </w:pPr>
    </w:p>
    <w:p w:rsidR="007A3E92" w:rsidRPr="00BA191A" w:rsidRDefault="007A3E92" w:rsidP="007A3E92">
      <w:pPr>
        <w:pStyle w:val="Caption"/>
      </w:pPr>
      <w:r>
        <w:t xml:space="preserve">Table S1. </w:t>
      </w:r>
      <w:r w:rsidRPr="00BA191A">
        <w:t>Initial nutrient concentrations employed during nutrient-dependent cultures.</w:t>
      </w:r>
    </w:p>
    <w:tbl>
      <w:tblPr>
        <w:tblW w:w="7171" w:type="dxa"/>
        <w:jc w:val="center"/>
        <w:tblLook w:val="04A0" w:firstRow="1" w:lastRow="0" w:firstColumn="1" w:lastColumn="0" w:noHBand="0" w:noVBand="1"/>
      </w:tblPr>
      <w:tblGrid>
        <w:gridCol w:w="2211"/>
        <w:gridCol w:w="2080"/>
        <w:gridCol w:w="1440"/>
        <w:gridCol w:w="986"/>
        <w:gridCol w:w="454"/>
      </w:tblGrid>
      <w:tr w:rsidR="007A3E92" w:rsidRPr="009B0E7A" w:rsidTr="008A1055">
        <w:trPr>
          <w:trHeight w:val="315"/>
          <w:jc w:val="center"/>
        </w:trPr>
        <w:tc>
          <w:tcPr>
            <w:tcW w:w="2211" w:type="dxa"/>
            <w:vMerge w:val="restart"/>
            <w:tcBorders>
              <w:top w:val="single" w:sz="4" w:space="0" w:color="auto"/>
              <w:left w:val="nil"/>
              <w:right w:val="nil"/>
            </w:tcBorders>
            <w:shd w:val="clear" w:color="auto" w:fill="auto"/>
            <w:noWrap/>
            <w:vAlign w:val="center"/>
            <w:hideMark/>
          </w:tcPr>
          <w:p w:rsidR="007A3E92" w:rsidRPr="009B0E7A" w:rsidRDefault="007A3E92" w:rsidP="008A1055">
            <w:pPr>
              <w:spacing w:after="0"/>
              <w:rPr>
                <w:rFonts w:eastAsia="Times New Roman" w:cs="Times New Roman"/>
                <w:color w:val="000000"/>
                <w:lang w:eastAsia="en-GB"/>
              </w:rPr>
            </w:pPr>
            <w:r w:rsidRPr="009B0E7A">
              <w:rPr>
                <w:rFonts w:eastAsia="Times New Roman" w:cs="Times New Roman"/>
                <w:b/>
                <w:color w:val="000000"/>
                <w:lang w:eastAsia="en-GB"/>
              </w:rPr>
              <w:t>Treatment Label</w:t>
            </w:r>
          </w:p>
        </w:tc>
        <w:tc>
          <w:tcPr>
            <w:tcW w:w="2080" w:type="dxa"/>
            <w:tcBorders>
              <w:top w:val="single" w:sz="4" w:space="0" w:color="auto"/>
              <w:left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 xml:space="preserve">Nitrogen </w:t>
            </w:r>
            <w:r w:rsidRPr="009B0E7A">
              <w:rPr>
                <w:rFonts w:eastAsia="Times New Roman" w:cs="Times New Roman"/>
                <w:b/>
                <w:bCs/>
                <w:color w:val="000000"/>
                <w:vertAlign w:val="superscript"/>
                <w:lang w:eastAsia="en-GB"/>
              </w:rPr>
              <w:t>a</w:t>
            </w:r>
          </w:p>
        </w:tc>
        <w:tc>
          <w:tcPr>
            <w:tcW w:w="1440" w:type="dxa"/>
            <w:tcBorders>
              <w:top w:val="single" w:sz="4" w:space="0" w:color="auto"/>
              <w:left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Phosphorus</w:t>
            </w:r>
          </w:p>
        </w:tc>
        <w:tc>
          <w:tcPr>
            <w:tcW w:w="1440" w:type="dxa"/>
            <w:gridSpan w:val="2"/>
            <w:tcBorders>
              <w:top w:val="single" w:sz="4" w:space="0" w:color="auto"/>
              <w:left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Acetic acid</w:t>
            </w:r>
          </w:p>
        </w:tc>
      </w:tr>
      <w:tr w:rsidR="007A3E92" w:rsidRPr="009B0E7A" w:rsidTr="008A1055">
        <w:trPr>
          <w:trHeight w:val="390"/>
          <w:jc w:val="center"/>
        </w:trPr>
        <w:tc>
          <w:tcPr>
            <w:tcW w:w="2211" w:type="dxa"/>
            <w:vMerge/>
            <w:tcBorders>
              <w:left w:val="nil"/>
              <w:bottom w:val="single" w:sz="4" w:space="0" w:color="auto"/>
              <w:right w:val="nil"/>
            </w:tcBorders>
            <w:shd w:val="clear" w:color="auto" w:fill="auto"/>
            <w:noWrap/>
            <w:vAlign w:val="center"/>
            <w:hideMark/>
          </w:tcPr>
          <w:p w:rsidR="007A3E92" w:rsidRPr="009B0E7A" w:rsidRDefault="007A3E92" w:rsidP="008A1055">
            <w:pPr>
              <w:spacing w:after="0"/>
              <w:rPr>
                <w:rFonts w:eastAsia="Times New Roman" w:cs="Times New Roman"/>
                <w:b/>
                <w:color w:val="000000"/>
                <w:lang w:eastAsia="en-GB"/>
              </w:rPr>
            </w:pPr>
          </w:p>
        </w:tc>
        <w:tc>
          <w:tcPr>
            <w:tcW w:w="2080" w:type="dxa"/>
            <w:tcBorders>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gN L</w:t>
            </w:r>
            <w:r w:rsidRPr="009B0E7A">
              <w:rPr>
                <w:rFonts w:eastAsia="Times New Roman" w:cs="Times New Roman"/>
                <w:b/>
                <w:bCs/>
                <w:color w:val="000000"/>
                <w:vertAlign w:val="superscript"/>
                <w:lang w:eastAsia="en-GB"/>
              </w:rPr>
              <w:t xml:space="preserve">-1 </w:t>
            </w:r>
            <w:r w:rsidRPr="009B0E7A">
              <w:rPr>
                <w:rFonts w:eastAsia="Times New Roman" w:cs="Times New Roman"/>
                <w:b/>
                <w:bCs/>
                <w:color w:val="000000"/>
                <w:lang w:eastAsia="en-GB"/>
              </w:rPr>
              <w:t xml:space="preserve">  (gN L</w:t>
            </w:r>
            <w:r w:rsidRPr="009B0E7A">
              <w:rPr>
                <w:rFonts w:eastAsia="Times New Roman" w:cs="Times New Roman"/>
                <w:b/>
                <w:bCs/>
                <w:color w:val="000000"/>
                <w:vertAlign w:val="superscript"/>
                <w:lang w:eastAsia="en-GB"/>
              </w:rPr>
              <w:t>-1</w:t>
            </w:r>
            <w:r w:rsidRPr="009B0E7A">
              <w:rPr>
                <w:rFonts w:eastAsia="Times New Roman" w:cs="Times New Roman"/>
                <w:b/>
                <w:bCs/>
                <w:color w:val="000000"/>
                <w:lang w:eastAsia="en-GB"/>
              </w:rPr>
              <w:t>)</w:t>
            </w:r>
          </w:p>
        </w:tc>
        <w:tc>
          <w:tcPr>
            <w:tcW w:w="1440" w:type="dxa"/>
            <w:tcBorders>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gPO</w:t>
            </w:r>
            <w:r w:rsidRPr="009B0E7A">
              <w:rPr>
                <w:rFonts w:eastAsia="Times New Roman" w:cs="Times New Roman"/>
                <w:b/>
                <w:bCs/>
                <w:color w:val="000000"/>
                <w:vertAlign w:val="subscript"/>
                <w:lang w:eastAsia="en-GB"/>
              </w:rPr>
              <w:t>4</w:t>
            </w:r>
            <w:r w:rsidRPr="009B0E7A">
              <w:rPr>
                <w:rFonts w:eastAsia="Times New Roman" w:cs="Times New Roman"/>
                <w:b/>
                <w:bCs/>
                <w:color w:val="000000"/>
                <w:lang w:eastAsia="en-GB"/>
              </w:rPr>
              <w:t xml:space="preserve"> L</w:t>
            </w:r>
            <w:r w:rsidRPr="009B0E7A">
              <w:rPr>
                <w:rFonts w:eastAsia="Times New Roman" w:cs="Times New Roman"/>
                <w:b/>
                <w:bCs/>
                <w:color w:val="000000"/>
                <w:vertAlign w:val="superscript"/>
                <w:lang w:eastAsia="en-GB"/>
              </w:rPr>
              <w:t>-1</w:t>
            </w:r>
          </w:p>
        </w:tc>
        <w:tc>
          <w:tcPr>
            <w:tcW w:w="1440" w:type="dxa"/>
            <w:gridSpan w:val="2"/>
            <w:tcBorders>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gC L</w:t>
            </w:r>
            <w:r w:rsidRPr="009B0E7A">
              <w:rPr>
                <w:rFonts w:eastAsia="Times New Roman" w:cs="Times New Roman"/>
                <w:b/>
                <w:bCs/>
                <w:color w:val="000000"/>
                <w:vertAlign w:val="superscript"/>
                <w:lang w:eastAsia="en-GB"/>
              </w:rPr>
              <w:t>-1</w:t>
            </w:r>
          </w:p>
        </w:tc>
      </w:tr>
      <w:tr w:rsidR="007A3E92" w:rsidRPr="009B0E7A" w:rsidTr="008A1055">
        <w:trPr>
          <w:trHeight w:val="375"/>
          <w:jc w:val="center"/>
        </w:trPr>
        <w:tc>
          <w:tcPr>
            <w:tcW w:w="2211"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TAP</w:t>
            </w:r>
            <w:r w:rsidRPr="009B0E7A">
              <w:rPr>
                <w:rFonts w:eastAsia="Times New Roman" w:cs="Times New Roman"/>
                <w:b/>
                <w:bCs/>
                <w:i/>
                <w:iCs/>
                <w:color w:val="000000"/>
                <w:lang w:eastAsia="en-GB"/>
              </w:rPr>
              <w:t xml:space="preserve"> </w:t>
            </w:r>
            <w:r w:rsidRPr="009B0E7A">
              <w:rPr>
                <w:rFonts w:eastAsia="Times New Roman" w:cs="Times New Roman"/>
                <w:b/>
                <w:bCs/>
                <w:i/>
                <w:iCs/>
                <w:color w:val="000000"/>
                <w:vertAlign w:val="superscript"/>
                <w:lang w:eastAsia="en-GB"/>
              </w:rPr>
              <w:t>b</w:t>
            </w:r>
          </w:p>
        </w:tc>
        <w:tc>
          <w:tcPr>
            <w:tcW w:w="2080"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0.382  (0.098)</w:t>
            </w:r>
          </w:p>
        </w:tc>
        <w:tc>
          <w:tcPr>
            <w:tcW w:w="1440"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0.096</w:t>
            </w:r>
          </w:p>
        </w:tc>
        <w:tc>
          <w:tcPr>
            <w:tcW w:w="1440" w:type="dxa"/>
            <w:gridSpan w:val="2"/>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b/>
                <w:bCs/>
                <w:color w:val="000000"/>
                <w:lang w:eastAsia="en-GB"/>
              </w:rPr>
            </w:pPr>
            <w:r w:rsidRPr="009B0E7A">
              <w:rPr>
                <w:rFonts w:eastAsia="Times New Roman" w:cs="Times New Roman"/>
                <w:b/>
                <w:bCs/>
                <w:color w:val="000000"/>
                <w:lang w:eastAsia="en-GB"/>
              </w:rPr>
              <w:t>0.42</w:t>
            </w:r>
          </w:p>
        </w:tc>
      </w:tr>
      <w:tr w:rsidR="007A3E92" w:rsidRPr="009B0E7A" w:rsidTr="008A1055">
        <w:trPr>
          <w:trHeight w:val="315"/>
          <w:jc w:val="center"/>
        </w:trPr>
        <w:tc>
          <w:tcPr>
            <w:tcW w:w="2211"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 xml:space="preserve">[Low </w:t>
            </w:r>
            <w:r>
              <w:rPr>
                <w:rFonts w:eastAsia="Times New Roman" w:cs="Times New Roman"/>
                <w:b/>
                <w:bCs/>
                <w:color w:val="000000"/>
                <w:lang w:eastAsia="en-GB"/>
              </w:rPr>
              <w:t>P</w:t>
            </w:r>
            <w:r w:rsidRPr="009B0E7A">
              <w:rPr>
                <w:rFonts w:eastAsia="Times New Roman" w:cs="Times New Roman"/>
                <w:b/>
                <w:bCs/>
                <w:color w:val="000000"/>
                <w:lang w:eastAsia="en-GB"/>
              </w:rPr>
              <w:t xml:space="preserve"> : Low </w:t>
            </w:r>
            <w:r>
              <w:rPr>
                <w:rFonts w:eastAsia="Times New Roman" w:cs="Times New Roman"/>
                <w:b/>
                <w:bCs/>
                <w:color w:val="000000"/>
                <w:lang w:eastAsia="en-GB"/>
              </w:rPr>
              <w:t>N</w:t>
            </w:r>
            <w:r w:rsidRPr="009B0E7A">
              <w:rPr>
                <w:rFonts w:eastAsia="Times New Roman" w:cs="Times New Roman"/>
                <w:b/>
                <w:bCs/>
                <w:color w:val="000000"/>
                <w:lang w:eastAsia="en-GB"/>
              </w:rPr>
              <w:t>]</w:t>
            </w:r>
          </w:p>
        </w:tc>
        <w:tc>
          <w:tcPr>
            <w:tcW w:w="2080"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0.335  (0.042)</w:t>
            </w:r>
          </w:p>
        </w:tc>
        <w:tc>
          <w:tcPr>
            <w:tcW w:w="1440"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0.0096</w:t>
            </w:r>
          </w:p>
        </w:tc>
        <w:tc>
          <w:tcPr>
            <w:tcW w:w="1440" w:type="dxa"/>
            <w:gridSpan w:val="2"/>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[Low N]</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0.335  (0.042)</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[Med N]</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0.356  (0.070)</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[Low P]</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0.0096</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[Med P]</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0.0480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[Low A]</w:t>
            </w:r>
          </w:p>
        </w:tc>
        <w:tc>
          <w:tcPr>
            <w:tcW w:w="2080" w:type="dxa"/>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0.21</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[High A]</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0.75</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[High A +]</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1.26</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[High A : Low N-]</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0.315  (0.032)</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1.26</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sidRPr="009B0E7A">
              <w:rPr>
                <w:rFonts w:eastAsia="Times New Roman" w:cs="Times New Roman"/>
                <w:b/>
                <w:bCs/>
                <w:color w:val="000000"/>
                <w:lang w:eastAsia="en-GB"/>
              </w:rPr>
              <w:t>[High A : Low P]</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0.0096</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1.26</w:t>
            </w:r>
          </w:p>
        </w:tc>
      </w:tr>
      <w:tr w:rsidR="007A3E92" w:rsidRPr="009B0E7A" w:rsidTr="008A1055">
        <w:trPr>
          <w:trHeight w:val="315"/>
          <w:jc w:val="center"/>
        </w:trPr>
        <w:tc>
          <w:tcPr>
            <w:tcW w:w="2211"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Pr>
                <w:rFonts w:eastAsia="Times New Roman" w:cs="Times New Roman"/>
                <w:b/>
                <w:bCs/>
                <w:color w:val="000000"/>
                <w:lang w:eastAsia="en-GB"/>
              </w:rPr>
              <w:t>[High</w:t>
            </w:r>
            <w:r w:rsidRPr="009B0E7A">
              <w:rPr>
                <w:rFonts w:eastAsia="Times New Roman" w:cs="Times New Roman"/>
                <w:b/>
                <w:bCs/>
                <w:color w:val="000000"/>
                <w:lang w:eastAsia="en-GB"/>
              </w:rPr>
              <w:t xml:space="preserve"> N</w:t>
            </w:r>
            <w:r>
              <w:rPr>
                <w:rFonts w:eastAsia="Times New Roman" w:cs="Times New Roman"/>
                <w:b/>
                <w:bCs/>
                <w:color w:val="000000"/>
                <w:lang w:eastAsia="en-GB"/>
              </w:rPr>
              <w:t>++</w:t>
            </w:r>
            <w:r w:rsidRPr="009B0E7A">
              <w:rPr>
                <w:rFonts w:eastAsia="Times New Roman" w:cs="Times New Roman"/>
                <w:b/>
                <w:bCs/>
                <w:color w:val="000000"/>
                <w:lang w:eastAsia="en-GB"/>
              </w:rPr>
              <w:t>]</w:t>
            </w:r>
          </w:p>
        </w:tc>
        <w:tc>
          <w:tcPr>
            <w:tcW w:w="2080"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0.742  (0.450)</w:t>
            </w:r>
          </w:p>
        </w:tc>
        <w:tc>
          <w:tcPr>
            <w:tcW w:w="1440" w:type="dxa"/>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single" w:sz="4" w:space="0" w:color="auto"/>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Pr>
                <w:rFonts w:eastAsia="Times New Roman" w:cs="Times New Roman"/>
                <w:b/>
                <w:bCs/>
                <w:color w:val="000000"/>
                <w:lang w:eastAsia="en-GB"/>
              </w:rPr>
              <w:t>[High</w:t>
            </w:r>
            <w:r w:rsidRPr="009B0E7A">
              <w:rPr>
                <w:rFonts w:eastAsia="Times New Roman" w:cs="Times New Roman"/>
                <w:b/>
                <w:bCs/>
                <w:color w:val="000000"/>
                <w:lang w:eastAsia="en-GB"/>
              </w:rPr>
              <w:t xml:space="preserve"> P</w:t>
            </w:r>
            <w:r>
              <w:rPr>
                <w:rFonts w:eastAsia="Times New Roman" w:cs="Times New Roman"/>
                <w:b/>
                <w:bCs/>
                <w:color w:val="000000"/>
                <w:lang w:eastAsia="en-GB"/>
              </w:rPr>
              <w:t>++</w:t>
            </w:r>
            <w:r w:rsidRPr="009B0E7A">
              <w:rPr>
                <w:rFonts w:eastAsia="Times New Roman" w:cs="Times New Roman"/>
                <w:b/>
                <w:bCs/>
                <w:color w:val="000000"/>
                <w:lang w:eastAsia="en-GB"/>
              </w:rPr>
              <w:t>]</w:t>
            </w:r>
          </w:p>
        </w:tc>
        <w:tc>
          <w:tcPr>
            <w:tcW w:w="208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0.3860</w:t>
            </w:r>
          </w:p>
        </w:tc>
        <w:tc>
          <w:tcPr>
            <w:tcW w:w="1440" w:type="dxa"/>
            <w:gridSpan w:val="2"/>
            <w:tcBorders>
              <w:top w:val="nil"/>
              <w:left w:val="nil"/>
              <w:bottom w:val="nil"/>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0.42</w:t>
            </w:r>
          </w:p>
        </w:tc>
      </w:tr>
      <w:tr w:rsidR="007A3E92" w:rsidRPr="009B0E7A" w:rsidTr="008A1055">
        <w:trPr>
          <w:trHeight w:val="315"/>
          <w:jc w:val="center"/>
        </w:trPr>
        <w:tc>
          <w:tcPr>
            <w:tcW w:w="2211" w:type="dxa"/>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rPr>
                <w:rFonts w:eastAsia="Times New Roman" w:cs="Times New Roman"/>
                <w:b/>
                <w:bCs/>
                <w:color w:val="000000"/>
                <w:lang w:eastAsia="en-GB"/>
              </w:rPr>
            </w:pPr>
            <w:r>
              <w:rPr>
                <w:rFonts w:eastAsia="Times New Roman" w:cs="Times New Roman"/>
                <w:b/>
                <w:bCs/>
                <w:color w:val="000000"/>
                <w:lang w:eastAsia="en-GB"/>
              </w:rPr>
              <w:t>[High</w:t>
            </w:r>
            <w:r w:rsidRPr="009B0E7A">
              <w:rPr>
                <w:rFonts w:eastAsia="Times New Roman" w:cs="Times New Roman"/>
                <w:b/>
                <w:bCs/>
                <w:color w:val="000000"/>
                <w:lang w:eastAsia="en-GB"/>
              </w:rPr>
              <w:t xml:space="preserve"> A</w:t>
            </w:r>
            <w:r>
              <w:rPr>
                <w:rFonts w:eastAsia="Times New Roman" w:cs="Times New Roman"/>
                <w:b/>
                <w:bCs/>
                <w:color w:val="000000"/>
                <w:lang w:eastAsia="en-GB"/>
              </w:rPr>
              <w:t>++</w:t>
            </w:r>
            <w:r w:rsidRPr="009B0E7A">
              <w:rPr>
                <w:rFonts w:eastAsia="Times New Roman" w:cs="Times New Roman"/>
                <w:b/>
                <w:bCs/>
                <w:color w:val="000000"/>
                <w:lang w:eastAsia="en-GB"/>
              </w:rPr>
              <w:t>]</w:t>
            </w:r>
          </w:p>
        </w:tc>
        <w:tc>
          <w:tcPr>
            <w:tcW w:w="2080" w:type="dxa"/>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0.382  (0.098)</w:t>
            </w:r>
          </w:p>
        </w:tc>
        <w:tc>
          <w:tcPr>
            <w:tcW w:w="1440" w:type="dxa"/>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0.0960</w:t>
            </w:r>
          </w:p>
        </w:tc>
        <w:tc>
          <w:tcPr>
            <w:tcW w:w="1440" w:type="dxa"/>
            <w:gridSpan w:val="2"/>
            <w:tcBorders>
              <w:top w:val="nil"/>
              <w:left w:val="nil"/>
              <w:bottom w:val="single" w:sz="4" w:space="0" w:color="auto"/>
              <w:right w:val="nil"/>
            </w:tcBorders>
            <w:shd w:val="clear" w:color="auto" w:fill="auto"/>
            <w:noWrap/>
            <w:vAlign w:val="center"/>
            <w:hideMark/>
          </w:tcPr>
          <w:p w:rsidR="007A3E92" w:rsidRPr="009B0E7A" w:rsidRDefault="007A3E92" w:rsidP="008A1055">
            <w:pPr>
              <w:spacing w:after="0"/>
              <w:jc w:val="center"/>
              <w:rPr>
                <w:rFonts w:eastAsia="Times New Roman" w:cs="Times New Roman"/>
                <w:color w:val="000000"/>
                <w:lang w:eastAsia="en-GB"/>
              </w:rPr>
            </w:pPr>
            <w:r w:rsidRPr="009B0E7A">
              <w:rPr>
                <w:rFonts w:eastAsia="Times New Roman" w:cs="Times New Roman"/>
                <w:color w:val="000000"/>
                <w:lang w:eastAsia="en-GB"/>
              </w:rPr>
              <w:t>2.52</w:t>
            </w:r>
          </w:p>
        </w:tc>
      </w:tr>
      <w:tr w:rsidR="007A3E92" w:rsidRPr="009B0E7A" w:rsidTr="008A1055">
        <w:trPr>
          <w:gridAfter w:val="1"/>
          <w:wAfter w:w="454" w:type="dxa"/>
          <w:trHeight w:val="405"/>
          <w:jc w:val="center"/>
        </w:trPr>
        <w:tc>
          <w:tcPr>
            <w:tcW w:w="6717" w:type="dxa"/>
            <w:gridSpan w:val="4"/>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color w:val="000000"/>
                <w:sz w:val="22"/>
                <w:lang w:eastAsia="en-GB"/>
              </w:rPr>
            </w:pPr>
            <w:r w:rsidRPr="009B0E7A">
              <w:rPr>
                <w:rFonts w:eastAsia="Times New Roman" w:cs="Times New Roman"/>
                <w:i/>
                <w:iCs/>
                <w:color w:val="000000"/>
                <w:sz w:val="22"/>
                <w:vertAlign w:val="superscript"/>
                <w:lang w:eastAsia="en-GB"/>
              </w:rPr>
              <w:t>a</w:t>
            </w:r>
            <w:r w:rsidRPr="009B0E7A">
              <w:rPr>
                <w:rFonts w:eastAsia="Times New Roman" w:cs="Times New Roman"/>
                <w:i/>
                <w:iCs/>
                <w:color w:val="000000"/>
                <w:sz w:val="22"/>
                <w:lang w:eastAsia="en-GB"/>
              </w:rPr>
              <w:t xml:space="preserve"> First column refers to total nitrog</w:t>
            </w:r>
            <w:r>
              <w:rPr>
                <w:rFonts w:eastAsia="Times New Roman" w:cs="Times New Roman"/>
                <w:i/>
                <w:iCs/>
                <w:color w:val="000000"/>
                <w:sz w:val="22"/>
                <w:lang w:eastAsia="en-GB"/>
              </w:rPr>
              <w:t>en concentration; second column</w:t>
            </w:r>
            <w:r w:rsidRPr="009B0E7A">
              <w:rPr>
                <w:rFonts w:eastAsia="Times New Roman" w:cs="Times New Roman"/>
                <w:i/>
                <w:iCs/>
                <w:color w:val="000000"/>
                <w:sz w:val="22"/>
                <w:lang w:eastAsia="en-GB"/>
              </w:rPr>
              <w:t xml:space="preserve"> refers only to the nitrogen concentration from NH</w:t>
            </w:r>
            <w:r w:rsidRPr="009B0E7A">
              <w:rPr>
                <w:rFonts w:eastAsia="Times New Roman" w:cs="Times New Roman"/>
                <w:i/>
                <w:iCs/>
                <w:color w:val="000000"/>
                <w:sz w:val="22"/>
                <w:vertAlign w:val="subscript"/>
                <w:lang w:eastAsia="en-GB"/>
              </w:rPr>
              <w:t>4</w:t>
            </w:r>
            <w:r w:rsidRPr="009B0E7A">
              <w:rPr>
                <w:rFonts w:eastAsia="Times New Roman" w:cs="Times New Roman"/>
                <w:i/>
                <w:iCs/>
                <w:color w:val="000000"/>
                <w:sz w:val="22"/>
                <w:lang w:eastAsia="en-GB"/>
              </w:rPr>
              <w:t>Cl.</w:t>
            </w:r>
          </w:p>
        </w:tc>
      </w:tr>
      <w:tr w:rsidR="007A3E92" w:rsidRPr="009B0E7A" w:rsidTr="008A1055">
        <w:trPr>
          <w:gridAfter w:val="1"/>
          <w:wAfter w:w="454" w:type="dxa"/>
          <w:trHeight w:val="375"/>
          <w:jc w:val="center"/>
        </w:trPr>
        <w:tc>
          <w:tcPr>
            <w:tcW w:w="6717" w:type="dxa"/>
            <w:gridSpan w:val="4"/>
            <w:tcBorders>
              <w:top w:val="nil"/>
              <w:left w:val="nil"/>
              <w:bottom w:val="nil"/>
              <w:right w:val="nil"/>
            </w:tcBorders>
            <w:shd w:val="clear" w:color="auto" w:fill="auto"/>
            <w:noWrap/>
            <w:vAlign w:val="center"/>
            <w:hideMark/>
          </w:tcPr>
          <w:p w:rsidR="007A3E92" w:rsidRPr="009B0E7A" w:rsidRDefault="007A3E92" w:rsidP="008A1055">
            <w:pPr>
              <w:spacing w:after="0"/>
              <w:rPr>
                <w:rFonts w:eastAsia="Times New Roman" w:cs="Times New Roman"/>
                <w:color w:val="000000"/>
                <w:sz w:val="22"/>
                <w:lang w:eastAsia="en-GB"/>
              </w:rPr>
            </w:pPr>
            <w:r w:rsidRPr="009B0E7A">
              <w:rPr>
                <w:rFonts w:eastAsia="Times New Roman" w:cs="Times New Roman"/>
                <w:i/>
                <w:iCs/>
                <w:color w:val="000000"/>
                <w:sz w:val="22"/>
                <w:vertAlign w:val="superscript"/>
                <w:lang w:eastAsia="en-GB"/>
              </w:rPr>
              <w:t>b</w:t>
            </w:r>
            <w:r w:rsidRPr="009B0E7A">
              <w:rPr>
                <w:rFonts w:eastAsia="Times New Roman" w:cs="Times New Roman"/>
                <w:i/>
                <w:iCs/>
                <w:color w:val="000000"/>
                <w:sz w:val="22"/>
                <w:lang w:eastAsia="en-GB"/>
              </w:rPr>
              <w:t xml:space="preserve"> Initial nutrient concentrations in standard TAP medium.</w:t>
            </w:r>
          </w:p>
        </w:tc>
      </w:tr>
    </w:tbl>
    <w:p w:rsidR="007A3E92" w:rsidRDefault="007A3E92" w:rsidP="0086095F">
      <w:pPr>
        <w:jc w:val="both"/>
        <w:rPr>
          <w:b/>
        </w:rPr>
      </w:pPr>
    </w:p>
    <w:p w:rsidR="007A3E92" w:rsidRDefault="007A3E92">
      <w:pPr>
        <w:rPr>
          <w:b/>
        </w:rPr>
      </w:pPr>
      <w:r>
        <w:rPr>
          <w:b/>
        </w:rPr>
        <w:br w:type="page"/>
      </w:r>
    </w:p>
    <w:p w:rsidR="0086095F" w:rsidRPr="0086095F" w:rsidRDefault="007745CF" w:rsidP="0086095F">
      <w:pPr>
        <w:jc w:val="both"/>
        <w:rPr>
          <w:b/>
        </w:rPr>
      </w:pPr>
      <w:r>
        <w:rPr>
          <w:b/>
        </w:rPr>
        <w:lastRenderedPageBreak/>
        <w:t>Table S</w:t>
      </w:r>
      <w:r w:rsidR="007A3E92">
        <w:rPr>
          <w:b/>
        </w:rPr>
        <w:t>2</w:t>
      </w:r>
      <w:r w:rsidR="003537C0">
        <w:rPr>
          <w:b/>
        </w:rPr>
        <w:t>.</w:t>
      </w:r>
      <w:r w:rsidR="003537C0" w:rsidRPr="003537C0">
        <w:rPr>
          <w:b/>
        </w:rPr>
        <w:t xml:space="preserve"> p-values obtained by one-way ANOVA</w:t>
      </w:r>
      <w:r w:rsidR="0086095F">
        <w:rPr>
          <w:b/>
        </w:rPr>
        <w:t xml:space="preserve"> (tukey test)</w:t>
      </w:r>
      <w:r w:rsidR="003537C0" w:rsidRPr="003537C0">
        <w:rPr>
          <w:b/>
        </w:rPr>
        <w:t xml:space="preserve">. </w:t>
      </w:r>
      <w:r w:rsidR="00351929">
        <w:rPr>
          <w:rFonts w:cs="Times New Roman"/>
          <w:b/>
          <w:szCs w:val="24"/>
        </w:rPr>
        <w:t>Asterisk</w:t>
      </w:r>
      <w:r w:rsidR="007F45CE">
        <w:rPr>
          <w:rFonts w:cs="Times New Roman"/>
          <w:b/>
          <w:szCs w:val="24"/>
        </w:rPr>
        <w:t>s</w:t>
      </w:r>
      <w:r w:rsidR="00B217C3">
        <w:rPr>
          <w:rFonts w:cs="Times New Roman"/>
          <w:b/>
          <w:szCs w:val="24"/>
        </w:rPr>
        <w:t xml:space="preserve"> (*) denote significant differences</w:t>
      </w:r>
      <w:r w:rsidR="003537C0">
        <w:rPr>
          <w:rFonts w:cs="Times New Roman"/>
          <w:b/>
          <w:szCs w:val="24"/>
        </w:rPr>
        <w:t xml:space="preserve"> (</w:t>
      </w:r>
      <w:r w:rsidR="00B217C3" w:rsidRPr="00B217C3">
        <w:rPr>
          <w:rFonts w:cs="Times New Roman"/>
          <w:b/>
          <w:szCs w:val="24"/>
        </w:rPr>
        <w:t>p &lt;0.05*, 0.01**, 0.001***)</w:t>
      </w:r>
      <w:r w:rsidR="007F45CE">
        <w:rPr>
          <w:rFonts w:cs="Times New Roman"/>
          <w:b/>
          <w:szCs w:val="24"/>
        </w:rPr>
        <w:t xml:space="preserve"> with respect to [TAP]</w:t>
      </w:r>
      <w:r w:rsidR="003E0ED9">
        <w:rPr>
          <w:rFonts w:cs="Times New Roman"/>
          <w:b/>
          <w:szCs w:val="24"/>
        </w:rPr>
        <w:t>.</w:t>
      </w:r>
      <w:r w:rsidR="0086095F" w:rsidRPr="0086095F">
        <w:t xml:space="preserve"> </w:t>
      </w:r>
      <w:r w:rsidR="0086095F" w:rsidRPr="0086095F">
        <w:rPr>
          <w:b/>
        </w:rPr>
        <w:t xml:space="preserve">The analysis was carried out in Origin Pro 2017 </w:t>
      </w:r>
      <w:r w:rsidR="0086095F" w:rsidRPr="0086095F">
        <w:rPr>
          <w:rFonts w:cs="Times New Roman"/>
          <w:b/>
          <w:szCs w:val="24"/>
        </w:rPr>
        <w:t>(b9.4.1.354)</w:t>
      </w:r>
      <w:r w:rsidR="0086095F" w:rsidRPr="0086095F">
        <w:rPr>
          <w:b/>
        </w:rPr>
        <w:t>.</w:t>
      </w:r>
    </w:p>
    <w:p w:rsidR="003537C0" w:rsidRDefault="003537C0" w:rsidP="00EB4279">
      <w:pPr>
        <w:jc w:val="center"/>
        <w:rPr>
          <w:rFonts w:cs="Times New Roman"/>
          <w:b/>
          <w:szCs w:val="24"/>
        </w:rPr>
      </w:pPr>
    </w:p>
    <w:tbl>
      <w:tblPr>
        <w:tblW w:w="8691" w:type="dxa"/>
        <w:tblInd w:w="93" w:type="dxa"/>
        <w:tblLook w:val="04A0" w:firstRow="1" w:lastRow="0" w:firstColumn="1" w:lastColumn="0" w:noHBand="0" w:noVBand="1"/>
      </w:tblPr>
      <w:tblGrid>
        <w:gridCol w:w="2551"/>
        <w:gridCol w:w="1151"/>
        <w:gridCol w:w="1410"/>
        <w:gridCol w:w="1410"/>
        <w:gridCol w:w="1041"/>
        <w:gridCol w:w="1342"/>
      </w:tblGrid>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jc w:val="center"/>
              <w:rPr>
                <w:rFonts w:eastAsia="Times New Roman" w:cs="Times New Roman"/>
                <w:b/>
                <w:bCs/>
                <w:color w:val="000000"/>
                <w:sz w:val="22"/>
                <w:lang w:eastAsia="en-GB"/>
              </w:rPr>
            </w:pPr>
          </w:p>
        </w:tc>
        <w:tc>
          <w:tcPr>
            <w:tcW w:w="6140" w:type="dxa"/>
            <w:gridSpan w:val="5"/>
            <w:tcBorders>
              <w:top w:val="single" w:sz="4" w:space="0" w:color="auto"/>
              <w:left w:val="nil"/>
              <w:bottom w:val="nil"/>
              <w:right w:val="nil"/>
            </w:tcBorders>
            <w:shd w:val="clear" w:color="auto" w:fill="auto"/>
            <w:noWrap/>
            <w:vAlign w:val="center"/>
            <w:hideMark/>
          </w:tcPr>
          <w:p w:rsidR="00791929" w:rsidRPr="00791929" w:rsidRDefault="00791929" w:rsidP="00791929">
            <w:pPr>
              <w:spacing w:after="0" w:line="240" w:lineRule="auto"/>
              <w:jc w:val="center"/>
              <w:rPr>
                <w:rFonts w:eastAsia="Times New Roman" w:cs="Times New Roman"/>
                <w:b/>
                <w:bCs/>
                <w:color w:val="000000"/>
                <w:sz w:val="22"/>
                <w:lang w:eastAsia="en-GB"/>
              </w:rPr>
            </w:pPr>
            <w:r w:rsidRPr="00791929">
              <w:rPr>
                <w:rFonts w:eastAsia="Times New Roman" w:cs="Times New Roman"/>
                <w:b/>
                <w:bCs/>
                <w:color w:val="000000"/>
                <w:sz w:val="22"/>
                <w:lang w:eastAsia="en-GB"/>
              </w:rPr>
              <w:t>p values</w:t>
            </w:r>
          </w:p>
        </w:tc>
      </w:tr>
      <w:tr w:rsidR="00791929" w:rsidRPr="00791929" w:rsidTr="00B217C3">
        <w:trPr>
          <w:trHeight w:val="315"/>
        </w:trPr>
        <w:tc>
          <w:tcPr>
            <w:tcW w:w="2551" w:type="dxa"/>
            <w:tcBorders>
              <w:top w:val="single" w:sz="4" w:space="0" w:color="auto"/>
              <w:left w:val="nil"/>
              <w:bottom w:val="single" w:sz="4" w:space="0" w:color="auto"/>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b/>
                <w:bCs/>
                <w:color w:val="000000"/>
                <w:sz w:val="22"/>
                <w:lang w:eastAsia="en-GB"/>
              </w:rPr>
            </w:pPr>
            <w:r w:rsidRPr="00791929">
              <w:rPr>
                <w:rFonts w:eastAsia="Times New Roman" w:cs="Times New Roman"/>
                <w:b/>
                <w:bCs/>
                <w:color w:val="000000"/>
                <w:sz w:val="22"/>
                <w:lang w:eastAsia="en-GB"/>
              </w:rPr>
              <w:t>Treatment pair</w:t>
            </w:r>
          </w:p>
        </w:tc>
        <w:tc>
          <w:tcPr>
            <w:tcW w:w="996" w:type="dxa"/>
            <w:tcBorders>
              <w:top w:val="single" w:sz="4" w:space="0" w:color="auto"/>
              <w:left w:val="nil"/>
              <w:bottom w:val="single" w:sz="4" w:space="0" w:color="auto"/>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b/>
                <w:bCs/>
                <w:color w:val="000000"/>
                <w:sz w:val="22"/>
                <w:lang w:eastAsia="en-GB"/>
              </w:rPr>
            </w:pPr>
            <w:r w:rsidRPr="00791929">
              <w:rPr>
                <w:rFonts w:eastAsia="Times New Roman" w:cs="Times New Roman"/>
                <w:b/>
                <w:bCs/>
                <w:color w:val="000000"/>
                <w:sz w:val="22"/>
                <w:lang w:eastAsia="en-GB"/>
              </w:rPr>
              <w:t>X</w:t>
            </w:r>
          </w:p>
        </w:tc>
        <w:tc>
          <w:tcPr>
            <w:tcW w:w="1403" w:type="dxa"/>
            <w:tcBorders>
              <w:top w:val="single" w:sz="4" w:space="0" w:color="auto"/>
              <w:left w:val="nil"/>
              <w:bottom w:val="single" w:sz="4" w:space="0" w:color="auto"/>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b/>
                <w:bCs/>
                <w:color w:val="000000"/>
                <w:sz w:val="22"/>
                <w:lang w:eastAsia="en-GB"/>
              </w:rPr>
            </w:pPr>
            <w:r w:rsidRPr="00791929">
              <w:rPr>
                <w:rFonts w:eastAsia="Times New Roman" w:cs="Times New Roman"/>
                <w:b/>
                <w:bCs/>
                <w:color w:val="000000"/>
                <w:sz w:val="22"/>
                <w:lang w:eastAsia="en-GB"/>
              </w:rPr>
              <w:t>S (%)</w:t>
            </w:r>
          </w:p>
        </w:tc>
        <w:tc>
          <w:tcPr>
            <w:tcW w:w="1403" w:type="dxa"/>
            <w:tcBorders>
              <w:top w:val="single" w:sz="4" w:space="0" w:color="auto"/>
              <w:left w:val="nil"/>
              <w:bottom w:val="single" w:sz="4" w:space="0" w:color="auto"/>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b/>
                <w:bCs/>
                <w:color w:val="000000"/>
                <w:sz w:val="22"/>
                <w:lang w:eastAsia="en-GB"/>
              </w:rPr>
            </w:pPr>
            <w:r w:rsidRPr="00791929">
              <w:rPr>
                <w:rFonts w:eastAsia="Times New Roman" w:cs="Times New Roman"/>
                <w:b/>
                <w:bCs/>
                <w:color w:val="000000"/>
                <w:sz w:val="22"/>
                <w:lang w:eastAsia="en-GB"/>
              </w:rPr>
              <w:t>S (gC/L)</w:t>
            </w:r>
          </w:p>
        </w:tc>
        <w:tc>
          <w:tcPr>
            <w:tcW w:w="996" w:type="dxa"/>
            <w:tcBorders>
              <w:top w:val="single" w:sz="4" w:space="0" w:color="auto"/>
              <w:left w:val="nil"/>
              <w:bottom w:val="single" w:sz="4" w:space="0" w:color="auto"/>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b/>
                <w:bCs/>
                <w:color w:val="000000"/>
                <w:sz w:val="22"/>
                <w:lang w:eastAsia="en-GB"/>
              </w:rPr>
            </w:pPr>
            <w:r w:rsidRPr="00791929">
              <w:rPr>
                <w:rFonts w:eastAsia="Times New Roman" w:cs="Times New Roman"/>
                <w:b/>
                <w:bCs/>
                <w:color w:val="000000"/>
                <w:sz w:val="22"/>
                <w:lang w:eastAsia="en-GB"/>
              </w:rPr>
              <w:t>L (%)</w:t>
            </w:r>
          </w:p>
        </w:tc>
        <w:tc>
          <w:tcPr>
            <w:tcW w:w="1342" w:type="dxa"/>
            <w:tcBorders>
              <w:top w:val="single" w:sz="4" w:space="0" w:color="auto"/>
              <w:left w:val="nil"/>
              <w:bottom w:val="single" w:sz="4" w:space="0" w:color="auto"/>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b/>
                <w:bCs/>
                <w:color w:val="000000"/>
                <w:sz w:val="22"/>
                <w:lang w:eastAsia="en-GB"/>
              </w:rPr>
            </w:pPr>
            <w:r w:rsidRPr="00791929">
              <w:rPr>
                <w:rFonts w:eastAsia="Times New Roman" w:cs="Times New Roman"/>
                <w:b/>
                <w:bCs/>
                <w:color w:val="000000"/>
                <w:sz w:val="22"/>
                <w:lang w:eastAsia="en-GB"/>
              </w:rPr>
              <w:t>L (gC/L)</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w:t>
            </w:r>
          </w:p>
        </w:tc>
        <w:tc>
          <w:tcPr>
            <w:tcW w:w="996" w:type="dxa"/>
            <w:tcBorders>
              <w:top w:val="nil"/>
              <w:left w:val="nil"/>
              <w:bottom w:val="nil"/>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w:t>
            </w:r>
          </w:p>
        </w:tc>
        <w:tc>
          <w:tcPr>
            <w:tcW w:w="1403" w:type="dxa"/>
            <w:tcBorders>
              <w:top w:val="nil"/>
              <w:left w:val="nil"/>
              <w:bottom w:val="nil"/>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w:t>
            </w:r>
          </w:p>
        </w:tc>
        <w:tc>
          <w:tcPr>
            <w:tcW w:w="1403" w:type="dxa"/>
            <w:tcBorders>
              <w:top w:val="nil"/>
              <w:left w:val="nil"/>
              <w:bottom w:val="nil"/>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w:t>
            </w:r>
          </w:p>
        </w:tc>
        <w:tc>
          <w:tcPr>
            <w:tcW w:w="996" w:type="dxa"/>
            <w:tcBorders>
              <w:top w:val="nil"/>
              <w:left w:val="nil"/>
              <w:bottom w:val="nil"/>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w:t>
            </w:r>
          </w:p>
        </w:tc>
        <w:tc>
          <w:tcPr>
            <w:tcW w:w="1342" w:type="dxa"/>
            <w:tcBorders>
              <w:top w:val="nil"/>
              <w:left w:val="nil"/>
              <w:bottom w:val="nil"/>
              <w:right w:val="nil"/>
            </w:tcBorders>
            <w:shd w:val="clear" w:color="auto" w:fill="auto"/>
            <w:noWrap/>
            <w:vAlign w:val="center"/>
            <w:hideMark/>
          </w:tcPr>
          <w:p w:rsidR="00791929" w:rsidRPr="00791929" w:rsidRDefault="00791929" w:rsidP="00B217C3">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w:t>
            </w:r>
          </w:p>
        </w:tc>
      </w:tr>
      <w:tr w:rsidR="00791929" w:rsidRPr="00791929" w:rsidTr="00B217C3">
        <w:trPr>
          <w:trHeight w:val="315"/>
        </w:trPr>
        <w:tc>
          <w:tcPr>
            <w:tcW w:w="2551" w:type="dxa"/>
            <w:tcBorders>
              <w:top w:val="single" w:sz="4" w:space="0" w:color="auto"/>
              <w:left w:val="nil"/>
              <w:bottom w:val="nil"/>
              <w:right w:val="nil"/>
            </w:tcBorders>
            <w:shd w:val="clear" w:color="auto" w:fill="auto"/>
            <w:noWrap/>
            <w:vAlign w:val="center"/>
            <w:hideMark/>
          </w:tcPr>
          <w:p w:rsidR="00791929" w:rsidRPr="00791929" w:rsidRDefault="00791929" w:rsidP="001F24D4">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 xml:space="preserve">[TAP]  [Low </w:t>
            </w:r>
            <w:r w:rsidR="001F24D4">
              <w:rPr>
                <w:rFonts w:eastAsia="Times New Roman" w:cs="Times New Roman"/>
                <w:color w:val="000000"/>
                <w:sz w:val="22"/>
                <w:lang w:eastAsia="en-GB"/>
              </w:rPr>
              <w:t>P</w:t>
            </w:r>
            <w:r w:rsidRPr="00791929">
              <w:rPr>
                <w:rFonts w:eastAsia="Times New Roman" w:cs="Times New Roman"/>
                <w:color w:val="000000"/>
                <w:sz w:val="22"/>
                <w:lang w:eastAsia="en-GB"/>
              </w:rPr>
              <w:t xml:space="preserve"> : Low </w:t>
            </w:r>
            <w:r w:rsidR="001F24D4">
              <w:rPr>
                <w:rFonts w:eastAsia="Times New Roman" w:cs="Times New Roman"/>
                <w:color w:val="000000"/>
                <w:sz w:val="22"/>
                <w:lang w:eastAsia="en-GB"/>
              </w:rPr>
              <w:t>N</w:t>
            </w:r>
            <w:r w:rsidRPr="00791929">
              <w:rPr>
                <w:rFonts w:eastAsia="Times New Roman" w:cs="Times New Roman"/>
                <w:color w:val="000000"/>
                <w:sz w:val="22"/>
                <w:lang w:eastAsia="en-GB"/>
              </w:rPr>
              <w:t>]</w:t>
            </w:r>
          </w:p>
        </w:tc>
        <w:tc>
          <w:tcPr>
            <w:tcW w:w="996" w:type="dxa"/>
            <w:tcBorders>
              <w:top w:val="single" w:sz="4" w:space="0" w:color="auto"/>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w:t>
            </w:r>
            <w:r w:rsidR="007D2379" w:rsidRPr="00B217C3">
              <w:rPr>
                <w:rFonts w:eastAsia="Times New Roman" w:cs="Times New Roman"/>
                <w:sz w:val="22"/>
                <w:lang w:eastAsia="en-GB"/>
              </w:rPr>
              <w:t>4</w:t>
            </w:r>
            <w:r w:rsidRPr="00B217C3">
              <w:rPr>
                <w:rFonts w:eastAsia="Times New Roman" w:cs="Times New Roman"/>
                <w:sz w:val="22"/>
                <w:lang w:eastAsia="en-GB"/>
              </w:rPr>
              <w:t>83</w:t>
            </w:r>
            <w:r w:rsidR="00B217C3" w:rsidRPr="00B217C3">
              <w:rPr>
                <w:rFonts w:eastAsia="Times New Roman" w:cs="Times New Roman"/>
                <w:sz w:val="22"/>
                <w:lang w:eastAsia="en-GB"/>
              </w:rPr>
              <w:t>*</w:t>
            </w:r>
          </w:p>
        </w:tc>
        <w:tc>
          <w:tcPr>
            <w:tcW w:w="1403" w:type="dxa"/>
            <w:tcBorders>
              <w:top w:val="single" w:sz="4" w:space="0" w:color="auto"/>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4.24E-06</w:t>
            </w:r>
            <w:r w:rsidR="00B217C3" w:rsidRPr="00B217C3">
              <w:rPr>
                <w:rFonts w:eastAsia="Times New Roman" w:cs="Times New Roman"/>
                <w:sz w:val="22"/>
                <w:lang w:eastAsia="en-GB"/>
              </w:rPr>
              <w:t>***</w:t>
            </w:r>
          </w:p>
        </w:tc>
        <w:tc>
          <w:tcPr>
            <w:tcW w:w="1403" w:type="dxa"/>
            <w:tcBorders>
              <w:top w:val="single" w:sz="4" w:space="0" w:color="auto"/>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0.00E+00</w:t>
            </w:r>
            <w:r w:rsidR="00B217C3" w:rsidRPr="00B217C3">
              <w:rPr>
                <w:rFonts w:eastAsia="Times New Roman" w:cs="Times New Roman"/>
                <w:sz w:val="22"/>
                <w:lang w:eastAsia="en-GB"/>
              </w:rPr>
              <w:t>***</w:t>
            </w:r>
          </w:p>
        </w:tc>
        <w:tc>
          <w:tcPr>
            <w:tcW w:w="996" w:type="dxa"/>
            <w:tcBorders>
              <w:top w:val="single" w:sz="4" w:space="0" w:color="auto"/>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0.1524</w:t>
            </w:r>
          </w:p>
        </w:tc>
        <w:tc>
          <w:tcPr>
            <w:tcW w:w="1342" w:type="dxa"/>
            <w:tcBorders>
              <w:top w:val="single" w:sz="4" w:space="0" w:color="auto"/>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[Low N]</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0.7886</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4.73E-06</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0.00E+00</w:t>
            </w:r>
            <w:r w:rsidR="00B217C3" w:rsidRPr="00B217C3">
              <w:rPr>
                <w:rFonts w:eastAsia="Times New Roman" w:cs="Times New Roman"/>
                <w:sz w:val="22"/>
                <w:lang w:eastAsia="en-GB"/>
              </w:rPr>
              <w:t>***</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0.0007</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0.0179</w:t>
            </w:r>
            <w:r w:rsidR="00B217C3" w:rsidRPr="00B217C3">
              <w:rPr>
                <w:rFonts w:eastAsia="Times New Roman" w:cs="Times New Roman"/>
                <w:sz w:val="22"/>
                <w:lang w:eastAsia="en-GB"/>
              </w:rPr>
              <w:t>*</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[Med N]</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0.0398</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8.47E-06</w:t>
            </w:r>
            <w:r w:rsidR="00B217C3" w:rsidRPr="00B217C3">
              <w:rPr>
                <w:rFonts w:eastAsia="Times New Roman" w:cs="Times New Roman"/>
                <w:sz w:val="22"/>
                <w:lang w:eastAsia="en-GB"/>
              </w:rPr>
              <w:t>***</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0.0429</w:t>
            </w:r>
            <w:r w:rsidR="00B217C3" w:rsidRPr="00B217C3">
              <w:rPr>
                <w:rFonts w:eastAsia="Times New Roman" w:cs="Times New Roman"/>
                <w:sz w:val="22"/>
                <w:lang w:eastAsia="en-GB"/>
              </w:rPr>
              <w:t>*</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0.0883</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[Low P]</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0.3837</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0.0063</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1.70E-05</w:t>
            </w:r>
            <w:r w:rsidR="00B217C3" w:rsidRPr="00B217C3">
              <w:rPr>
                <w:rFonts w:eastAsia="Times New Roman" w:cs="Times New Roman"/>
                <w:sz w:val="22"/>
                <w:lang w:eastAsia="en-GB"/>
              </w:rPr>
              <w:t>***</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0.9720</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0.9970</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[Med P]</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0.9850</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0.9764</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0.6502</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0.9992</w:t>
            </w:r>
          </w:p>
        </w:tc>
      </w:tr>
      <w:tr w:rsidR="00791929" w:rsidRPr="00791929" w:rsidTr="00B217C3">
        <w:trPr>
          <w:trHeight w:val="315"/>
        </w:trPr>
        <w:tc>
          <w:tcPr>
            <w:tcW w:w="2551" w:type="dxa"/>
            <w:tcBorders>
              <w:top w:val="nil"/>
              <w:left w:val="nil"/>
              <w:bottom w:val="single" w:sz="4" w:space="0" w:color="auto"/>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[Low A]</w:t>
            </w:r>
          </w:p>
        </w:tc>
        <w:tc>
          <w:tcPr>
            <w:tcW w:w="996"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0.2189</w:t>
            </w:r>
          </w:p>
        </w:tc>
        <w:tc>
          <w:tcPr>
            <w:tcW w:w="1403"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403"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0.0684</w:t>
            </w:r>
          </w:p>
        </w:tc>
        <w:tc>
          <w:tcPr>
            <w:tcW w:w="996"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342"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0.7367</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A]</w:t>
            </w:r>
          </w:p>
        </w:tc>
        <w:tc>
          <w:tcPr>
            <w:tcW w:w="996" w:type="dxa"/>
            <w:tcBorders>
              <w:top w:val="single" w:sz="4" w:space="0" w:color="auto"/>
              <w:left w:val="nil"/>
              <w:bottom w:val="nil"/>
              <w:right w:val="nil"/>
            </w:tcBorders>
            <w:shd w:val="clear" w:color="auto" w:fill="auto"/>
            <w:noWrap/>
            <w:vAlign w:val="center"/>
            <w:hideMark/>
          </w:tcPr>
          <w:p w:rsidR="00791929" w:rsidRPr="00B217C3" w:rsidRDefault="007D2379" w:rsidP="00B217C3">
            <w:pPr>
              <w:spacing w:after="0" w:line="240" w:lineRule="auto"/>
              <w:rPr>
                <w:rFonts w:eastAsia="Times New Roman" w:cs="Times New Roman"/>
                <w:sz w:val="22"/>
                <w:lang w:eastAsia="en-GB"/>
              </w:rPr>
            </w:pPr>
            <w:r w:rsidRPr="00B217C3">
              <w:rPr>
                <w:rFonts w:eastAsia="Times New Roman" w:cs="Times New Roman"/>
                <w:sz w:val="22"/>
                <w:lang w:eastAsia="en-GB"/>
              </w:rPr>
              <w:t>0.0</w:t>
            </w:r>
            <w:r w:rsidR="00364BFF" w:rsidRPr="00B217C3">
              <w:rPr>
                <w:rFonts w:eastAsia="Times New Roman" w:cs="Times New Roman"/>
                <w:sz w:val="22"/>
                <w:lang w:eastAsia="en-GB"/>
              </w:rPr>
              <w:t>4</w:t>
            </w:r>
            <w:r w:rsidRPr="00B217C3">
              <w:rPr>
                <w:rFonts w:eastAsia="Times New Roman" w:cs="Times New Roman"/>
                <w:sz w:val="22"/>
                <w:lang w:eastAsia="en-GB"/>
              </w:rPr>
              <w:t>3</w:t>
            </w:r>
            <w:r w:rsidR="00791929" w:rsidRPr="00B217C3">
              <w:rPr>
                <w:rFonts w:eastAsia="Times New Roman" w:cs="Times New Roman"/>
                <w:sz w:val="22"/>
                <w:lang w:eastAsia="en-GB"/>
              </w:rPr>
              <w:t>8</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0.2327</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0.2928</w:t>
            </w:r>
          </w:p>
        </w:tc>
        <w:tc>
          <w:tcPr>
            <w:tcW w:w="1342" w:type="dxa"/>
            <w:tcBorders>
              <w:top w:val="single" w:sz="4" w:space="0" w:color="auto"/>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0.0005</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A+]</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0.0099</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0.1675</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2.97E-08</w:t>
            </w:r>
            <w:r w:rsidR="00B217C3" w:rsidRPr="00B217C3">
              <w:rPr>
                <w:rFonts w:eastAsia="Times New Roman" w:cs="Times New Roman"/>
                <w:sz w:val="22"/>
                <w:lang w:eastAsia="en-GB"/>
              </w:rPr>
              <w:t>***</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0.0628</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8.99E-06</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A : Low N-]</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0.0269</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0.00E+00</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0.00E+00</w:t>
            </w:r>
            <w:r w:rsidR="00B217C3" w:rsidRPr="00B217C3">
              <w:rPr>
                <w:rFonts w:eastAsia="Times New Roman" w:cs="Times New Roman"/>
                <w:sz w:val="22"/>
                <w:lang w:eastAsia="en-GB"/>
              </w:rPr>
              <w:t>***</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0.0021</w:t>
            </w:r>
            <w:r w:rsidR="00B217C3" w:rsidRPr="00B217C3">
              <w:rPr>
                <w:rFonts w:eastAsia="Times New Roman" w:cs="Times New Roman"/>
                <w:sz w:val="22"/>
                <w:lang w:eastAsia="en-GB"/>
              </w:rPr>
              <w:t>**</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0.9989</w:t>
            </w:r>
          </w:p>
        </w:tc>
      </w:tr>
      <w:tr w:rsidR="00791929" w:rsidRPr="00791929" w:rsidTr="00B217C3">
        <w:trPr>
          <w:trHeight w:val="315"/>
        </w:trPr>
        <w:tc>
          <w:tcPr>
            <w:tcW w:w="2551" w:type="dxa"/>
            <w:tcBorders>
              <w:top w:val="nil"/>
              <w:left w:val="nil"/>
              <w:bottom w:val="single" w:sz="4" w:space="0" w:color="auto"/>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A : Low P]</w:t>
            </w:r>
          </w:p>
        </w:tc>
        <w:tc>
          <w:tcPr>
            <w:tcW w:w="996"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0.3421</w:t>
            </w:r>
          </w:p>
        </w:tc>
        <w:tc>
          <w:tcPr>
            <w:tcW w:w="1403"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0.5626</w:t>
            </w:r>
          </w:p>
        </w:tc>
        <w:tc>
          <w:tcPr>
            <w:tcW w:w="1403"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1.37E-05</w:t>
            </w:r>
            <w:r w:rsidR="00B217C3" w:rsidRPr="00B217C3">
              <w:rPr>
                <w:rFonts w:eastAsia="Times New Roman" w:cs="Times New Roman"/>
                <w:sz w:val="22"/>
                <w:lang w:eastAsia="en-GB"/>
              </w:rPr>
              <w:t>***</w:t>
            </w:r>
          </w:p>
        </w:tc>
        <w:tc>
          <w:tcPr>
            <w:tcW w:w="996"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0.5414</w:t>
            </w:r>
          </w:p>
        </w:tc>
        <w:tc>
          <w:tcPr>
            <w:tcW w:w="1342"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0.0052</w:t>
            </w:r>
            <w:r w:rsidR="00B217C3" w:rsidRPr="00B217C3">
              <w:rPr>
                <w:rFonts w:eastAsia="Times New Roman" w:cs="Times New Roman"/>
                <w:sz w:val="22"/>
                <w:lang w:eastAsia="en-GB"/>
              </w:rPr>
              <w:t>**</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N]</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0.0001</w:t>
            </w:r>
            <w:r w:rsidR="00B217C3" w:rsidRPr="00B217C3">
              <w:rPr>
                <w:rFonts w:eastAsia="Times New Roman" w:cs="Times New Roman"/>
                <w:sz w:val="22"/>
                <w:lang w:eastAsia="en-GB"/>
              </w:rPr>
              <w:t>***</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0.4311</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0.3261</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0.0009</w:t>
            </w:r>
          </w:p>
        </w:tc>
      </w:tr>
      <w:tr w:rsidR="00791929" w:rsidRPr="00791929" w:rsidTr="00B217C3">
        <w:trPr>
          <w:trHeight w:val="315"/>
        </w:trPr>
        <w:tc>
          <w:tcPr>
            <w:tcW w:w="2551" w:type="dxa"/>
            <w:tcBorders>
              <w:top w:val="nil"/>
              <w:left w:val="nil"/>
              <w:bottom w:val="nil"/>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P]</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0.9842</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403"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0.8638</w:t>
            </w:r>
          </w:p>
        </w:tc>
        <w:tc>
          <w:tcPr>
            <w:tcW w:w="996"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342" w:type="dxa"/>
            <w:tcBorders>
              <w:top w:val="nil"/>
              <w:left w:val="nil"/>
              <w:bottom w:val="nil"/>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r>
      <w:tr w:rsidR="00791929" w:rsidRPr="00791929" w:rsidTr="00B217C3">
        <w:trPr>
          <w:trHeight w:val="315"/>
        </w:trPr>
        <w:tc>
          <w:tcPr>
            <w:tcW w:w="2551" w:type="dxa"/>
            <w:tcBorders>
              <w:top w:val="nil"/>
              <w:left w:val="nil"/>
              <w:bottom w:val="single" w:sz="4" w:space="0" w:color="auto"/>
              <w:right w:val="nil"/>
            </w:tcBorders>
            <w:shd w:val="clear" w:color="auto" w:fill="auto"/>
            <w:noWrap/>
            <w:vAlign w:val="center"/>
            <w:hideMark/>
          </w:tcPr>
          <w:p w:rsidR="00791929" w:rsidRPr="00791929" w:rsidRDefault="00791929" w:rsidP="00791929">
            <w:pPr>
              <w:spacing w:after="0" w:line="240" w:lineRule="auto"/>
              <w:rPr>
                <w:rFonts w:eastAsia="Times New Roman" w:cs="Times New Roman"/>
                <w:color w:val="000000"/>
                <w:sz w:val="22"/>
                <w:lang w:eastAsia="en-GB"/>
              </w:rPr>
            </w:pPr>
            <w:r w:rsidRPr="00791929">
              <w:rPr>
                <w:rFonts w:eastAsia="Times New Roman" w:cs="Times New Roman"/>
                <w:color w:val="000000"/>
                <w:sz w:val="22"/>
                <w:lang w:eastAsia="en-GB"/>
              </w:rPr>
              <w:t>[TAP]  [HIGH A]</w:t>
            </w:r>
          </w:p>
        </w:tc>
        <w:tc>
          <w:tcPr>
            <w:tcW w:w="996"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0.9838</w:t>
            </w:r>
          </w:p>
        </w:tc>
        <w:tc>
          <w:tcPr>
            <w:tcW w:w="1403"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403"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996"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1.0000</w:t>
            </w:r>
          </w:p>
        </w:tc>
        <w:tc>
          <w:tcPr>
            <w:tcW w:w="1342" w:type="dxa"/>
            <w:tcBorders>
              <w:top w:val="nil"/>
              <w:left w:val="nil"/>
              <w:bottom w:val="single" w:sz="4" w:space="0" w:color="auto"/>
              <w:right w:val="nil"/>
            </w:tcBorders>
            <w:shd w:val="clear" w:color="auto" w:fill="auto"/>
            <w:noWrap/>
            <w:vAlign w:val="center"/>
            <w:hideMark/>
          </w:tcPr>
          <w:p w:rsidR="00791929" w:rsidRPr="00B217C3" w:rsidRDefault="00791929" w:rsidP="00B217C3">
            <w:pPr>
              <w:spacing w:after="0" w:line="240" w:lineRule="auto"/>
              <w:rPr>
                <w:rFonts w:eastAsia="Times New Roman" w:cs="Times New Roman"/>
                <w:sz w:val="22"/>
                <w:lang w:eastAsia="en-GB"/>
              </w:rPr>
            </w:pPr>
            <w:r w:rsidRPr="00B217C3">
              <w:rPr>
                <w:rFonts w:eastAsia="Times New Roman" w:cs="Times New Roman"/>
                <w:sz w:val="22"/>
                <w:lang w:eastAsia="en-GB"/>
              </w:rPr>
              <w:t>0.9996</w:t>
            </w:r>
          </w:p>
        </w:tc>
      </w:tr>
    </w:tbl>
    <w:p w:rsidR="00F53BF6" w:rsidRDefault="00F53BF6" w:rsidP="00EB4279">
      <w:pPr>
        <w:jc w:val="center"/>
        <w:rPr>
          <w:rFonts w:cs="Times New Roman"/>
          <w:b/>
          <w:szCs w:val="24"/>
        </w:rPr>
      </w:pPr>
    </w:p>
    <w:p w:rsidR="00B838BF" w:rsidRDefault="00B838BF">
      <w:pPr>
        <w:rPr>
          <w:b/>
        </w:rPr>
      </w:pPr>
      <w:r>
        <w:rPr>
          <w:b/>
        </w:rPr>
        <w:br w:type="page"/>
      </w:r>
    </w:p>
    <w:p w:rsidR="006A2996" w:rsidRDefault="006A2996" w:rsidP="00520939">
      <w:pPr>
        <w:rPr>
          <w:b/>
        </w:rPr>
      </w:pPr>
    </w:p>
    <w:p w:rsidR="00F6208B" w:rsidRPr="00BA191A" w:rsidRDefault="00F6208B" w:rsidP="00F6208B">
      <w:pPr>
        <w:jc w:val="center"/>
        <w:rPr>
          <w:rFonts w:cs="Times New Roman"/>
        </w:rPr>
      </w:pPr>
      <w:r w:rsidRPr="006B3717">
        <w:rPr>
          <w:rFonts w:cs="Times New Roman"/>
          <w:noProof/>
          <w:lang w:eastAsia="en-GB"/>
        </w:rPr>
        <w:drawing>
          <wp:inline distT="0" distB="0" distL="0" distR="0" wp14:anchorId="7AEB8319" wp14:editId="381143A1">
            <wp:extent cx="5949385" cy="540134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8"/>
                    <a:srcRect l="10555" r="11479"/>
                    <a:stretch/>
                  </pic:blipFill>
                  <pic:spPr bwMode="auto">
                    <a:xfrm>
                      <a:off x="0" y="0"/>
                      <a:ext cx="5957094" cy="5408339"/>
                    </a:xfrm>
                    <a:prstGeom prst="rect">
                      <a:avLst/>
                    </a:prstGeom>
                    <a:ln>
                      <a:noFill/>
                    </a:ln>
                    <a:extLst>
                      <a:ext uri="{53640926-AAD7-44D8-BBD7-CCE9431645EC}">
                        <a14:shadowObscured xmlns:a14="http://schemas.microsoft.com/office/drawing/2010/main"/>
                      </a:ext>
                    </a:extLst>
                  </pic:spPr>
                </pic:pic>
              </a:graphicData>
            </a:graphic>
          </wp:inline>
        </w:drawing>
      </w:r>
    </w:p>
    <w:p w:rsidR="00F6208B" w:rsidRPr="00E90AA5" w:rsidRDefault="00466A07" w:rsidP="00F6208B">
      <w:pPr>
        <w:pStyle w:val="Caption"/>
        <w:spacing w:line="360" w:lineRule="auto"/>
        <w:rPr>
          <w:b w:val="0"/>
        </w:rPr>
      </w:pPr>
      <w:bookmarkStart w:id="0" w:name="_Ref31011784"/>
      <w:r>
        <w:t>Fig.</w:t>
      </w:r>
      <w:r w:rsidR="00F6208B">
        <w:t xml:space="preserve"> </w:t>
      </w:r>
      <w:bookmarkEnd w:id="0"/>
      <w:r w:rsidR="00F6208B">
        <w:t xml:space="preserve">S1 </w:t>
      </w:r>
      <w:r w:rsidR="00F6208B" w:rsidRPr="00E90AA5">
        <w:rPr>
          <w:b w:val="0"/>
        </w:rPr>
        <w:t>Parity plots comparing predicted and experimental data for both fitting and validating dat</w:t>
      </w:r>
      <w:r w:rsidR="00F6208B">
        <w:rPr>
          <w:b w:val="0"/>
        </w:rPr>
        <w:t>a</w:t>
      </w:r>
      <w:r w:rsidR="00F6208B" w:rsidRPr="00E90AA5">
        <w:rPr>
          <w:b w:val="0"/>
        </w:rPr>
        <w:t xml:space="preserve">sets for: a) biomass, b) nitrogen, c) nitrogen quota, d) phosphorus, e) phosphorus quota, f) acetic acid, g) starch, h) lipids, and i) active biomass. Data are the mean of two </w:t>
      </w:r>
      <w:r w:rsidR="00F6208B">
        <w:rPr>
          <w:b w:val="0"/>
        </w:rPr>
        <w:t xml:space="preserve">independent </w:t>
      </w:r>
      <w:r w:rsidR="00F6208B" w:rsidRPr="00E90AA5">
        <w:rPr>
          <w:b w:val="0"/>
        </w:rPr>
        <w:t>experimental replicates.</w:t>
      </w:r>
    </w:p>
    <w:p w:rsidR="00F6208B" w:rsidRDefault="00F6208B">
      <w:pPr>
        <w:rPr>
          <w:b/>
        </w:rPr>
      </w:pPr>
      <w:r>
        <w:rPr>
          <w:b/>
        </w:rPr>
        <w:br w:type="page"/>
      </w:r>
    </w:p>
    <w:p w:rsidR="00382442" w:rsidRPr="00F6208B" w:rsidRDefault="00F6208B" w:rsidP="00F6208B">
      <w:pPr>
        <w:rPr>
          <w:b/>
        </w:rPr>
      </w:pPr>
      <w:r>
        <w:rPr>
          <w:b/>
        </w:rPr>
        <w:lastRenderedPageBreak/>
        <w:t xml:space="preserve">Supplementary Information: </w:t>
      </w:r>
      <w:r w:rsidR="00382442" w:rsidRPr="00F6208B">
        <w:rPr>
          <w:b/>
        </w:rPr>
        <w:t>Normalised sensitivity analysis.</w:t>
      </w:r>
    </w:p>
    <w:p w:rsidR="00B92BFD" w:rsidRPr="00B92BFD" w:rsidRDefault="00B92BFD" w:rsidP="00B92BFD">
      <w:pPr>
        <w:jc w:val="both"/>
        <w:rPr>
          <w:rFonts w:cs="Times New Roman"/>
        </w:rPr>
      </w:pPr>
      <w:r w:rsidRPr="00B92BFD">
        <w:rPr>
          <w:rFonts w:cs="Times New Roman"/>
        </w:rPr>
        <w:t>To assess the effect of the</w:t>
      </w:r>
      <w:r w:rsidR="006A2996">
        <w:rPr>
          <w:rFonts w:cs="Times New Roman"/>
        </w:rPr>
        <w:t xml:space="preserve"> model</w:t>
      </w:r>
      <w:r>
        <w:rPr>
          <w:rFonts w:cs="Times New Roman"/>
        </w:rPr>
        <w:t xml:space="preserve"> kinetic parameters</w:t>
      </w:r>
      <w:r w:rsidRPr="00B92BFD">
        <w:rPr>
          <w:rFonts w:cs="Times New Roman"/>
        </w:rPr>
        <w:t xml:space="preserve"> on the </w:t>
      </w:r>
      <w:r w:rsidR="006A2996">
        <w:rPr>
          <w:rFonts w:cs="Times New Roman"/>
        </w:rPr>
        <w:t xml:space="preserve">state </w:t>
      </w:r>
      <w:r w:rsidRPr="00B92BFD">
        <w:rPr>
          <w:rFonts w:cs="Times New Roman"/>
        </w:rPr>
        <w:t xml:space="preserve">variables, a </w:t>
      </w:r>
      <w:r>
        <w:rPr>
          <w:rFonts w:cs="Times New Roman"/>
        </w:rPr>
        <w:t xml:space="preserve">normalised </w:t>
      </w:r>
      <w:r w:rsidRPr="00B92BFD">
        <w:rPr>
          <w:rFonts w:cs="Times New Roman"/>
        </w:rPr>
        <w:t xml:space="preserve">sensitivity analysis was performed by </w:t>
      </w:r>
      <w:r>
        <w:rPr>
          <w:rFonts w:cs="Times New Roman"/>
        </w:rPr>
        <w:t>calculating</w:t>
      </w:r>
      <w:r w:rsidRPr="00B92BFD">
        <w:rPr>
          <w:rFonts w:cs="Times New Roman"/>
        </w:rPr>
        <w:t>:</w:t>
      </w:r>
    </w:p>
    <w:tbl>
      <w:tblPr>
        <w:tblW w:w="4999" w:type="pct"/>
        <w:tblLook w:val="04A0" w:firstRow="1" w:lastRow="0" w:firstColumn="1" w:lastColumn="0" w:noHBand="0" w:noVBand="1"/>
      </w:tblPr>
      <w:tblGrid>
        <w:gridCol w:w="564"/>
        <w:gridCol w:w="7769"/>
        <w:gridCol w:w="907"/>
      </w:tblGrid>
      <w:tr w:rsidR="00B92BFD" w:rsidTr="006157B5">
        <w:trPr>
          <w:trHeight w:val="624"/>
        </w:trPr>
        <w:tc>
          <w:tcPr>
            <w:tcW w:w="305" w:type="pct"/>
          </w:tcPr>
          <w:p w:rsidR="00B92BFD" w:rsidRDefault="00B92BFD" w:rsidP="006157B5">
            <w:pPr>
              <w:rPr>
                <w:rFonts w:cs="Times New Roman"/>
              </w:rPr>
            </w:pPr>
          </w:p>
        </w:tc>
        <w:tc>
          <w:tcPr>
            <w:tcW w:w="4204" w:type="pct"/>
            <w:vAlign w:val="center"/>
          </w:tcPr>
          <w:p w:rsidR="00B92BFD" w:rsidRDefault="00B92BFD" w:rsidP="006157B5">
            <w:pPr>
              <w:jc w:val="center"/>
              <w:rPr>
                <w:rFonts w:cs="Times New Roman"/>
              </w:rPr>
            </w:pPr>
            <m:oMathPara>
              <m:oMath>
                <m:r>
                  <w:rPr>
                    <w:rFonts w:ascii="Cambria Math" w:hAnsi="Cambria Math" w:cs="Times New Roman"/>
                  </w:rPr>
                  <m:t>Sensitivity=</m:t>
                </m:r>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num>
                  <m:den>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i,o</m:t>
                        </m:r>
                      </m:sub>
                    </m:sSub>
                  </m:num>
                  <m:den>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i,o</m:t>
                        </m:r>
                      </m:sub>
                    </m:sSub>
                  </m:den>
                </m:f>
                <m:r>
                  <w:rPr>
                    <w:rFonts w:ascii="Cambria Math" w:hAnsi="Cambria Math" w:cs="Times New Roman"/>
                  </w:rPr>
                  <m:t>=</m:t>
                </m:r>
                <m:f>
                  <m:fPr>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i,o</m:t>
                        </m:r>
                      </m:sub>
                    </m:sSub>
                  </m:num>
                  <m:den>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i,o</m:t>
                        </m:r>
                      </m:sub>
                    </m:sSub>
                  </m:den>
                </m:f>
              </m:oMath>
            </m:oMathPara>
          </w:p>
        </w:tc>
        <w:tc>
          <w:tcPr>
            <w:tcW w:w="491" w:type="pct"/>
            <w:vAlign w:val="center"/>
          </w:tcPr>
          <w:p w:rsidR="00B92BFD" w:rsidRDefault="00B92BFD" w:rsidP="006157B5">
            <w:pPr>
              <w:jc w:val="center"/>
              <w:rPr>
                <w:rFonts w:cs="Times New Roman"/>
              </w:rPr>
            </w:pPr>
          </w:p>
        </w:tc>
      </w:tr>
    </w:tbl>
    <w:p w:rsidR="00370385" w:rsidRDefault="00F6208B" w:rsidP="00706FB8">
      <w:pPr>
        <w:jc w:val="both"/>
        <w:rPr>
          <w:rFonts w:cs="Times New Roman"/>
        </w:rPr>
      </w:pPr>
      <w:r>
        <w:rPr>
          <w:rFonts w:cs="Times New Roman"/>
        </w:rPr>
        <w:t>Here,</w:t>
      </w:r>
      <w:r w:rsidR="00B92BFD" w:rsidRPr="00B92BFD">
        <w:rPr>
          <w:rFonts w:cs="Times New Roman"/>
        </w:rPr>
        <w:t xml:space="preserve"> </w:t>
      </w:r>
      <m:oMath>
        <m:f>
          <m:fPr>
            <m:type m:val="lin"/>
            <m:ctrlPr>
              <w:rPr>
                <w:rFonts w:ascii="Cambria Math" w:hAnsi="Cambria Math" w:cs="Times New Roman"/>
                <w:i/>
              </w:rPr>
            </m:ctrlPr>
          </m:fPr>
          <m:num>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Z</m:t>
                </m:r>
              </m:e>
              <m:sub>
                <m:r>
                  <w:rPr>
                    <w:rFonts w:ascii="Cambria Math" w:hAnsi="Cambria Math" w:cs="Times New Roman"/>
                  </w:rPr>
                  <m:t>i</m:t>
                </m:r>
              </m:sub>
            </m:sSub>
          </m:num>
          <m:den>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P</m:t>
                </m:r>
              </m:e>
              <m:sub>
                <m:r>
                  <w:rPr>
                    <w:rFonts w:ascii="Cambria Math" w:hAnsi="Cambria Math" w:cs="Times New Roman"/>
                  </w:rPr>
                  <m:t>i</m:t>
                </m:r>
              </m:sub>
            </m:sSub>
          </m:den>
        </m:f>
      </m:oMath>
      <w:r w:rsidR="00B92BFD" w:rsidRPr="00B92BFD">
        <w:rPr>
          <w:rFonts w:eastAsiaTheme="minorEastAsia" w:cs="Times New Roman"/>
        </w:rPr>
        <w:t xml:space="preserve"> denotes the response change in a model state variable with respect to a corresponding change in a model parameter, and </w:t>
      </w:r>
      <m:oMath>
        <m:sSub>
          <m:sSubPr>
            <m:ctrlPr>
              <w:rPr>
                <w:rFonts w:ascii="Cambria Math" w:eastAsiaTheme="minorEastAsia" w:hAnsi="Cambria Math" w:cs="Times New Roman"/>
                <w:i/>
              </w:rPr>
            </m:ctrlPr>
          </m:sSubPr>
          <m:e>
            <m:r>
              <w:rPr>
                <w:rFonts w:ascii="Cambria Math" w:eastAsiaTheme="minorEastAsia" w:hAnsi="Cambria Math" w:cs="Times New Roman"/>
              </w:rPr>
              <m:t>Z</m:t>
            </m:r>
          </m:e>
          <m:sub>
            <m:r>
              <w:rPr>
                <w:rFonts w:ascii="Cambria Math" w:eastAsiaTheme="minorEastAsia" w:hAnsi="Cambria Math" w:cs="Times New Roman"/>
              </w:rPr>
              <m:t>i,o</m:t>
            </m:r>
          </m:sub>
        </m:sSub>
      </m:oMath>
      <w:r w:rsidR="00B92BFD" w:rsidRPr="00B92BFD">
        <w:rPr>
          <w:rFonts w:eastAsiaTheme="minorEastAsia" w:cs="Times New Roman"/>
        </w:rPr>
        <w:t xml:space="preserve"> is the response of the model state variable when the parameter is set to </w:t>
      </w:r>
      <m:oMath>
        <m:sSub>
          <m:sSubPr>
            <m:ctrlPr>
              <w:rPr>
                <w:rFonts w:ascii="Cambria Math" w:eastAsiaTheme="minorEastAsia" w:hAnsi="Cambria Math" w:cs="Times New Roman"/>
                <w:i/>
              </w:rPr>
            </m:ctrlPr>
          </m:sSubPr>
          <m:e>
            <m:r>
              <w:rPr>
                <w:rFonts w:ascii="Cambria Math" w:eastAsiaTheme="minorEastAsia" w:hAnsi="Cambria Math" w:cs="Times New Roman"/>
              </w:rPr>
              <m:t>P</m:t>
            </m:r>
          </m:e>
          <m:sub>
            <m:r>
              <w:rPr>
                <w:rFonts w:ascii="Cambria Math" w:eastAsiaTheme="minorEastAsia" w:hAnsi="Cambria Math" w:cs="Times New Roman"/>
              </w:rPr>
              <m:t>i,o</m:t>
            </m:r>
          </m:sub>
        </m:sSub>
      </m:oMath>
      <w:r w:rsidR="00706FB8">
        <w:rPr>
          <w:rFonts w:eastAsiaTheme="minorEastAsia" w:cs="Times New Roman"/>
        </w:rPr>
        <w:t xml:space="preserve">. The </w:t>
      </w:r>
      <w:r w:rsidR="00B92BFD" w:rsidRPr="00B92BFD">
        <w:rPr>
          <w:rFonts w:eastAsiaTheme="minorEastAsia" w:cs="Times New Roman"/>
        </w:rPr>
        <w:t>sensitivity</w:t>
      </w:r>
      <w:r w:rsidR="00FD7A9B">
        <w:rPr>
          <w:rFonts w:eastAsiaTheme="minorEastAsia" w:cs="Times New Roman"/>
        </w:rPr>
        <w:t xml:space="preserve"> </w:t>
      </w:r>
      <w:r w:rsidR="00B92BFD" w:rsidRPr="00B92BFD">
        <w:rPr>
          <w:rFonts w:eastAsiaTheme="minorEastAsia" w:cs="Times New Roman"/>
        </w:rPr>
        <w:t xml:space="preserve">reflects the </w:t>
      </w:r>
      <w:r w:rsidR="00FD7A9B" w:rsidRPr="00B92BFD">
        <w:rPr>
          <w:rFonts w:eastAsiaTheme="minorEastAsia" w:cs="Times New Roman"/>
        </w:rPr>
        <w:t>outcome</w:t>
      </w:r>
      <w:r w:rsidR="00B92BFD" w:rsidRPr="00B92BFD">
        <w:rPr>
          <w:rFonts w:eastAsiaTheme="minorEastAsia" w:cs="Times New Roman"/>
        </w:rPr>
        <w:t xml:space="preserve"> of a</w:t>
      </w:r>
      <w:r w:rsidR="002D7879">
        <w:rPr>
          <w:rFonts w:eastAsiaTheme="minorEastAsia" w:cs="Times New Roman"/>
        </w:rPr>
        <w:t xml:space="preserve"> </w:t>
      </w:r>
      <w:r w:rsidR="00FD7A9B">
        <w:rPr>
          <w:rFonts w:eastAsiaTheme="minorEastAsia" w:cs="Times New Roman"/>
        </w:rPr>
        <w:t xml:space="preserve">change </w:t>
      </w:r>
      <w:r w:rsidR="006157B5">
        <w:rPr>
          <w:rFonts w:eastAsiaTheme="minorEastAsia" w:cs="Times New Roman"/>
        </w:rPr>
        <w:t>in the</w:t>
      </w:r>
      <w:r w:rsidR="00FD7A9B">
        <w:rPr>
          <w:rFonts w:eastAsiaTheme="minorEastAsia" w:cs="Times New Roman"/>
        </w:rPr>
        <w:t xml:space="preserve"> </w:t>
      </w:r>
      <w:r w:rsidR="002D7879">
        <w:rPr>
          <w:rFonts w:eastAsiaTheme="minorEastAsia" w:cs="Times New Roman"/>
        </w:rPr>
        <w:t>parameter</w:t>
      </w:r>
      <w:r w:rsidR="006157B5">
        <w:rPr>
          <w:rFonts w:eastAsiaTheme="minorEastAsia" w:cs="Times New Roman"/>
        </w:rPr>
        <w:t xml:space="preserve"> value</w:t>
      </w:r>
      <w:r w:rsidR="00706FB8">
        <w:rPr>
          <w:rFonts w:eastAsiaTheme="minorEastAsia" w:cs="Times New Roman"/>
        </w:rPr>
        <w:t>: for sensitivities</w:t>
      </w:r>
      <w:r w:rsidR="007745CF">
        <w:rPr>
          <w:rFonts w:eastAsiaTheme="minorEastAsia" w:cs="Times New Roman"/>
        </w:rPr>
        <w:t xml:space="preserve"> &gt; 0</w:t>
      </w:r>
      <w:r w:rsidR="00B92BFD" w:rsidRPr="00B92BFD">
        <w:rPr>
          <w:rFonts w:eastAsiaTheme="minorEastAsia" w:cs="Times New Roman"/>
        </w:rPr>
        <w:t xml:space="preserve">, a change in the parameter increases the response of the model variable; </w:t>
      </w:r>
      <w:r w:rsidR="00706FB8">
        <w:rPr>
          <w:rFonts w:eastAsiaTheme="minorEastAsia" w:cs="Times New Roman"/>
        </w:rPr>
        <w:t>for sensitivities</w:t>
      </w:r>
      <w:r w:rsidR="007745CF">
        <w:rPr>
          <w:rFonts w:eastAsiaTheme="minorEastAsia" w:cs="Times New Roman"/>
        </w:rPr>
        <w:t xml:space="preserve"> &lt; 0</w:t>
      </w:r>
      <w:r w:rsidR="00B92BFD" w:rsidRPr="00B92BFD">
        <w:rPr>
          <w:rFonts w:eastAsiaTheme="minorEastAsia" w:cs="Times New Roman"/>
        </w:rPr>
        <w:t>, a change in the parameter decreases the response of the model variable. Meanwhile, the greater the sensitivity, the greater the effect of the parameter.</w:t>
      </w:r>
      <w:r w:rsidR="009628D7">
        <w:rPr>
          <w:rFonts w:eastAsiaTheme="minorEastAsia" w:cs="Times New Roman"/>
        </w:rPr>
        <w:t xml:space="preserve"> </w:t>
      </w:r>
      <w:r w:rsidR="00B927A7">
        <w:rPr>
          <w:rFonts w:eastAsiaTheme="minorEastAsia" w:cs="Times New Roman"/>
        </w:rPr>
        <w:t>For computations: i)</w:t>
      </w:r>
      <w:r w:rsidR="00706FB8">
        <w:rPr>
          <w:rFonts w:eastAsiaTheme="minorEastAsia" w:cs="Times New Roman"/>
        </w:rPr>
        <w:t xml:space="preserve"> parameters were increased by 1 %</w:t>
      </w:r>
      <w:r w:rsidR="006A2996">
        <w:rPr>
          <w:rFonts w:eastAsiaTheme="minorEastAsia" w:cs="Times New Roman"/>
        </w:rPr>
        <w:t xml:space="preserve"> with respect to their estimated value</w:t>
      </w:r>
      <w:r w:rsidR="00706FB8">
        <w:rPr>
          <w:rFonts w:eastAsiaTheme="minorEastAsia" w:cs="Times New Roman"/>
        </w:rPr>
        <w:t>, whilst keeping all other parameters constant (local sensitivity)</w:t>
      </w:r>
      <w:r w:rsidR="00B927A7">
        <w:rPr>
          <w:rFonts w:eastAsiaTheme="minorEastAsia" w:cs="Times New Roman"/>
        </w:rPr>
        <w:t xml:space="preserve">, </w:t>
      </w:r>
      <w:r w:rsidR="009628D7">
        <w:rPr>
          <w:rFonts w:eastAsiaTheme="minorEastAsia" w:cs="Times New Roman"/>
        </w:rPr>
        <w:t xml:space="preserve">and </w:t>
      </w:r>
      <w:r w:rsidR="00B927A7">
        <w:rPr>
          <w:rFonts w:eastAsiaTheme="minorEastAsia" w:cs="Times New Roman"/>
        </w:rPr>
        <w:t>ii)</w:t>
      </w:r>
      <w:r w:rsidR="00706FB8">
        <w:rPr>
          <w:rFonts w:eastAsiaTheme="minorEastAsia" w:cs="Times New Roman"/>
        </w:rPr>
        <w:t xml:space="preserve"> the sensitivity was computed over a 200 h </w:t>
      </w:r>
      <w:r w:rsidR="009628D7">
        <w:rPr>
          <w:rFonts w:cs="Times New Roman"/>
        </w:rPr>
        <w:t>cultivation period.</w:t>
      </w:r>
      <w:r w:rsidR="00FC2B03">
        <w:rPr>
          <w:rFonts w:cs="Times New Roman"/>
        </w:rPr>
        <w:t xml:space="preserve"> </w:t>
      </w:r>
    </w:p>
    <w:p w:rsidR="009628D7" w:rsidRDefault="00CF4E6B" w:rsidP="00706FB8">
      <w:pPr>
        <w:jc w:val="both"/>
        <w:rPr>
          <w:rFonts w:eastAsiaTheme="minorEastAsia" w:cs="Times New Roman"/>
        </w:rPr>
      </w:pPr>
      <w:r>
        <w:rPr>
          <w:rFonts w:cs="Times New Roman"/>
        </w:rPr>
        <w:t>M</w:t>
      </w:r>
      <w:r>
        <w:rPr>
          <w:rFonts w:eastAsiaTheme="minorEastAsia" w:cs="Times New Roman"/>
        </w:rPr>
        <w:t xml:space="preserve">odel outputs </w:t>
      </w:r>
      <w:r w:rsidR="008141E3">
        <w:rPr>
          <w:rFonts w:eastAsiaTheme="minorEastAsia" w:cs="Times New Roman"/>
        </w:rPr>
        <w:t xml:space="preserve">for each evaluated parameter </w:t>
      </w:r>
      <w:r>
        <w:rPr>
          <w:rFonts w:eastAsiaTheme="minorEastAsia" w:cs="Times New Roman"/>
        </w:rPr>
        <w:t>were generated using initial conditions equivalent to those used in [TAP]</w:t>
      </w:r>
      <w:r w:rsidR="006A2996">
        <w:rPr>
          <w:rFonts w:eastAsiaTheme="minorEastAsia" w:cs="Times New Roman"/>
        </w:rPr>
        <w:t xml:space="preserve"> (No=0.382 gN/L, Po=0.096 gPO</w:t>
      </w:r>
      <w:r w:rsidR="006A2996" w:rsidRPr="006A2996">
        <w:rPr>
          <w:rFonts w:eastAsiaTheme="minorEastAsia" w:cs="Times New Roman"/>
          <w:vertAlign w:val="subscript"/>
        </w:rPr>
        <w:t>4</w:t>
      </w:r>
      <w:r w:rsidR="006A2996">
        <w:rPr>
          <w:rFonts w:eastAsiaTheme="minorEastAsia" w:cs="Times New Roman"/>
        </w:rPr>
        <w:t>/L, and Ao=0.42 gC/L)</w:t>
      </w:r>
      <w:r w:rsidR="00B927A7">
        <w:rPr>
          <w:rFonts w:eastAsiaTheme="minorEastAsia" w:cs="Times New Roman"/>
        </w:rPr>
        <w:t xml:space="preserve">, with the exception of the minimum P quota, </w:t>
      </w:r>
      <m:oMath>
        <m:sSub>
          <m:sSubPr>
            <m:ctrlPr>
              <w:rPr>
                <w:rFonts w:ascii="Cambria Math" w:eastAsiaTheme="minorEastAsia" w:hAnsi="Cambria Math" w:cs="Times New Roman"/>
                <w:i/>
              </w:rPr>
            </m:ctrlPr>
          </m:sSubPr>
          <m:e>
            <m:r>
              <w:rPr>
                <w:rFonts w:ascii="Cambria Math" w:eastAsiaTheme="minorEastAsia" w:hAnsi="Cambria Math" w:cs="Times New Roman"/>
              </w:rPr>
              <m:t>q</m:t>
            </m:r>
          </m:e>
          <m:sub>
            <m:r>
              <w:rPr>
                <w:rFonts w:ascii="Cambria Math" w:eastAsiaTheme="minorEastAsia" w:hAnsi="Cambria Math" w:cs="Times New Roman"/>
              </w:rPr>
              <m:t>P,0</m:t>
            </m:r>
          </m:sub>
        </m:sSub>
      </m:oMath>
      <w:r w:rsidR="00090EE9">
        <w:rPr>
          <w:rFonts w:eastAsiaTheme="minorEastAsia" w:cs="Times New Roman"/>
        </w:rPr>
        <w:t>,</w:t>
      </w:r>
      <w:r w:rsidR="00FF7812">
        <w:rPr>
          <w:rFonts w:eastAsiaTheme="minorEastAsia" w:cs="Times New Roman"/>
        </w:rPr>
        <w:t xml:space="preserve"> </w:t>
      </w:r>
      <w:r w:rsidR="006A2996">
        <w:rPr>
          <w:rFonts w:eastAsiaTheme="minorEastAsia" w:cs="Times New Roman"/>
        </w:rPr>
        <w:t xml:space="preserve">where various phosphorous-limited initial conditions were used </w:t>
      </w:r>
      <w:r w:rsidR="008141E3">
        <w:rPr>
          <w:rFonts w:eastAsiaTheme="minorEastAsia" w:cs="Times New Roman"/>
        </w:rPr>
        <w:t>as</w:t>
      </w:r>
      <w:r w:rsidR="00090EE9">
        <w:rPr>
          <w:rFonts w:eastAsiaTheme="minorEastAsia" w:cs="Times New Roman"/>
        </w:rPr>
        <w:t xml:space="preserve"> the effect of this parameter</w:t>
      </w:r>
      <w:r w:rsidR="00FF7812">
        <w:rPr>
          <w:rFonts w:eastAsiaTheme="minorEastAsia" w:cs="Times New Roman"/>
        </w:rPr>
        <w:t xml:space="preserve"> </w:t>
      </w:r>
      <w:r w:rsidR="006A2996">
        <w:rPr>
          <w:rFonts w:eastAsiaTheme="minorEastAsia" w:cs="Times New Roman"/>
        </w:rPr>
        <w:t>only beca</w:t>
      </w:r>
      <w:r>
        <w:rPr>
          <w:rFonts w:eastAsiaTheme="minorEastAsia" w:cs="Times New Roman"/>
        </w:rPr>
        <w:t>m</w:t>
      </w:r>
      <w:r w:rsidR="008141E3">
        <w:rPr>
          <w:rFonts w:eastAsiaTheme="minorEastAsia" w:cs="Times New Roman"/>
        </w:rPr>
        <w:t>os</w:t>
      </w:r>
      <w:r w:rsidR="00090EE9">
        <w:rPr>
          <w:rFonts w:eastAsiaTheme="minorEastAsia" w:cs="Times New Roman"/>
        </w:rPr>
        <w:t xml:space="preserve"> significant </w:t>
      </w:r>
      <w:r>
        <w:rPr>
          <w:rFonts w:eastAsiaTheme="minorEastAsia" w:cs="Times New Roman"/>
        </w:rPr>
        <w:t>as</w:t>
      </w:r>
      <w:r w:rsidR="00090EE9">
        <w:rPr>
          <w:rFonts w:eastAsiaTheme="minorEastAsia" w:cs="Times New Roman"/>
        </w:rPr>
        <w:t xml:space="preserve"> </w:t>
      </w:r>
      <w:r w:rsidR="006A2996">
        <w:rPr>
          <w:rFonts w:eastAsiaTheme="minorEastAsia" w:cs="Times New Roman"/>
        </w:rPr>
        <w:t>in</w:t>
      </w:r>
      <w:r w:rsidR="00B927A7">
        <w:rPr>
          <w:rFonts w:eastAsiaTheme="minorEastAsia" w:cs="Times New Roman"/>
        </w:rPr>
        <w:t>itial P concentrations</w:t>
      </w:r>
      <w:r w:rsidR="00A47ECC">
        <w:rPr>
          <w:rFonts w:eastAsiaTheme="minorEastAsia" w:cs="Times New Roman"/>
        </w:rPr>
        <w:t xml:space="preserve"> </w:t>
      </w:r>
      <w:r w:rsidR="006A2996">
        <w:rPr>
          <w:rFonts w:eastAsiaTheme="minorEastAsia" w:cs="Times New Roman"/>
        </w:rPr>
        <w:t>decrease</w:t>
      </w:r>
      <w:r w:rsidR="00090EE9">
        <w:rPr>
          <w:rFonts w:eastAsiaTheme="minorEastAsia" w:cs="Times New Roman"/>
        </w:rPr>
        <w:t xml:space="preserve"> (</w:t>
      </w:r>
      <w:r w:rsidR="007745CF">
        <w:rPr>
          <w:rFonts w:eastAsiaTheme="minorEastAsia" w:cs="Times New Roman"/>
          <w:b/>
        </w:rPr>
        <w:t>Figure S</w:t>
      </w:r>
      <w:r w:rsidR="008141E3">
        <w:rPr>
          <w:rFonts w:eastAsiaTheme="minorEastAsia" w:cs="Times New Roman"/>
          <w:b/>
        </w:rPr>
        <w:t>2</w:t>
      </w:r>
      <w:r w:rsidR="00090EE9">
        <w:rPr>
          <w:rFonts w:eastAsiaTheme="minorEastAsia" w:cs="Times New Roman"/>
        </w:rPr>
        <w:t>)</w:t>
      </w:r>
      <w:r w:rsidR="00566D14">
        <w:rPr>
          <w:rFonts w:eastAsiaTheme="minorEastAsia" w:cs="Times New Roman"/>
        </w:rPr>
        <w:t xml:space="preserve">. </w:t>
      </w:r>
      <w:r w:rsidR="00370385">
        <w:rPr>
          <w:rFonts w:eastAsiaTheme="minorEastAsia" w:cs="Times New Roman"/>
        </w:rPr>
        <w:t>The results of the</w:t>
      </w:r>
      <w:r w:rsidR="006A2996">
        <w:rPr>
          <w:rFonts w:eastAsiaTheme="minorEastAsia" w:cs="Times New Roman"/>
        </w:rPr>
        <w:t xml:space="preserve"> </w:t>
      </w:r>
      <w:r w:rsidR="00370385">
        <w:rPr>
          <w:rFonts w:eastAsiaTheme="minorEastAsia" w:cs="Times New Roman"/>
        </w:rPr>
        <w:t xml:space="preserve">sensitivity analysis are presented in </w:t>
      </w:r>
      <w:r w:rsidR="007745CF">
        <w:rPr>
          <w:rFonts w:eastAsiaTheme="minorEastAsia" w:cs="Times New Roman"/>
          <w:b/>
        </w:rPr>
        <w:t>Figure S</w:t>
      </w:r>
      <w:r w:rsidR="008141E3">
        <w:rPr>
          <w:rFonts w:eastAsiaTheme="minorEastAsia" w:cs="Times New Roman"/>
          <w:b/>
        </w:rPr>
        <w:t>3</w:t>
      </w:r>
      <w:r w:rsidR="00370385">
        <w:rPr>
          <w:rFonts w:eastAsiaTheme="minorEastAsia" w:cs="Times New Roman"/>
        </w:rPr>
        <w:t>.</w:t>
      </w:r>
    </w:p>
    <w:p w:rsidR="00382442" w:rsidRDefault="00382442" w:rsidP="00382442">
      <w:pPr>
        <w:rPr>
          <w:b/>
        </w:rPr>
      </w:pPr>
    </w:p>
    <w:p w:rsidR="00D2607B" w:rsidRDefault="00BA126C" w:rsidP="00D2607B">
      <w:pPr>
        <w:jc w:val="center"/>
        <w:rPr>
          <w:b/>
        </w:rPr>
      </w:pPr>
      <w:r>
        <w:rPr>
          <w:b/>
          <w:noProof/>
          <w:lang w:eastAsia="en-GB"/>
        </w:rPr>
        <w:drawing>
          <wp:inline distT="0" distB="0" distL="0" distR="0" wp14:anchorId="51AAA159" wp14:editId="19FCB737">
            <wp:extent cx="5355772" cy="214591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A5.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66680" cy="2150290"/>
                    </a:xfrm>
                    <a:prstGeom prst="rect">
                      <a:avLst/>
                    </a:prstGeom>
                  </pic:spPr>
                </pic:pic>
              </a:graphicData>
            </a:graphic>
          </wp:inline>
        </w:drawing>
      </w:r>
    </w:p>
    <w:p w:rsidR="00D2607B" w:rsidRDefault="007745CF" w:rsidP="00D2607B">
      <w:pPr>
        <w:jc w:val="center"/>
        <w:rPr>
          <w:rFonts w:cs="Times New Roman"/>
          <w:b/>
        </w:rPr>
      </w:pPr>
      <w:r>
        <w:rPr>
          <w:rFonts w:cs="Times New Roman"/>
          <w:b/>
        </w:rPr>
        <w:t>Fig</w:t>
      </w:r>
      <w:r w:rsidR="00466A07">
        <w:rPr>
          <w:rFonts w:cs="Times New Roman"/>
          <w:b/>
        </w:rPr>
        <w:t>.</w:t>
      </w:r>
      <w:r>
        <w:rPr>
          <w:rFonts w:cs="Times New Roman"/>
          <w:b/>
        </w:rPr>
        <w:t xml:space="preserve"> S</w:t>
      </w:r>
      <w:r w:rsidR="008A7FC2">
        <w:rPr>
          <w:rFonts w:cs="Times New Roman"/>
          <w:b/>
        </w:rPr>
        <w:t>2</w:t>
      </w:r>
      <w:r w:rsidR="00D2607B">
        <w:rPr>
          <w:rFonts w:cs="Times New Roman"/>
          <w:b/>
        </w:rPr>
        <w:t xml:space="preserve"> </w:t>
      </w:r>
      <w:r w:rsidR="009628D7">
        <w:rPr>
          <w:rFonts w:cs="Times New Roman"/>
          <w:b/>
        </w:rPr>
        <w:t xml:space="preserve">Normalised sensitivity of the model state variables with respect to a 1 % increase in </w:t>
      </w:r>
      <m:oMath>
        <m:sSub>
          <m:sSubPr>
            <m:ctrlPr>
              <w:rPr>
                <w:rFonts w:ascii="Cambria Math" w:hAnsi="Cambria Math" w:cs="Times New Roman"/>
                <w:b/>
                <w:i/>
              </w:rPr>
            </m:ctrlPr>
          </m:sSubPr>
          <m:e>
            <m:r>
              <m:rPr>
                <m:sty m:val="bi"/>
              </m:rPr>
              <w:rPr>
                <w:rFonts w:ascii="Cambria Math" w:hAnsi="Cambria Math" w:cs="Times New Roman"/>
              </w:rPr>
              <m:t>q</m:t>
            </m:r>
          </m:e>
          <m:sub>
            <m:r>
              <m:rPr>
                <m:sty m:val="bi"/>
              </m:rPr>
              <w:rPr>
                <w:rFonts w:ascii="Cambria Math" w:hAnsi="Cambria Math" w:cs="Times New Roman"/>
              </w:rPr>
              <m:t>P,0</m:t>
            </m:r>
          </m:sub>
        </m:sSub>
      </m:oMath>
      <w:r w:rsidR="009628D7">
        <w:rPr>
          <w:rFonts w:cs="Times New Roman"/>
          <w:b/>
        </w:rPr>
        <w:t>,</w:t>
      </w:r>
      <w:r w:rsidR="009628D7" w:rsidRPr="00B854E5">
        <w:rPr>
          <w:rFonts w:cs="Times New Roman"/>
          <w:b/>
        </w:rPr>
        <w:t xml:space="preserve"> </w:t>
      </w:r>
      <w:r w:rsidR="009628D7">
        <w:rPr>
          <w:rFonts w:cs="Times New Roman"/>
          <w:b/>
        </w:rPr>
        <w:t>over a 200 h cultivation period subject to different initial phosphorous concentration</w:t>
      </w:r>
      <w:r w:rsidR="00227D3F">
        <w:rPr>
          <w:rFonts w:cs="Times New Roman"/>
          <w:b/>
        </w:rPr>
        <w:t>s</w:t>
      </w:r>
      <w:r w:rsidR="009628D7">
        <w:rPr>
          <w:rFonts w:cs="Times New Roman"/>
          <w:b/>
        </w:rPr>
        <w:t xml:space="preserve">. Parameter colour denotes: </w:t>
      </w:r>
      <w:r w:rsidR="009628D7" w:rsidRPr="007408D4">
        <w:rPr>
          <w:rFonts w:cs="Times New Roman"/>
          <w:b/>
          <w:color w:val="00B050"/>
        </w:rPr>
        <w:t>green</w:t>
      </w:r>
      <w:r w:rsidR="009628D7">
        <w:rPr>
          <w:rFonts w:cs="Times New Roman"/>
          <w:b/>
        </w:rPr>
        <w:t xml:space="preserve"> – associated to biomass growth.</w:t>
      </w:r>
    </w:p>
    <w:p w:rsidR="009628D7" w:rsidRDefault="009628D7" w:rsidP="00D2607B">
      <w:pPr>
        <w:jc w:val="center"/>
        <w:rPr>
          <w:rFonts w:cs="Times New Roman"/>
          <w:b/>
        </w:rPr>
      </w:pPr>
    </w:p>
    <w:p w:rsidR="009628D7" w:rsidRDefault="009628D7" w:rsidP="00D2607B">
      <w:pPr>
        <w:jc w:val="center"/>
        <w:rPr>
          <w:rFonts w:cs="Times New Roman"/>
          <w:b/>
        </w:rPr>
      </w:pPr>
    </w:p>
    <w:p w:rsidR="00382442" w:rsidRDefault="00B927A7" w:rsidP="00382442">
      <w:pPr>
        <w:jc w:val="both"/>
        <w:rPr>
          <w:b/>
        </w:rPr>
      </w:pPr>
      <w:r>
        <w:rPr>
          <w:b/>
          <w:noProof/>
          <w:lang w:eastAsia="en-GB"/>
        </w:rPr>
        <w:lastRenderedPageBreak/>
        <w:drawing>
          <wp:inline distT="0" distB="0" distL="0" distR="0" wp14:anchorId="0F0D7154" wp14:editId="11C16DC6">
            <wp:extent cx="5559754" cy="7196446"/>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A1.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62429" cy="7199908"/>
                    </a:xfrm>
                    <a:prstGeom prst="rect">
                      <a:avLst/>
                    </a:prstGeom>
                  </pic:spPr>
                </pic:pic>
              </a:graphicData>
            </a:graphic>
          </wp:inline>
        </w:drawing>
      </w:r>
    </w:p>
    <w:p w:rsidR="00CF4E6B" w:rsidRPr="00CF4E6B" w:rsidRDefault="00466A07" w:rsidP="00370385">
      <w:pPr>
        <w:jc w:val="center"/>
        <w:rPr>
          <w:rFonts w:cs="Times New Roman"/>
          <w:b/>
        </w:rPr>
      </w:pPr>
      <w:r>
        <w:rPr>
          <w:rFonts w:cs="Times New Roman"/>
          <w:b/>
        </w:rPr>
        <w:t>Fig.</w:t>
      </w:r>
      <w:r w:rsidR="007745CF">
        <w:rPr>
          <w:rFonts w:cs="Times New Roman"/>
          <w:b/>
        </w:rPr>
        <w:t xml:space="preserve"> S</w:t>
      </w:r>
      <w:r w:rsidR="008A7FC2">
        <w:rPr>
          <w:rFonts w:cs="Times New Roman"/>
          <w:b/>
        </w:rPr>
        <w:t>3</w:t>
      </w:r>
      <w:r w:rsidR="00382442">
        <w:rPr>
          <w:rFonts w:cs="Times New Roman"/>
          <w:b/>
        </w:rPr>
        <w:t xml:space="preserve"> </w:t>
      </w:r>
      <w:r w:rsidR="00D2607B">
        <w:rPr>
          <w:rFonts w:cs="Times New Roman"/>
          <w:b/>
        </w:rPr>
        <w:t>Normalised sensitivity of the model state variables with respect to a 1 % increase in each model parameter,</w:t>
      </w:r>
      <w:r w:rsidR="00D2607B" w:rsidRPr="00B854E5">
        <w:rPr>
          <w:rFonts w:cs="Times New Roman"/>
          <w:b/>
        </w:rPr>
        <w:t xml:space="preserve"> </w:t>
      </w:r>
      <w:r w:rsidR="00D2607B">
        <w:rPr>
          <w:rFonts w:cs="Times New Roman"/>
          <w:b/>
        </w:rPr>
        <w:t xml:space="preserve">over a 200 h cultivation period. Parameter colours denote: </w:t>
      </w:r>
      <w:r w:rsidR="00D2607B" w:rsidRPr="007408D4">
        <w:rPr>
          <w:rFonts w:cs="Times New Roman"/>
          <w:b/>
          <w:color w:val="00B050"/>
        </w:rPr>
        <w:t>green</w:t>
      </w:r>
      <w:r w:rsidR="00D2607B">
        <w:rPr>
          <w:rFonts w:cs="Times New Roman"/>
          <w:b/>
        </w:rPr>
        <w:t xml:space="preserve"> – associated to biomass growth, </w:t>
      </w:r>
      <w:r w:rsidR="00D2607B" w:rsidRPr="007408D4">
        <w:rPr>
          <w:rFonts w:cs="Times New Roman"/>
          <w:b/>
          <w:color w:val="7030A0"/>
        </w:rPr>
        <w:t>purple</w:t>
      </w:r>
      <w:r w:rsidR="00D2607B">
        <w:rPr>
          <w:rFonts w:cs="Times New Roman"/>
          <w:b/>
        </w:rPr>
        <w:t xml:space="preserve"> – associated to N uptake, </w:t>
      </w:r>
      <w:r w:rsidR="00D2607B" w:rsidRPr="00FB3DE2">
        <w:rPr>
          <w:rFonts w:cs="Times New Roman"/>
          <w:b/>
          <w:color w:val="E36C0A" w:themeColor="accent6" w:themeShade="BF"/>
        </w:rPr>
        <w:t>orange</w:t>
      </w:r>
      <w:r w:rsidR="00D2607B">
        <w:rPr>
          <w:rFonts w:cs="Times New Roman"/>
          <w:b/>
        </w:rPr>
        <w:t xml:space="preserve"> – associated to P uptake, and black – associated to starch and lipid formation.</w:t>
      </w:r>
      <w:r w:rsidR="00CF4E6B">
        <w:rPr>
          <w:rFonts w:cs="Times New Roman"/>
          <w:b/>
        </w:rPr>
        <w:t xml:space="preserve"> </w:t>
      </w:r>
      <w:r w:rsidR="00CF4E6B" w:rsidRPr="00CF4E6B">
        <w:rPr>
          <w:rFonts w:cs="Times New Roman"/>
          <w:b/>
        </w:rPr>
        <w:t xml:space="preserve">* The sensitivities for </w:t>
      </w:r>
      <m:oMath>
        <m:sSub>
          <m:sSubPr>
            <m:ctrlPr>
              <w:rPr>
                <w:rFonts w:ascii="Cambria Math" w:eastAsiaTheme="minorEastAsia" w:hAnsi="Cambria Math" w:cs="Times New Roman"/>
                <w:b/>
                <w:i/>
              </w:rPr>
            </m:ctrlPr>
          </m:sSubPr>
          <m:e>
            <m:r>
              <m:rPr>
                <m:sty m:val="bi"/>
              </m:rPr>
              <w:rPr>
                <w:rFonts w:ascii="Cambria Math" w:eastAsiaTheme="minorEastAsia" w:hAnsi="Cambria Math" w:cs="Times New Roman"/>
              </w:rPr>
              <m:t>q</m:t>
            </m:r>
          </m:e>
          <m:sub>
            <m:r>
              <m:rPr>
                <m:sty m:val="bi"/>
              </m:rPr>
              <w:rPr>
                <w:rFonts w:ascii="Cambria Math" w:eastAsiaTheme="minorEastAsia" w:hAnsi="Cambria Math" w:cs="Times New Roman"/>
              </w:rPr>
              <m:t>P,0</m:t>
            </m:r>
          </m:sub>
        </m:sSub>
      </m:oMath>
      <w:r w:rsidR="00CF4E6B" w:rsidRPr="00CF4E6B">
        <w:rPr>
          <w:rFonts w:eastAsiaTheme="minorEastAsia" w:cs="Times New Roman"/>
          <w:b/>
        </w:rPr>
        <w:t xml:space="preserve"> were obtained by setting </w:t>
      </w:r>
      <w:r w:rsidR="00CF4E6B" w:rsidRPr="00CF4E6B">
        <w:rPr>
          <w:rFonts w:eastAsiaTheme="minorEastAsia" w:cs="Times New Roman"/>
          <w:b/>
          <w:i/>
        </w:rPr>
        <w:t>P</w:t>
      </w:r>
      <w:r w:rsidR="00CF4E6B" w:rsidRPr="00CF4E6B">
        <w:rPr>
          <w:rFonts w:eastAsiaTheme="minorEastAsia" w:cs="Times New Roman"/>
          <w:b/>
          <w:i/>
          <w:vertAlign w:val="subscript"/>
        </w:rPr>
        <w:t>0</w:t>
      </w:r>
      <w:r w:rsidR="00CF4E6B" w:rsidRPr="00CF4E6B">
        <w:rPr>
          <w:rFonts w:eastAsiaTheme="minorEastAsia" w:cs="Times New Roman"/>
          <w:b/>
        </w:rPr>
        <w:t>=0.0096 gPO4 L</w:t>
      </w:r>
      <w:r w:rsidR="00CF4E6B" w:rsidRPr="00CF4E6B">
        <w:rPr>
          <w:rFonts w:eastAsiaTheme="minorEastAsia" w:cs="Times New Roman"/>
          <w:b/>
          <w:vertAlign w:val="superscript"/>
        </w:rPr>
        <w:t>-1</w:t>
      </w:r>
      <w:r w:rsidR="00CF4E6B" w:rsidRPr="00CF4E6B">
        <w:rPr>
          <w:rFonts w:eastAsiaTheme="minorEastAsia" w:cs="Times New Roman"/>
          <w:b/>
        </w:rPr>
        <w:t>.</w:t>
      </w:r>
    </w:p>
    <w:p w:rsidR="00382442" w:rsidRDefault="00FB3DE2" w:rsidP="00382442">
      <w:pPr>
        <w:rPr>
          <w:b/>
        </w:rPr>
      </w:pPr>
      <w:r>
        <w:rPr>
          <w:b/>
          <w:noProof/>
          <w:lang w:eastAsia="en-GB"/>
        </w:rPr>
        <w:lastRenderedPageBreak/>
        <w:drawing>
          <wp:inline distT="0" distB="0" distL="0" distR="0" wp14:anchorId="449CF8A1" wp14:editId="54FB1F10">
            <wp:extent cx="5651500" cy="73729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A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51500" cy="7372985"/>
                    </a:xfrm>
                    <a:prstGeom prst="rect">
                      <a:avLst/>
                    </a:prstGeom>
                  </pic:spPr>
                </pic:pic>
              </a:graphicData>
            </a:graphic>
          </wp:inline>
        </w:drawing>
      </w:r>
    </w:p>
    <w:p w:rsidR="00382442" w:rsidRDefault="00466A07" w:rsidP="00382442">
      <w:pPr>
        <w:jc w:val="center"/>
        <w:rPr>
          <w:rFonts w:cs="Times New Roman"/>
          <w:b/>
        </w:rPr>
      </w:pPr>
      <w:r>
        <w:rPr>
          <w:rFonts w:cs="Times New Roman"/>
          <w:b/>
        </w:rPr>
        <w:t>Fig.</w:t>
      </w:r>
      <w:r w:rsidR="00706FB8">
        <w:rPr>
          <w:rFonts w:cs="Times New Roman"/>
          <w:b/>
        </w:rPr>
        <w:t xml:space="preserve"> S</w:t>
      </w:r>
      <w:r w:rsidR="008A7FC2">
        <w:rPr>
          <w:rFonts w:cs="Times New Roman"/>
          <w:b/>
        </w:rPr>
        <w:t>3</w:t>
      </w:r>
      <w:r w:rsidR="00382442">
        <w:rPr>
          <w:rFonts w:cs="Times New Roman"/>
          <w:b/>
        </w:rPr>
        <w:t xml:space="preserve"> (cont.) </w:t>
      </w:r>
      <w:r w:rsidR="00FB3DE2">
        <w:rPr>
          <w:rFonts w:cs="Times New Roman"/>
          <w:b/>
        </w:rPr>
        <w:t>Normalised sensitivity of the model state variables with respect to a 1 % increase in each model parameter,</w:t>
      </w:r>
      <w:r w:rsidR="00FB3DE2" w:rsidRPr="00B854E5">
        <w:rPr>
          <w:rFonts w:cs="Times New Roman"/>
          <w:b/>
        </w:rPr>
        <w:t xml:space="preserve"> </w:t>
      </w:r>
      <w:r w:rsidR="00FB3DE2">
        <w:rPr>
          <w:rFonts w:cs="Times New Roman"/>
          <w:b/>
        </w:rPr>
        <w:t xml:space="preserve">over a 200 h cultivation period. Parameter colours denote: </w:t>
      </w:r>
      <w:r w:rsidR="00FB3DE2" w:rsidRPr="007408D4">
        <w:rPr>
          <w:rFonts w:cs="Times New Roman"/>
          <w:b/>
          <w:color w:val="00B050"/>
        </w:rPr>
        <w:t>green</w:t>
      </w:r>
      <w:r w:rsidR="00FB3DE2">
        <w:rPr>
          <w:rFonts w:cs="Times New Roman"/>
          <w:b/>
        </w:rPr>
        <w:t xml:space="preserve"> – associated to biomass growth, </w:t>
      </w:r>
      <w:r w:rsidR="00FB3DE2" w:rsidRPr="007408D4">
        <w:rPr>
          <w:rFonts w:cs="Times New Roman"/>
          <w:b/>
          <w:color w:val="7030A0"/>
        </w:rPr>
        <w:t>purple</w:t>
      </w:r>
      <w:r w:rsidR="00FB3DE2">
        <w:rPr>
          <w:rFonts w:cs="Times New Roman"/>
          <w:b/>
        </w:rPr>
        <w:t xml:space="preserve"> – associated to N uptake, </w:t>
      </w:r>
      <w:r w:rsidR="00FB3DE2" w:rsidRPr="00FB3DE2">
        <w:rPr>
          <w:rFonts w:cs="Times New Roman"/>
          <w:b/>
          <w:color w:val="E36C0A" w:themeColor="accent6" w:themeShade="BF"/>
        </w:rPr>
        <w:t>orange</w:t>
      </w:r>
      <w:r w:rsidR="00FB3DE2">
        <w:rPr>
          <w:rFonts w:cs="Times New Roman"/>
          <w:b/>
        </w:rPr>
        <w:t xml:space="preserve"> – associated to P uptake, and black – associated to starch and lipid formation.</w:t>
      </w:r>
    </w:p>
    <w:p w:rsidR="00382442" w:rsidRDefault="00FB3DE2" w:rsidP="00382442">
      <w:pPr>
        <w:jc w:val="center"/>
        <w:rPr>
          <w:b/>
        </w:rPr>
      </w:pPr>
      <w:r>
        <w:rPr>
          <w:b/>
          <w:noProof/>
          <w:lang w:eastAsia="en-GB"/>
        </w:rPr>
        <w:lastRenderedPageBreak/>
        <w:drawing>
          <wp:inline distT="0" distB="0" distL="0" distR="0" wp14:anchorId="40E39C34" wp14:editId="76EC463D">
            <wp:extent cx="5651500" cy="739584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A3.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51500" cy="7395845"/>
                    </a:xfrm>
                    <a:prstGeom prst="rect">
                      <a:avLst/>
                    </a:prstGeom>
                  </pic:spPr>
                </pic:pic>
              </a:graphicData>
            </a:graphic>
          </wp:inline>
        </w:drawing>
      </w:r>
    </w:p>
    <w:p w:rsidR="00382442" w:rsidRDefault="00466A07" w:rsidP="00382442">
      <w:pPr>
        <w:jc w:val="center"/>
        <w:rPr>
          <w:rFonts w:cs="Times New Roman"/>
          <w:b/>
        </w:rPr>
      </w:pPr>
      <w:r>
        <w:rPr>
          <w:rFonts w:cs="Times New Roman"/>
          <w:b/>
        </w:rPr>
        <w:t>Fig.</w:t>
      </w:r>
      <w:r w:rsidR="00706FB8">
        <w:rPr>
          <w:rFonts w:cs="Times New Roman"/>
          <w:b/>
        </w:rPr>
        <w:t xml:space="preserve"> S</w:t>
      </w:r>
      <w:r w:rsidR="008A7FC2">
        <w:rPr>
          <w:rFonts w:cs="Times New Roman"/>
          <w:b/>
        </w:rPr>
        <w:t>3</w:t>
      </w:r>
      <w:r w:rsidR="00382442">
        <w:rPr>
          <w:rFonts w:cs="Times New Roman"/>
          <w:b/>
        </w:rPr>
        <w:t xml:space="preserve"> (cont.) </w:t>
      </w:r>
      <w:r w:rsidR="00FB3DE2">
        <w:rPr>
          <w:rFonts w:cs="Times New Roman"/>
          <w:b/>
        </w:rPr>
        <w:t>Normalised sensitivity of the model state variables with respect to a 1 % increase in each model parameter,</w:t>
      </w:r>
      <w:r w:rsidR="00FB3DE2" w:rsidRPr="00B854E5">
        <w:rPr>
          <w:rFonts w:cs="Times New Roman"/>
          <w:b/>
        </w:rPr>
        <w:t xml:space="preserve"> </w:t>
      </w:r>
      <w:r w:rsidR="00FB3DE2">
        <w:rPr>
          <w:rFonts w:cs="Times New Roman"/>
          <w:b/>
        </w:rPr>
        <w:t xml:space="preserve">over a 200 h cultivation period. Parameter colours denote: </w:t>
      </w:r>
      <w:r w:rsidR="00FB3DE2" w:rsidRPr="007408D4">
        <w:rPr>
          <w:rFonts w:cs="Times New Roman"/>
          <w:b/>
          <w:color w:val="00B050"/>
        </w:rPr>
        <w:t>green</w:t>
      </w:r>
      <w:r w:rsidR="00FB3DE2">
        <w:rPr>
          <w:rFonts w:cs="Times New Roman"/>
          <w:b/>
        </w:rPr>
        <w:t xml:space="preserve"> – associated to biomass growth, </w:t>
      </w:r>
      <w:r w:rsidR="00FB3DE2" w:rsidRPr="007408D4">
        <w:rPr>
          <w:rFonts w:cs="Times New Roman"/>
          <w:b/>
          <w:color w:val="7030A0"/>
        </w:rPr>
        <w:t>purple</w:t>
      </w:r>
      <w:r w:rsidR="00FB3DE2">
        <w:rPr>
          <w:rFonts w:cs="Times New Roman"/>
          <w:b/>
        </w:rPr>
        <w:t xml:space="preserve"> – associated to N uptake, </w:t>
      </w:r>
      <w:r w:rsidR="00FB3DE2" w:rsidRPr="00FB3DE2">
        <w:rPr>
          <w:rFonts w:cs="Times New Roman"/>
          <w:b/>
          <w:color w:val="E36C0A" w:themeColor="accent6" w:themeShade="BF"/>
        </w:rPr>
        <w:t>orange</w:t>
      </w:r>
      <w:r w:rsidR="00FB3DE2">
        <w:rPr>
          <w:rFonts w:cs="Times New Roman"/>
          <w:b/>
        </w:rPr>
        <w:t xml:space="preserve"> – associated to P uptake, and black – associated to starch and lipid formation.</w:t>
      </w:r>
    </w:p>
    <w:p w:rsidR="00382442" w:rsidRDefault="00382442" w:rsidP="00706FB8">
      <w:pPr>
        <w:jc w:val="center"/>
        <w:rPr>
          <w:b/>
        </w:rPr>
      </w:pPr>
      <w:r>
        <w:rPr>
          <w:rFonts w:cs="Times New Roman"/>
          <w:b/>
        </w:rPr>
        <w:br w:type="page"/>
      </w:r>
      <w:r w:rsidR="00706FB8">
        <w:rPr>
          <w:b/>
          <w:noProof/>
          <w:lang w:eastAsia="en-GB"/>
        </w:rPr>
        <w:lastRenderedPageBreak/>
        <w:drawing>
          <wp:inline distT="0" distB="0" distL="0" distR="0" wp14:anchorId="614F79B6" wp14:editId="40FD1601">
            <wp:extent cx="2057400" cy="225957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A4.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66268" cy="2269310"/>
                    </a:xfrm>
                    <a:prstGeom prst="rect">
                      <a:avLst/>
                    </a:prstGeom>
                  </pic:spPr>
                </pic:pic>
              </a:graphicData>
            </a:graphic>
          </wp:inline>
        </w:drawing>
      </w:r>
    </w:p>
    <w:p w:rsidR="00706FB8" w:rsidRDefault="00466A07" w:rsidP="00706FB8">
      <w:pPr>
        <w:jc w:val="center"/>
        <w:rPr>
          <w:rFonts w:cs="Times New Roman"/>
          <w:b/>
        </w:rPr>
      </w:pPr>
      <w:r>
        <w:rPr>
          <w:rFonts w:cs="Times New Roman"/>
          <w:b/>
        </w:rPr>
        <w:t>Fig.</w:t>
      </w:r>
      <w:r w:rsidR="00706FB8">
        <w:rPr>
          <w:rFonts w:cs="Times New Roman"/>
          <w:b/>
        </w:rPr>
        <w:t xml:space="preserve"> S</w:t>
      </w:r>
      <w:r w:rsidR="008A7FC2">
        <w:rPr>
          <w:rFonts w:cs="Times New Roman"/>
          <w:b/>
        </w:rPr>
        <w:t>3</w:t>
      </w:r>
      <w:bookmarkStart w:id="1" w:name="_GoBack"/>
      <w:bookmarkEnd w:id="1"/>
      <w:r w:rsidR="00706FB8">
        <w:rPr>
          <w:rFonts w:cs="Times New Roman"/>
          <w:b/>
        </w:rPr>
        <w:t xml:space="preserve"> (cont.) Normalised sensitivity of the model state variables with respect to a 1 % increase in each model parameter,</w:t>
      </w:r>
      <w:r w:rsidR="00706FB8" w:rsidRPr="00B854E5">
        <w:rPr>
          <w:rFonts w:cs="Times New Roman"/>
          <w:b/>
        </w:rPr>
        <w:t xml:space="preserve"> </w:t>
      </w:r>
      <w:r w:rsidR="00706FB8">
        <w:rPr>
          <w:rFonts w:cs="Times New Roman"/>
          <w:b/>
        </w:rPr>
        <w:t>over a 200 h cultivation period. Parameter colour</w:t>
      </w:r>
      <w:r w:rsidR="0084180B">
        <w:rPr>
          <w:rFonts w:cs="Times New Roman"/>
          <w:b/>
        </w:rPr>
        <w:t>s</w:t>
      </w:r>
      <w:r w:rsidR="00706FB8">
        <w:rPr>
          <w:rFonts w:cs="Times New Roman"/>
          <w:b/>
        </w:rPr>
        <w:t xml:space="preserve"> denote: </w:t>
      </w:r>
      <w:r w:rsidR="00706FB8" w:rsidRPr="007408D4">
        <w:rPr>
          <w:rFonts w:cs="Times New Roman"/>
          <w:b/>
          <w:color w:val="00B050"/>
        </w:rPr>
        <w:t>green</w:t>
      </w:r>
      <w:r w:rsidR="00706FB8">
        <w:rPr>
          <w:rFonts w:cs="Times New Roman"/>
          <w:b/>
        </w:rPr>
        <w:t xml:space="preserve"> – associated to biomass growth, </w:t>
      </w:r>
      <w:r w:rsidR="00706FB8" w:rsidRPr="007408D4">
        <w:rPr>
          <w:rFonts w:cs="Times New Roman"/>
          <w:b/>
          <w:color w:val="7030A0"/>
        </w:rPr>
        <w:t>purple</w:t>
      </w:r>
      <w:r w:rsidR="00706FB8">
        <w:rPr>
          <w:rFonts w:cs="Times New Roman"/>
          <w:b/>
        </w:rPr>
        <w:t xml:space="preserve"> – associated to N uptake, </w:t>
      </w:r>
      <w:r w:rsidR="00706FB8" w:rsidRPr="00FB3DE2">
        <w:rPr>
          <w:rFonts w:cs="Times New Roman"/>
          <w:b/>
          <w:color w:val="E36C0A" w:themeColor="accent6" w:themeShade="BF"/>
        </w:rPr>
        <w:t>orange</w:t>
      </w:r>
      <w:r w:rsidR="00706FB8">
        <w:rPr>
          <w:rFonts w:cs="Times New Roman"/>
          <w:b/>
        </w:rPr>
        <w:t xml:space="preserve"> – associated to P uptake, and black – associated to starch and lipid formation.</w:t>
      </w:r>
    </w:p>
    <w:p w:rsidR="00382442" w:rsidRDefault="00382442" w:rsidP="008F341C">
      <w:pPr>
        <w:jc w:val="both"/>
        <w:rPr>
          <w:b/>
        </w:rPr>
      </w:pPr>
    </w:p>
    <w:p w:rsidR="00ED0C95" w:rsidRDefault="006A2996" w:rsidP="008F341C">
      <w:pPr>
        <w:jc w:val="both"/>
      </w:pPr>
      <w:r>
        <w:t xml:space="preserve">As per the sensitivity analysis, the specific growth rate, </w:t>
      </w:r>
      <w:r w:rsidRPr="006A2996">
        <w:rPr>
          <w:rFonts w:cs="Times New Roman"/>
          <w:i/>
        </w:rPr>
        <w:t>μ</w:t>
      </w:r>
      <w:r>
        <w:t>, is one of the most significant parameters of the model as a small change in this parameter affects state variables to a great extent</w:t>
      </w:r>
      <w:r w:rsidR="00227D3F">
        <w:t xml:space="preserve"> (up to -5 : +5). The significance of this parameter is expected as it portrays the growth of microalgal biomass subject to the effects of the nitrogen quota, phosphorous, and acetic acid. Although the remaining parameters associated to </w:t>
      </w:r>
      <w:r w:rsidR="007F45CE">
        <w:t>micro</w:t>
      </w:r>
      <w:r w:rsidR="00227D3F">
        <w:t>algal growth (</w:t>
      </w:r>
      <w:r w:rsidR="00ED0C95">
        <w:t xml:space="preserve">in </w:t>
      </w:r>
      <w:r w:rsidR="00227D3F">
        <w:t xml:space="preserve">green) have an effect on the other state variables, their effect is </w:t>
      </w:r>
      <w:r w:rsidR="00ED0C95">
        <w:t xml:space="preserve">predominantly </w:t>
      </w:r>
      <w:r w:rsidR="00227D3F">
        <w:t>greater on nitrogen consumption, which regulates the nitrogen quota and, in consequence, microalgal growth.</w:t>
      </w:r>
    </w:p>
    <w:p w:rsidR="00ED0C95" w:rsidRDefault="00ED0C95" w:rsidP="008F341C">
      <w:pPr>
        <w:jc w:val="both"/>
      </w:pPr>
      <w:r>
        <w:rPr>
          <w:rFonts w:eastAsiaTheme="minorEastAsia"/>
        </w:rPr>
        <w:t xml:space="preserve">The sensitivity analysis shown above allows to observe that the effects of the model parameters associated to biomass growth and N uptake are as significant to phosphorous as they are for nitrogen.  However, whilst nitrogen-associated parameters (in purple) have an effect on all model variables, the three phosphorus-associated parameters (i.e. </w:t>
      </w:r>
      <m:oMath>
        <m:sSub>
          <m:sSubPr>
            <m:ctrlPr>
              <w:rPr>
                <w:rFonts w:ascii="Cambria Math" w:eastAsiaTheme="minorEastAsia" w:hAnsi="Cambria Math"/>
                <w:i/>
              </w:rPr>
            </m:ctrlPr>
          </m:sSubPr>
          <m:e>
            <m:r>
              <w:rPr>
                <w:rFonts w:ascii="Cambria Math" w:eastAsiaTheme="minorEastAsia" w:hAnsi="Cambria Math"/>
              </w:rPr>
              <m:t>ρ</m:t>
            </m:r>
          </m:e>
          <m:sub>
            <m:r>
              <w:rPr>
                <w:rFonts w:ascii="Cambria Math" w:eastAsiaTheme="minorEastAsia" w:hAnsi="Cambria Math"/>
              </w:rPr>
              <m:t>P,max</m:t>
            </m:r>
          </m:sub>
        </m:sSub>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S,P</m:t>
            </m:r>
          </m:sub>
        </m:sSub>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i,P</m:t>
            </m:r>
          </m:sub>
        </m:sSub>
      </m:oMath>
      <w:r>
        <w:rPr>
          <w:rFonts w:eastAsiaTheme="minorEastAsia"/>
        </w:rPr>
        <w:t>) (in orange) only affect phosphorous since their computed sensitivities are considerably low for the remaining variables.</w:t>
      </w:r>
      <w:r>
        <w:t xml:space="preserve">With respect to the parameters associated to starch and lipid formation (in black), the computed sensitivity indicates that the effect of these parameters is only significant to starch, </w:t>
      </w:r>
      <w:r w:rsidRPr="00ED0C95">
        <w:rPr>
          <w:i/>
        </w:rPr>
        <w:t>S</w:t>
      </w:r>
      <w:r>
        <w:t xml:space="preserve">, or lipid, </w:t>
      </w:r>
      <w:r w:rsidRPr="00ED0C95">
        <w:rPr>
          <w:i/>
        </w:rPr>
        <w:t>L</w:t>
      </w:r>
      <w:r>
        <w:t xml:space="preserve">, accumulation, respectively. The effect of these parameters on the remaining variables is negligible (sensitivity=0) given that the equations governing </w:t>
      </w:r>
      <w:r w:rsidRPr="00ED0C95">
        <w:rPr>
          <w:i/>
        </w:rPr>
        <w:t>X</w:t>
      </w:r>
      <w:r>
        <w:t xml:space="preserve">, </w:t>
      </w:r>
      <w:r w:rsidRPr="00ED0C95">
        <w:rPr>
          <w:i/>
        </w:rPr>
        <w:t>N</w:t>
      </w:r>
      <w:r>
        <w:t xml:space="preserve">, </w:t>
      </w:r>
      <w:r w:rsidRPr="00ED0C95">
        <w:rPr>
          <w:i/>
        </w:rPr>
        <w:t>P</w:t>
      </w:r>
      <w:r>
        <w:t xml:space="preserve">, and </w:t>
      </w:r>
      <w:r w:rsidRPr="00ED0C95">
        <w:rPr>
          <w:i/>
        </w:rPr>
        <w:t>A</w:t>
      </w:r>
      <w:r>
        <w:t xml:space="preserve"> are completely independent of storage molecule accumulation.</w:t>
      </w:r>
    </w:p>
    <w:p w:rsidR="00F6208B" w:rsidRDefault="00ED0C95" w:rsidP="008F341C">
      <w:pPr>
        <w:jc w:val="both"/>
        <w:rPr>
          <w:rFonts w:eastAsiaTheme="minorEastAsia"/>
        </w:rPr>
      </w:pPr>
      <w:r>
        <w:t>As per the sensitivity analysis shown above, 4</w:t>
      </w:r>
      <w:r w:rsidR="008F341C">
        <w:t xml:space="preserve"> </w:t>
      </w:r>
      <w:r>
        <w:t xml:space="preserve">model </w:t>
      </w:r>
      <w:r w:rsidR="008F341C">
        <w:t xml:space="preserve">parameters </w:t>
      </w:r>
      <w:r>
        <w:t xml:space="preserve">were </w:t>
      </w:r>
      <w:r w:rsidR="008F341C">
        <w:t>deemed not sensitive</w:t>
      </w:r>
      <w:r w:rsidR="00533693">
        <w:t xml:space="preserve">: </w:t>
      </w:r>
      <m:oMath>
        <m:r>
          <w:rPr>
            <w:rFonts w:ascii="Cambria Math" w:hAnsi="Cambria Math"/>
          </w:rPr>
          <m:t>σ</m:t>
        </m:r>
      </m:oMath>
      <w:r w:rsidR="008F341C">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S,I</m:t>
            </m:r>
          </m:sub>
        </m:sSub>
      </m:oMath>
      <w:r w:rsidR="00E54331">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s,S</m:t>
            </m:r>
          </m:sub>
        </m:sSub>
      </m:oMath>
      <w:r w:rsidR="00E54331">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ϕ</m:t>
            </m:r>
          </m:e>
          <m:sub>
            <m:r>
              <w:rPr>
                <w:rFonts w:ascii="Cambria Math" w:eastAsiaTheme="minorEastAsia" w:hAnsi="Cambria Math"/>
              </w:rPr>
              <m:t>L</m:t>
            </m:r>
          </m:sub>
        </m:sSub>
      </m:oMath>
      <w:r w:rsidR="00E54331">
        <w:rPr>
          <w:rFonts w:eastAsiaTheme="minorEastAsia"/>
        </w:rPr>
        <w:t>.</w:t>
      </w:r>
      <w:r w:rsidR="00C90A0F">
        <w:rPr>
          <w:rFonts w:eastAsiaTheme="minorEastAsia"/>
        </w:rPr>
        <w:t xml:space="preserve"> The values of these parameters</w:t>
      </w:r>
      <w:r w:rsidR="0072472C">
        <w:rPr>
          <w:rFonts w:eastAsiaTheme="minorEastAsia"/>
        </w:rPr>
        <w:t xml:space="preserve"> were thus </w:t>
      </w:r>
      <w:r w:rsidR="00C90A0F">
        <w:rPr>
          <w:rFonts w:eastAsiaTheme="minorEastAsia"/>
        </w:rPr>
        <w:t xml:space="preserve">set to: </w:t>
      </w:r>
      <m:oMath>
        <m:r>
          <w:rPr>
            <w:rFonts w:ascii="Cambria Math" w:eastAsiaTheme="minorEastAsia" w:hAnsi="Cambria Math"/>
          </w:rPr>
          <m:t>σ=1</m:t>
        </m:r>
      </m:oMath>
      <w:r w:rsidR="00533693">
        <w:rPr>
          <w:rFonts w:eastAsiaTheme="minorEastAsia"/>
        </w:rPr>
        <w:t xml:space="preserve"> (nominal value)</w:t>
      </w:r>
      <w:r w:rsidR="00C90A0F">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S,I</m:t>
            </m:r>
          </m:sub>
        </m:sSub>
        <m:r>
          <w:rPr>
            <w:rFonts w:ascii="Cambria Math" w:eastAsiaTheme="minorEastAsia" w:hAnsi="Cambria Math"/>
          </w:rPr>
          <m:t>=1.4</m:t>
        </m:r>
      </m:oMath>
      <w:r w:rsidR="00533693">
        <w:rPr>
          <w:rFonts w:eastAsiaTheme="minorEastAsia"/>
        </w:rPr>
        <w:t xml:space="preserve"> </w:t>
      </w:r>
      <w:r w:rsidR="00533693">
        <w:rPr>
          <w:rFonts w:eastAsiaTheme="minorEastAsia"/>
        </w:rPr>
        <w:fldChar w:fldCharType="begin" w:fldLock="1"/>
      </w:r>
      <w:r w:rsidR="00533693">
        <w:rPr>
          <w:rFonts w:eastAsiaTheme="minorEastAsia"/>
        </w:rPr>
        <w:instrText>ADDIN CSL_CITATION {"citationItems":[{"id":"ITEM-1","itemData":{"DOI":"10.1016/j.biortech.2010.06.138","ISSN":"1873-2976","PMID":"20656476","abstract":"This article proposes a dynamical model of microalgal lipid production under nitrogen limitation. In this model, intracellular carbon is divided between a functional pool and two storage pools (sugars and neutral lipids). The various intracellular carbon flows between these pools lead to a complex dynamic with a strong discrepancy between synthesis and mobilization of neutral lipids. The model has been validated with experiments of Isochrysis aff. galbana (clone T-iso) culture under various nitrogen limitation conditions and under nitrogen starvation. The hysteresis behavior of the neutral lipid quota observed experimentally is accurately predicted.","author":[{"dropping-particle":"","family":"Mairet","given":"Francis","non-dropping-particle":"","parse-names":false,"suffix":""},{"dropping-particle":"","family":"Bernard","given":"Olivier","non-dropping-particle":"","parse-names":false,"suffix":""},{"dropping-particle":"","family":"Masci","given":"Pierre","non-dropping-particle":"","parse-names":false,"suffix":""},{"dropping-particle":"","family":"Lacour","given":"Thomas","non-dropping-particle":"","parse-names":false,"suffix":""},{"dropping-particle":"","family":"Sciandra","given":"Antoine","non-dropping-particle":"","parse-names":false,"suffix":""}],"container-title":"Bioresource technology","id":"ITEM-1","issue":"1","issued":{"date-parts":[["2011","1"]]},"page":"142-9","title":"Modelling neutral lipid production by the microalga Isochrysis aff. galbana under nitrogen limitation.","type":"article-journal","volume":"102"},"uris":["http://www.mendeley.com/documents/?uuid=2d31c794-4c4f-44fe-8ba8-9ed69719e1e4"]}],"mendeley":{"formattedCitation":"(Mairet et al., 2011)","plainTextFormattedCitation":"(Mairet et al., 2011)"},"properties":{"noteIndex":0},"schema":"https://github.com/citation-style-language/schema/raw/master/csl-citation.json"}</w:instrText>
      </w:r>
      <w:r w:rsidR="00533693">
        <w:rPr>
          <w:rFonts w:eastAsiaTheme="minorEastAsia"/>
        </w:rPr>
        <w:fldChar w:fldCharType="separate"/>
      </w:r>
      <w:r w:rsidR="00533693" w:rsidRPr="00533693">
        <w:rPr>
          <w:rFonts w:eastAsiaTheme="minorEastAsia"/>
          <w:noProof/>
        </w:rPr>
        <w:t>(Mairet et al., 2011)</w:t>
      </w:r>
      <w:r w:rsidR="00533693">
        <w:rPr>
          <w:rFonts w:eastAsiaTheme="minorEastAsia"/>
        </w:rPr>
        <w:fldChar w:fldCharType="end"/>
      </w:r>
      <w:r w:rsidR="00C90A0F">
        <w:rPr>
          <w:rFonts w:eastAsiaTheme="minorEastAsia"/>
        </w:rPr>
        <w:t xml:space="preserve">, </w:t>
      </w:r>
      <w:r w:rsidR="002D5F1F">
        <w:rPr>
          <w:rFonts w:eastAsiaTheme="minorEastAsia"/>
        </w:rPr>
        <w:t xml:space="preserve">and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s,S</m:t>
            </m:r>
          </m:sub>
        </m:sSub>
        <m:r>
          <w:rPr>
            <w:rFonts w:ascii="Cambria Math" w:eastAsiaTheme="minorEastAsia" w:hAnsi="Cambria Math"/>
          </w:rPr>
          <m:t>=0</m:t>
        </m:r>
      </m:oMath>
      <w:r w:rsidR="00533693">
        <w:rPr>
          <w:rFonts w:eastAsiaTheme="minorEastAsia"/>
        </w:rPr>
        <w:t xml:space="preserve"> (negligible effect)</w:t>
      </w:r>
      <w:r w:rsidR="00C90A0F">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ϕ</m:t>
            </m:r>
          </m:e>
          <m:sub>
            <m:r>
              <w:rPr>
                <w:rFonts w:ascii="Cambria Math" w:eastAsiaTheme="minorEastAsia" w:hAnsi="Cambria Math"/>
              </w:rPr>
              <m:t>L</m:t>
            </m:r>
          </m:sub>
        </m:sSub>
        <m:r>
          <w:rPr>
            <w:rFonts w:ascii="Cambria Math" w:eastAsiaTheme="minorEastAsia" w:hAnsi="Cambria Math"/>
          </w:rPr>
          <m:t>=0</m:t>
        </m:r>
      </m:oMath>
      <w:r w:rsidR="00533693">
        <w:rPr>
          <w:rFonts w:eastAsiaTheme="minorEastAsia"/>
        </w:rPr>
        <w:t xml:space="preserve"> (negligible effect)</w:t>
      </w:r>
      <w:r w:rsidR="00C90A0F">
        <w:rPr>
          <w:rFonts w:eastAsiaTheme="minorEastAsia"/>
        </w:rPr>
        <w:t>.</w:t>
      </w:r>
      <w:r w:rsidR="002D5F1F">
        <w:rPr>
          <w:rFonts w:eastAsiaTheme="minorEastAsia"/>
        </w:rPr>
        <w:t xml:space="preserve"> </w:t>
      </w:r>
    </w:p>
    <w:p w:rsidR="00803E04" w:rsidRPr="00A8181E" w:rsidRDefault="00A8181E" w:rsidP="00A8181E">
      <w:pPr>
        <w:tabs>
          <w:tab w:val="left" w:pos="3090"/>
        </w:tabs>
      </w:pPr>
      <w:r>
        <w:tab/>
      </w:r>
    </w:p>
    <w:sectPr w:rsidR="00803E04" w:rsidRPr="00A8181E" w:rsidSect="007745CF">
      <w:footerReference w:type="even" r:id="rId14"/>
      <w:footerReference w:type="default" r:id="rId15"/>
      <w:footerReference w:type="first" r:id="rId1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0CE4" w:rsidRDefault="00F40CE4" w:rsidP="00A8181E">
      <w:pPr>
        <w:spacing w:after="0" w:line="240" w:lineRule="auto"/>
      </w:pPr>
      <w:r>
        <w:separator/>
      </w:r>
    </w:p>
  </w:endnote>
  <w:endnote w:type="continuationSeparator" w:id="0">
    <w:p w:rsidR="00F40CE4" w:rsidRDefault="00F40CE4" w:rsidP="00A81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874478"/>
      <w:docPartObj>
        <w:docPartGallery w:val="Page Numbers (Bottom of Page)"/>
        <w:docPartUnique/>
      </w:docPartObj>
    </w:sdtPr>
    <w:sdtEndPr>
      <w:rPr>
        <w:noProof/>
      </w:rPr>
    </w:sdtEndPr>
    <w:sdtContent>
      <w:p w:rsidR="006157B5" w:rsidRDefault="006157B5" w:rsidP="00D63CD3">
        <w:pPr>
          <w:pStyle w:val="Footer"/>
        </w:pPr>
        <w:r>
          <w:fldChar w:fldCharType="begin"/>
        </w:r>
        <w:r>
          <w:instrText xml:space="preserve"> PAGE   \* MERGEFORMAT </w:instrText>
        </w:r>
        <w:r>
          <w:fldChar w:fldCharType="separate"/>
        </w:r>
        <w:r w:rsidR="00466A07">
          <w:rPr>
            <w:noProof/>
          </w:rPr>
          <w:t>8</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7681988"/>
      <w:docPartObj>
        <w:docPartGallery w:val="Page Numbers (Bottom of Page)"/>
        <w:docPartUnique/>
      </w:docPartObj>
    </w:sdtPr>
    <w:sdtEndPr>
      <w:rPr>
        <w:noProof/>
      </w:rPr>
    </w:sdtEndPr>
    <w:sdtContent>
      <w:p w:rsidR="006157B5" w:rsidRDefault="006157B5" w:rsidP="00D63CD3">
        <w:pPr>
          <w:pStyle w:val="Footer"/>
          <w:jc w:val="right"/>
        </w:pPr>
        <w:r>
          <w:fldChar w:fldCharType="begin"/>
        </w:r>
        <w:r>
          <w:instrText xml:space="preserve"> PAGE   \* MERGEFORMAT </w:instrText>
        </w:r>
        <w:r>
          <w:fldChar w:fldCharType="separate"/>
        </w:r>
        <w:r w:rsidR="00466A07">
          <w:rPr>
            <w:noProof/>
          </w:rPr>
          <w:t>7</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46932961"/>
      <w:docPartObj>
        <w:docPartGallery w:val="Page Numbers (Bottom of Page)"/>
        <w:docPartUnique/>
      </w:docPartObj>
    </w:sdtPr>
    <w:sdtEndPr>
      <w:rPr>
        <w:noProof/>
      </w:rPr>
    </w:sdtEndPr>
    <w:sdtContent>
      <w:p w:rsidR="006157B5" w:rsidRDefault="006157B5" w:rsidP="0070478D">
        <w:pPr>
          <w:pStyle w:val="Footer"/>
          <w:jc w:val="right"/>
        </w:pPr>
        <w:r>
          <w:fldChar w:fldCharType="begin"/>
        </w:r>
        <w:r>
          <w:instrText xml:space="preserve"> PAGE   \* MERGEFORMAT </w:instrText>
        </w:r>
        <w:r>
          <w:fldChar w:fldCharType="separate"/>
        </w:r>
        <w:r w:rsidR="00466A07">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0CE4" w:rsidRDefault="00F40CE4" w:rsidP="00A8181E">
      <w:pPr>
        <w:spacing w:after="0" w:line="240" w:lineRule="auto"/>
      </w:pPr>
      <w:r>
        <w:separator/>
      </w:r>
    </w:p>
  </w:footnote>
  <w:footnote w:type="continuationSeparator" w:id="0">
    <w:p w:rsidR="00F40CE4" w:rsidRDefault="00F40CE4" w:rsidP="00A818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C3131"/>
    <w:multiLevelType w:val="hybridMultilevel"/>
    <w:tmpl w:val="817252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C225687"/>
    <w:multiLevelType w:val="hybridMultilevel"/>
    <w:tmpl w:val="38D6FBDC"/>
    <w:lvl w:ilvl="0" w:tplc="EDE03F64">
      <w:numFmt w:val="bullet"/>
      <w:lvlText w:val=""/>
      <w:lvlJc w:val="left"/>
      <w:pPr>
        <w:ind w:left="420" w:hanging="360"/>
      </w:pPr>
      <w:rPr>
        <w:rFonts w:ascii="Symbol" w:eastAsiaTheme="minorHAnsi" w:hAnsi="Symbol"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2" w15:restartNumberingAfterBreak="0">
    <w:nsid w:val="2CB73152"/>
    <w:multiLevelType w:val="hybridMultilevel"/>
    <w:tmpl w:val="048CC1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activeWritingStyle w:appName="MSWord" w:lang="es-MX" w:vendorID="64" w:dllVersion="6" w:nlCheck="1" w:checkStyle="0"/>
  <w:activeWritingStyle w:appName="MSWord" w:lang="en-GB" w:vendorID="64" w:dllVersion="6" w:nlCheck="1" w:checkStyle="1"/>
  <w:activeWritingStyle w:appName="MSWord" w:lang="en-GB" w:vendorID="64" w:dllVersion="4096" w:nlCheck="1" w:checkStyle="0"/>
  <w:activeWritingStyle w:appName="MSWord" w:lang="en-GB" w:vendorID="64" w:dllVersion="131078" w:nlCheck="1" w:checkStyle="1"/>
  <w:activeWritingStyle w:appName="MSWord" w:lang="es-MX" w:vendorID="64" w:dllVersion="131078" w:nlCheck="1" w:checkStyle="0"/>
  <w:defaultTabStop w:val="720"/>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941"/>
    <w:rsid w:val="0000209C"/>
    <w:rsid w:val="00027360"/>
    <w:rsid w:val="000462A1"/>
    <w:rsid w:val="000526B2"/>
    <w:rsid w:val="00056B9B"/>
    <w:rsid w:val="00074953"/>
    <w:rsid w:val="000755EA"/>
    <w:rsid w:val="00082268"/>
    <w:rsid w:val="00082B3F"/>
    <w:rsid w:val="0009021E"/>
    <w:rsid w:val="00090EE9"/>
    <w:rsid w:val="000A76E0"/>
    <w:rsid w:val="000D7372"/>
    <w:rsid w:val="000E35E9"/>
    <w:rsid w:val="000E5F99"/>
    <w:rsid w:val="001218DB"/>
    <w:rsid w:val="001220CD"/>
    <w:rsid w:val="00122207"/>
    <w:rsid w:val="00141EE1"/>
    <w:rsid w:val="00155278"/>
    <w:rsid w:val="00177ED7"/>
    <w:rsid w:val="00182172"/>
    <w:rsid w:val="001A0324"/>
    <w:rsid w:val="001A7479"/>
    <w:rsid w:val="001B0ABE"/>
    <w:rsid w:val="001B765F"/>
    <w:rsid w:val="001C3AD9"/>
    <w:rsid w:val="001D559B"/>
    <w:rsid w:val="001D7F71"/>
    <w:rsid w:val="001F24D4"/>
    <w:rsid w:val="0021461A"/>
    <w:rsid w:val="002166AB"/>
    <w:rsid w:val="00220A73"/>
    <w:rsid w:val="00222A69"/>
    <w:rsid w:val="00226867"/>
    <w:rsid w:val="00227D3F"/>
    <w:rsid w:val="00243D6C"/>
    <w:rsid w:val="002706A4"/>
    <w:rsid w:val="00271755"/>
    <w:rsid w:val="00284506"/>
    <w:rsid w:val="00290A18"/>
    <w:rsid w:val="002C39DF"/>
    <w:rsid w:val="002D43FB"/>
    <w:rsid w:val="002D5F1F"/>
    <w:rsid w:val="002D7879"/>
    <w:rsid w:val="002E1D55"/>
    <w:rsid w:val="002E4D5F"/>
    <w:rsid w:val="002F6E3C"/>
    <w:rsid w:val="0030625A"/>
    <w:rsid w:val="00330145"/>
    <w:rsid w:val="00343098"/>
    <w:rsid w:val="003467D8"/>
    <w:rsid w:val="00351929"/>
    <w:rsid w:val="003537C0"/>
    <w:rsid w:val="00355E8D"/>
    <w:rsid w:val="00364BFF"/>
    <w:rsid w:val="00370385"/>
    <w:rsid w:val="00371242"/>
    <w:rsid w:val="0037756B"/>
    <w:rsid w:val="00382442"/>
    <w:rsid w:val="00386638"/>
    <w:rsid w:val="00390A36"/>
    <w:rsid w:val="003929EB"/>
    <w:rsid w:val="003C47AC"/>
    <w:rsid w:val="003E0ED9"/>
    <w:rsid w:val="003F2676"/>
    <w:rsid w:val="00414F21"/>
    <w:rsid w:val="00437F90"/>
    <w:rsid w:val="00452769"/>
    <w:rsid w:val="00466A07"/>
    <w:rsid w:val="00467208"/>
    <w:rsid w:val="00477CE9"/>
    <w:rsid w:val="004A4EA1"/>
    <w:rsid w:val="004B46C1"/>
    <w:rsid w:val="00512673"/>
    <w:rsid w:val="00520939"/>
    <w:rsid w:val="00523324"/>
    <w:rsid w:val="0052651D"/>
    <w:rsid w:val="00533693"/>
    <w:rsid w:val="00554556"/>
    <w:rsid w:val="00556AE3"/>
    <w:rsid w:val="00562B1C"/>
    <w:rsid w:val="005636C9"/>
    <w:rsid w:val="00566D14"/>
    <w:rsid w:val="005E5A8B"/>
    <w:rsid w:val="005E79B8"/>
    <w:rsid w:val="005F1DD9"/>
    <w:rsid w:val="00614AEF"/>
    <w:rsid w:val="006157B5"/>
    <w:rsid w:val="00626560"/>
    <w:rsid w:val="006660E7"/>
    <w:rsid w:val="00670AFF"/>
    <w:rsid w:val="00684872"/>
    <w:rsid w:val="00690496"/>
    <w:rsid w:val="006A2996"/>
    <w:rsid w:val="006B3717"/>
    <w:rsid w:val="006C0D71"/>
    <w:rsid w:val="006C64AA"/>
    <w:rsid w:val="006D138F"/>
    <w:rsid w:val="006D4B20"/>
    <w:rsid w:val="006E34A0"/>
    <w:rsid w:val="006E5941"/>
    <w:rsid w:val="006F6F9B"/>
    <w:rsid w:val="0070478D"/>
    <w:rsid w:val="00706FB8"/>
    <w:rsid w:val="0071498C"/>
    <w:rsid w:val="0072472C"/>
    <w:rsid w:val="00744C1E"/>
    <w:rsid w:val="007454B3"/>
    <w:rsid w:val="00763628"/>
    <w:rsid w:val="0076547B"/>
    <w:rsid w:val="007676F3"/>
    <w:rsid w:val="007716E9"/>
    <w:rsid w:val="007745CF"/>
    <w:rsid w:val="00791929"/>
    <w:rsid w:val="007A3E92"/>
    <w:rsid w:val="007B64EE"/>
    <w:rsid w:val="007D2379"/>
    <w:rsid w:val="007D7984"/>
    <w:rsid w:val="007E76F3"/>
    <w:rsid w:val="007F45CE"/>
    <w:rsid w:val="007F5C8E"/>
    <w:rsid w:val="00803E04"/>
    <w:rsid w:val="00811635"/>
    <w:rsid w:val="008141E3"/>
    <w:rsid w:val="0084180B"/>
    <w:rsid w:val="00842EFC"/>
    <w:rsid w:val="00855D2C"/>
    <w:rsid w:val="0086095F"/>
    <w:rsid w:val="00872F21"/>
    <w:rsid w:val="008759F7"/>
    <w:rsid w:val="00877331"/>
    <w:rsid w:val="00881460"/>
    <w:rsid w:val="008A7FC2"/>
    <w:rsid w:val="008E22D7"/>
    <w:rsid w:val="008E52AD"/>
    <w:rsid w:val="008F341C"/>
    <w:rsid w:val="008F7704"/>
    <w:rsid w:val="00900809"/>
    <w:rsid w:val="009220BB"/>
    <w:rsid w:val="0092324D"/>
    <w:rsid w:val="00931C7E"/>
    <w:rsid w:val="0095475E"/>
    <w:rsid w:val="009628D7"/>
    <w:rsid w:val="00965394"/>
    <w:rsid w:val="009818F5"/>
    <w:rsid w:val="00981F60"/>
    <w:rsid w:val="00990070"/>
    <w:rsid w:val="00A0026D"/>
    <w:rsid w:val="00A10E15"/>
    <w:rsid w:val="00A423CF"/>
    <w:rsid w:val="00A47ECC"/>
    <w:rsid w:val="00A620A6"/>
    <w:rsid w:val="00A8181E"/>
    <w:rsid w:val="00A84BDB"/>
    <w:rsid w:val="00A948A6"/>
    <w:rsid w:val="00AA258D"/>
    <w:rsid w:val="00AB2857"/>
    <w:rsid w:val="00AF288B"/>
    <w:rsid w:val="00AF2EF2"/>
    <w:rsid w:val="00B217C3"/>
    <w:rsid w:val="00B33873"/>
    <w:rsid w:val="00B4744D"/>
    <w:rsid w:val="00B52751"/>
    <w:rsid w:val="00B64305"/>
    <w:rsid w:val="00B703B1"/>
    <w:rsid w:val="00B838BF"/>
    <w:rsid w:val="00B927A7"/>
    <w:rsid w:val="00B92BFD"/>
    <w:rsid w:val="00B95C5E"/>
    <w:rsid w:val="00B96AF4"/>
    <w:rsid w:val="00B9789E"/>
    <w:rsid w:val="00BA126C"/>
    <w:rsid w:val="00BA1E44"/>
    <w:rsid w:val="00BA669E"/>
    <w:rsid w:val="00BA70B4"/>
    <w:rsid w:val="00BB2CE7"/>
    <w:rsid w:val="00BC5843"/>
    <w:rsid w:val="00BD43B2"/>
    <w:rsid w:val="00BE5A48"/>
    <w:rsid w:val="00C0657F"/>
    <w:rsid w:val="00C106E8"/>
    <w:rsid w:val="00C26741"/>
    <w:rsid w:val="00C31B8E"/>
    <w:rsid w:val="00C5091F"/>
    <w:rsid w:val="00C775AD"/>
    <w:rsid w:val="00C80B35"/>
    <w:rsid w:val="00C90A0F"/>
    <w:rsid w:val="00C91071"/>
    <w:rsid w:val="00CA0E61"/>
    <w:rsid w:val="00CA3E08"/>
    <w:rsid w:val="00CB4775"/>
    <w:rsid w:val="00CC0968"/>
    <w:rsid w:val="00CC2984"/>
    <w:rsid w:val="00CF4E6B"/>
    <w:rsid w:val="00D06063"/>
    <w:rsid w:val="00D06ADA"/>
    <w:rsid w:val="00D2607B"/>
    <w:rsid w:val="00D301B9"/>
    <w:rsid w:val="00D40F3B"/>
    <w:rsid w:val="00D477E3"/>
    <w:rsid w:val="00D50D74"/>
    <w:rsid w:val="00D552E6"/>
    <w:rsid w:val="00D621BD"/>
    <w:rsid w:val="00D63CD3"/>
    <w:rsid w:val="00DC2C76"/>
    <w:rsid w:val="00DC5245"/>
    <w:rsid w:val="00DD5C9D"/>
    <w:rsid w:val="00E02FF7"/>
    <w:rsid w:val="00E54331"/>
    <w:rsid w:val="00E57919"/>
    <w:rsid w:val="00E6216C"/>
    <w:rsid w:val="00E7274F"/>
    <w:rsid w:val="00E81045"/>
    <w:rsid w:val="00EB3462"/>
    <w:rsid w:val="00EB4279"/>
    <w:rsid w:val="00ED0C95"/>
    <w:rsid w:val="00ED3A74"/>
    <w:rsid w:val="00ED77D9"/>
    <w:rsid w:val="00EE607A"/>
    <w:rsid w:val="00EF5D7B"/>
    <w:rsid w:val="00EF723E"/>
    <w:rsid w:val="00F2512C"/>
    <w:rsid w:val="00F315EC"/>
    <w:rsid w:val="00F40CE4"/>
    <w:rsid w:val="00F44CCF"/>
    <w:rsid w:val="00F53BF6"/>
    <w:rsid w:val="00F6208B"/>
    <w:rsid w:val="00F62615"/>
    <w:rsid w:val="00F75FCE"/>
    <w:rsid w:val="00F8323D"/>
    <w:rsid w:val="00FA3B5C"/>
    <w:rsid w:val="00FA7D66"/>
    <w:rsid w:val="00FB3734"/>
    <w:rsid w:val="00FB3A7A"/>
    <w:rsid w:val="00FB3DE2"/>
    <w:rsid w:val="00FC2B03"/>
    <w:rsid w:val="00FC7A7A"/>
    <w:rsid w:val="00FD7A9B"/>
    <w:rsid w:val="00FE6110"/>
    <w:rsid w:val="00FF1CF5"/>
    <w:rsid w:val="00FF78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BC6B54"/>
  <w15:docId w15:val="{33062B49-E575-46A4-B8A3-A654038D5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5941"/>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5941"/>
    <w:pPr>
      <w:ind w:left="720"/>
      <w:contextualSpacing/>
    </w:pPr>
  </w:style>
  <w:style w:type="paragraph" w:styleId="BalloonText">
    <w:name w:val="Balloon Text"/>
    <w:basedOn w:val="Normal"/>
    <w:link w:val="BalloonTextChar"/>
    <w:uiPriority w:val="99"/>
    <w:semiHidden/>
    <w:unhideWhenUsed/>
    <w:rsid w:val="00F315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15EC"/>
    <w:rPr>
      <w:rFonts w:ascii="Tahoma" w:hAnsi="Tahoma" w:cs="Tahoma"/>
      <w:sz w:val="16"/>
      <w:szCs w:val="16"/>
    </w:rPr>
  </w:style>
  <w:style w:type="paragraph" w:styleId="NormalWeb">
    <w:name w:val="Normal (Web)"/>
    <w:basedOn w:val="Normal"/>
    <w:uiPriority w:val="99"/>
    <w:semiHidden/>
    <w:unhideWhenUsed/>
    <w:rsid w:val="00BB2CE7"/>
    <w:pPr>
      <w:spacing w:before="100" w:beforeAutospacing="1" w:after="100" w:afterAutospacing="1" w:line="240" w:lineRule="auto"/>
    </w:pPr>
    <w:rPr>
      <w:rFonts w:eastAsiaTheme="minorEastAsia" w:cs="Times New Roman"/>
      <w:szCs w:val="24"/>
      <w:lang w:eastAsia="en-GB"/>
    </w:rPr>
  </w:style>
  <w:style w:type="table" w:styleId="TableGrid">
    <w:name w:val="Table Grid"/>
    <w:basedOn w:val="TableNormal"/>
    <w:uiPriority w:val="59"/>
    <w:rsid w:val="009232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B4279"/>
    <w:rPr>
      <w:color w:val="0000FF" w:themeColor="hyperlink"/>
      <w:u w:val="single"/>
    </w:rPr>
  </w:style>
  <w:style w:type="paragraph" w:styleId="Header">
    <w:name w:val="header"/>
    <w:basedOn w:val="Normal"/>
    <w:link w:val="HeaderChar"/>
    <w:uiPriority w:val="99"/>
    <w:unhideWhenUsed/>
    <w:rsid w:val="00A818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181E"/>
    <w:rPr>
      <w:rFonts w:ascii="Times New Roman" w:hAnsi="Times New Roman"/>
      <w:sz w:val="24"/>
    </w:rPr>
  </w:style>
  <w:style w:type="paragraph" w:styleId="Footer">
    <w:name w:val="footer"/>
    <w:basedOn w:val="Normal"/>
    <w:link w:val="FooterChar"/>
    <w:uiPriority w:val="99"/>
    <w:unhideWhenUsed/>
    <w:rsid w:val="00A818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181E"/>
    <w:rPr>
      <w:rFonts w:ascii="Times New Roman" w:hAnsi="Times New Roman"/>
      <w:sz w:val="24"/>
    </w:rPr>
  </w:style>
  <w:style w:type="character" w:styleId="PlaceholderText">
    <w:name w:val="Placeholder Text"/>
    <w:basedOn w:val="DefaultParagraphFont"/>
    <w:uiPriority w:val="99"/>
    <w:semiHidden/>
    <w:rsid w:val="00881460"/>
    <w:rPr>
      <w:color w:val="808080"/>
    </w:rPr>
  </w:style>
  <w:style w:type="paragraph" w:styleId="Caption">
    <w:name w:val="caption"/>
    <w:basedOn w:val="Normal"/>
    <w:next w:val="Normal"/>
    <w:autoRedefine/>
    <w:uiPriority w:val="35"/>
    <w:unhideWhenUsed/>
    <w:qFormat/>
    <w:rsid w:val="00520939"/>
    <w:pPr>
      <w:keepNext/>
      <w:spacing w:line="240" w:lineRule="auto"/>
      <w:jc w:val="center"/>
    </w:pPr>
    <w:rPr>
      <w:rFonts w:eastAsiaTheme="minorEastAsia" w:cs="Times New Roman"/>
      <w:b/>
      <w:bCs/>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5316">
      <w:bodyDiv w:val="1"/>
      <w:marLeft w:val="0"/>
      <w:marRight w:val="0"/>
      <w:marTop w:val="0"/>
      <w:marBottom w:val="0"/>
      <w:divBdr>
        <w:top w:val="none" w:sz="0" w:space="0" w:color="auto"/>
        <w:left w:val="none" w:sz="0" w:space="0" w:color="auto"/>
        <w:bottom w:val="none" w:sz="0" w:space="0" w:color="auto"/>
        <w:right w:val="none" w:sz="0" w:space="0" w:color="auto"/>
      </w:divBdr>
    </w:div>
    <w:div w:id="7292019">
      <w:bodyDiv w:val="1"/>
      <w:marLeft w:val="0"/>
      <w:marRight w:val="0"/>
      <w:marTop w:val="0"/>
      <w:marBottom w:val="0"/>
      <w:divBdr>
        <w:top w:val="none" w:sz="0" w:space="0" w:color="auto"/>
        <w:left w:val="none" w:sz="0" w:space="0" w:color="auto"/>
        <w:bottom w:val="none" w:sz="0" w:space="0" w:color="auto"/>
        <w:right w:val="none" w:sz="0" w:space="0" w:color="auto"/>
      </w:divBdr>
    </w:div>
    <w:div w:id="370107456">
      <w:bodyDiv w:val="1"/>
      <w:marLeft w:val="0"/>
      <w:marRight w:val="0"/>
      <w:marTop w:val="0"/>
      <w:marBottom w:val="0"/>
      <w:divBdr>
        <w:top w:val="none" w:sz="0" w:space="0" w:color="auto"/>
        <w:left w:val="none" w:sz="0" w:space="0" w:color="auto"/>
        <w:bottom w:val="none" w:sz="0" w:space="0" w:color="auto"/>
        <w:right w:val="none" w:sz="0" w:space="0" w:color="auto"/>
      </w:divBdr>
    </w:div>
    <w:div w:id="433593838">
      <w:bodyDiv w:val="1"/>
      <w:marLeft w:val="0"/>
      <w:marRight w:val="0"/>
      <w:marTop w:val="0"/>
      <w:marBottom w:val="0"/>
      <w:divBdr>
        <w:top w:val="none" w:sz="0" w:space="0" w:color="auto"/>
        <w:left w:val="none" w:sz="0" w:space="0" w:color="auto"/>
        <w:bottom w:val="none" w:sz="0" w:space="0" w:color="auto"/>
        <w:right w:val="none" w:sz="0" w:space="0" w:color="auto"/>
      </w:divBdr>
    </w:div>
    <w:div w:id="554855141">
      <w:bodyDiv w:val="1"/>
      <w:marLeft w:val="0"/>
      <w:marRight w:val="0"/>
      <w:marTop w:val="0"/>
      <w:marBottom w:val="0"/>
      <w:divBdr>
        <w:top w:val="none" w:sz="0" w:space="0" w:color="auto"/>
        <w:left w:val="none" w:sz="0" w:space="0" w:color="auto"/>
        <w:bottom w:val="none" w:sz="0" w:space="0" w:color="auto"/>
        <w:right w:val="none" w:sz="0" w:space="0" w:color="auto"/>
      </w:divBdr>
    </w:div>
    <w:div w:id="899947307">
      <w:bodyDiv w:val="1"/>
      <w:marLeft w:val="0"/>
      <w:marRight w:val="0"/>
      <w:marTop w:val="0"/>
      <w:marBottom w:val="0"/>
      <w:divBdr>
        <w:top w:val="none" w:sz="0" w:space="0" w:color="auto"/>
        <w:left w:val="none" w:sz="0" w:space="0" w:color="auto"/>
        <w:bottom w:val="none" w:sz="0" w:space="0" w:color="auto"/>
        <w:right w:val="none" w:sz="0" w:space="0" w:color="auto"/>
      </w:divBdr>
    </w:div>
    <w:div w:id="915241277">
      <w:bodyDiv w:val="1"/>
      <w:marLeft w:val="0"/>
      <w:marRight w:val="0"/>
      <w:marTop w:val="0"/>
      <w:marBottom w:val="0"/>
      <w:divBdr>
        <w:top w:val="none" w:sz="0" w:space="0" w:color="auto"/>
        <w:left w:val="none" w:sz="0" w:space="0" w:color="auto"/>
        <w:bottom w:val="none" w:sz="0" w:space="0" w:color="auto"/>
        <w:right w:val="none" w:sz="0" w:space="0" w:color="auto"/>
      </w:divBdr>
    </w:div>
    <w:div w:id="1165634768">
      <w:bodyDiv w:val="1"/>
      <w:marLeft w:val="0"/>
      <w:marRight w:val="0"/>
      <w:marTop w:val="0"/>
      <w:marBottom w:val="0"/>
      <w:divBdr>
        <w:top w:val="none" w:sz="0" w:space="0" w:color="auto"/>
        <w:left w:val="none" w:sz="0" w:space="0" w:color="auto"/>
        <w:bottom w:val="none" w:sz="0" w:space="0" w:color="auto"/>
        <w:right w:val="none" w:sz="0" w:space="0" w:color="auto"/>
      </w:divBdr>
    </w:div>
    <w:div w:id="1434588282">
      <w:bodyDiv w:val="1"/>
      <w:marLeft w:val="0"/>
      <w:marRight w:val="0"/>
      <w:marTop w:val="0"/>
      <w:marBottom w:val="0"/>
      <w:divBdr>
        <w:top w:val="none" w:sz="0" w:space="0" w:color="auto"/>
        <w:left w:val="none" w:sz="0" w:space="0" w:color="auto"/>
        <w:bottom w:val="none" w:sz="0" w:space="0" w:color="auto"/>
        <w:right w:val="none" w:sz="0" w:space="0" w:color="auto"/>
      </w:divBdr>
    </w:div>
    <w:div w:id="1512405454">
      <w:bodyDiv w:val="1"/>
      <w:marLeft w:val="0"/>
      <w:marRight w:val="0"/>
      <w:marTop w:val="0"/>
      <w:marBottom w:val="0"/>
      <w:divBdr>
        <w:top w:val="none" w:sz="0" w:space="0" w:color="auto"/>
        <w:left w:val="none" w:sz="0" w:space="0" w:color="auto"/>
        <w:bottom w:val="none" w:sz="0" w:space="0" w:color="auto"/>
        <w:right w:val="none" w:sz="0" w:space="0" w:color="auto"/>
      </w:divBdr>
    </w:div>
    <w:div w:id="1524855484">
      <w:bodyDiv w:val="1"/>
      <w:marLeft w:val="0"/>
      <w:marRight w:val="0"/>
      <w:marTop w:val="0"/>
      <w:marBottom w:val="0"/>
      <w:divBdr>
        <w:top w:val="none" w:sz="0" w:space="0" w:color="auto"/>
        <w:left w:val="none" w:sz="0" w:space="0" w:color="auto"/>
        <w:bottom w:val="none" w:sz="0" w:space="0" w:color="auto"/>
        <w:right w:val="none" w:sz="0" w:space="0" w:color="auto"/>
      </w:divBdr>
    </w:div>
    <w:div w:id="1599210702">
      <w:bodyDiv w:val="1"/>
      <w:marLeft w:val="0"/>
      <w:marRight w:val="0"/>
      <w:marTop w:val="0"/>
      <w:marBottom w:val="0"/>
      <w:divBdr>
        <w:top w:val="none" w:sz="0" w:space="0" w:color="auto"/>
        <w:left w:val="none" w:sz="0" w:space="0" w:color="auto"/>
        <w:bottom w:val="none" w:sz="0" w:space="0" w:color="auto"/>
        <w:right w:val="none" w:sz="0" w:space="0" w:color="auto"/>
      </w:divBdr>
    </w:div>
    <w:div w:id="1662268698">
      <w:bodyDiv w:val="1"/>
      <w:marLeft w:val="0"/>
      <w:marRight w:val="0"/>
      <w:marTop w:val="0"/>
      <w:marBottom w:val="0"/>
      <w:divBdr>
        <w:top w:val="none" w:sz="0" w:space="0" w:color="auto"/>
        <w:left w:val="none" w:sz="0" w:space="0" w:color="auto"/>
        <w:bottom w:val="none" w:sz="0" w:space="0" w:color="auto"/>
        <w:right w:val="none" w:sz="0" w:space="0" w:color="auto"/>
      </w:divBdr>
    </w:div>
    <w:div w:id="2023587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052DCF-EFE3-4B91-B684-28328A65A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8</Pages>
  <Words>1422</Words>
  <Characters>8111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9514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Mauricio Figueroa Torres</dc:creator>
  <cp:lastModifiedBy>Gonzalo Figueroa Torres</cp:lastModifiedBy>
  <cp:revision>99</cp:revision>
  <cp:lastPrinted>2018-09-21T18:22:00Z</cp:lastPrinted>
  <dcterms:created xsi:type="dcterms:W3CDTF">2018-09-01T17:37:00Z</dcterms:created>
  <dcterms:modified xsi:type="dcterms:W3CDTF">2020-08-13T15:29:00Z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http://www.zotero.org/styles/biochemical-engineering-journal</vt:lpwstr>
  </property>
  <property fmtid="{D5CDD505-2E9C-101B-9397-08002B2CF9AE}" pid="5" name="Mendeley Recent Style Name 1_1">
    <vt:lpwstr>Biochemical Engineering Journal</vt:lpwstr>
  </property>
  <property fmtid="{D5CDD505-2E9C-101B-9397-08002B2CF9AE}" pid="6" name="Mendeley Recent Style Id 2_1">
    <vt:lpwstr>http://www.zotero.org/styles/biotechnology-and-bioengineering</vt:lpwstr>
  </property>
  <property fmtid="{D5CDD505-2E9C-101B-9397-08002B2CF9AE}" pid="7" name="Mendeley Recent Style Name 2_1">
    <vt:lpwstr>Biotechnology and Bioengineering</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http://csl.mendeley.com/styles/195212301/StrainCatalogue</vt:lpwstr>
  </property>
  <property fmtid="{D5CDD505-2E9C-101B-9397-08002B2CF9AE}" pid="11" name="Mendeley Recent Style Name 4_1">
    <vt:lpwstr>Elsevier (numeric, with titles) - Gonzalo Figueroa</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adc52823-8832-30b8-b53e-389fb23359d7</vt:lpwstr>
  </property>
  <property fmtid="{D5CDD505-2E9C-101B-9397-08002B2CF9AE}" pid="24" name="Mendeley Citation Style_1">
    <vt:lpwstr>http://www.zotero.org/styles/biotechnology-and-bioengineering</vt:lpwstr>
  </property>
</Properties>
</file>