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516B5" w14:textId="77777777" w:rsidR="00AD27A3" w:rsidRPr="00E401A5" w:rsidRDefault="00AD27A3" w:rsidP="00AD27A3">
      <w:pPr>
        <w:spacing w:line="480" w:lineRule="auto"/>
        <w:jc w:val="center"/>
        <w:rPr>
          <w:rFonts w:ascii="Calibri" w:hAnsi="Calibri" w:cs="Calibri"/>
          <w:b/>
          <w:bCs/>
          <w:lang w:val="en-GB"/>
        </w:rPr>
      </w:pPr>
      <w:r w:rsidRPr="00E401A5">
        <w:rPr>
          <w:rFonts w:ascii="Calibri" w:hAnsi="Calibri" w:cs="Calibri"/>
          <w:b/>
          <w:bCs/>
          <w:lang w:val="en-GB"/>
        </w:rPr>
        <w:t>Intrathecal mesenchymal stem cell therapy in progressive multiple sclerosis: cross-compartment immune profiling in the SMART-MS randomized trial</w:t>
      </w:r>
    </w:p>
    <w:p w14:paraId="5A44FABD" w14:textId="77777777" w:rsidR="00AD27A3" w:rsidRPr="00E401A5" w:rsidRDefault="00AD27A3" w:rsidP="00AD27A3">
      <w:pPr>
        <w:spacing w:line="480" w:lineRule="auto"/>
        <w:jc w:val="both"/>
        <w:rPr>
          <w:rFonts w:ascii="Calibri" w:hAnsi="Calibri" w:cs="Calibri"/>
          <w:vertAlign w:val="superscript"/>
          <w:lang w:val="en-GB"/>
        </w:rPr>
      </w:pPr>
      <w:r w:rsidRPr="00E401A5">
        <w:rPr>
          <w:rFonts w:ascii="Calibri" w:hAnsi="Calibri" w:cs="Calibri"/>
          <w:lang w:val="en-GB"/>
        </w:rPr>
        <w:t>Dimitrios Kleftogiannis*</w:t>
      </w:r>
      <w:r>
        <w:rPr>
          <w:rFonts w:ascii="Calibri" w:hAnsi="Calibri" w:cs="Calibri"/>
          <w:lang w:val="en-GB"/>
        </w:rPr>
        <w:t>,</w:t>
      </w:r>
      <w:r w:rsidRPr="00E401A5">
        <w:rPr>
          <w:rFonts w:ascii="Calibri" w:hAnsi="Calibri" w:cs="Calibri"/>
          <w:lang w:val="en-GB"/>
        </w:rPr>
        <w:t xml:space="preserve"> (PhD)</w:t>
      </w:r>
      <w:r w:rsidRPr="00E401A5">
        <w:rPr>
          <w:rFonts w:ascii="Calibri" w:hAnsi="Calibri" w:cs="Calibri"/>
          <w:vertAlign w:val="superscript"/>
          <w:lang w:val="en-GB"/>
        </w:rPr>
        <w:t>7</w:t>
      </w:r>
      <w:r w:rsidRPr="00E401A5">
        <w:rPr>
          <w:rFonts w:ascii="Calibri" w:hAnsi="Calibri" w:cs="Calibri"/>
          <w:lang w:val="en-GB"/>
        </w:rPr>
        <w:t>, Sonia Gavasso* (PhD)</w:t>
      </w:r>
      <w:r w:rsidRPr="00E401A5">
        <w:rPr>
          <w:rFonts w:ascii="Calibri" w:hAnsi="Calibri" w:cs="Calibri"/>
          <w:vertAlign w:val="superscript"/>
          <w:lang w:val="en-GB"/>
        </w:rPr>
        <w:t xml:space="preserve"> 1</w:t>
      </w:r>
      <w:r w:rsidRPr="00E401A5">
        <w:rPr>
          <w:rFonts w:ascii="Calibri" w:hAnsi="Calibri" w:cs="Calibri"/>
          <w:lang w:val="en-GB"/>
        </w:rPr>
        <w:t>, Live Egeland Eidem (MSc)</w:t>
      </w:r>
      <w:r w:rsidRPr="00E401A5">
        <w:rPr>
          <w:rFonts w:ascii="Calibri" w:hAnsi="Calibri" w:cs="Calibri"/>
          <w:vertAlign w:val="superscript"/>
          <w:lang w:val="en-GB"/>
        </w:rPr>
        <w:t>12</w:t>
      </w:r>
      <w:r w:rsidRPr="00E401A5">
        <w:rPr>
          <w:rFonts w:ascii="Calibri" w:hAnsi="Calibri" w:cs="Calibri"/>
          <w:lang w:val="en-GB"/>
        </w:rPr>
        <w:t xml:space="preserve">, Jonas Bull </w:t>
      </w:r>
      <w:proofErr w:type="spellStart"/>
      <w:r w:rsidRPr="00E401A5">
        <w:rPr>
          <w:rFonts w:ascii="Calibri" w:hAnsi="Calibri" w:cs="Calibri"/>
          <w:lang w:val="en-GB"/>
        </w:rPr>
        <w:t>Haugsøen</w:t>
      </w:r>
      <w:proofErr w:type="spellEnd"/>
      <w:r w:rsidRPr="00E401A5">
        <w:rPr>
          <w:rFonts w:ascii="Calibri" w:hAnsi="Calibri" w:cs="Calibri"/>
          <w:lang w:val="en-GB"/>
        </w:rPr>
        <w:t xml:space="preserve"> (MD)</w:t>
      </w:r>
      <w:r w:rsidRPr="00E401A5">
        <w:rPr>
          <w:rFonts w:ascii="Calibri" w:hAnsi="Calibri" w:cs="Calibri"/>
          <w:vertAlign w:val="superscript"/>
          <w:lang w:val="en-GB"/>
        </w:rPr>
        <w:t>1</w:t>
      </w:r>
      <w:r w:rsidRPr="00E401A5">
        <w:rPr>
          <w:rFonts w:ascii="Calibri" w:hAnsi="Calibri" w:cs="Calibri"/>
          <w:lang w:val="en-GB"/>
        </w:rPr>
        <w:t>, Trygve Holmøy (MD, PhD)</w:t>
      </w:r>
      <w:r w:rsidRPr="00E401A5">
        <w:rPr>
          <w:rFonts w:ascii="Calibri" w:hAnsi="Calibri" w:cs="Calibri"/>
          <w:vertAlign w:val="superscript"/>
          <w:lang w:val="en-GB"/>
        </w:rPr>
        <w:t>2,8</w:t>
      </w:r>
      <w:r w:rsidRPr="00E401A5">
        <w:rPr>
          <w:rFonts w:ascii="Calibri" w:hAnsi="Calibri" w:cs="Calibri"/>
          <w:lang w:val="en-GB"/>
        </w:rPr>
        <w:t>, Linn Steffensen (MD, PhD)</w:t>
      </w:r>
      <w:r w:rsidRPr="00E401A5">
        <w:rPr>
          <w:rFonts w:ascii="Calibri" w:hAnsi="Calibri" w:cs="Calibri"/>
          <w:vertAlign w:val="superscript"/>
          <w:lang w:val="en-GB"/>
        </w:rPr>
        <w:t>3,13</w:t>
      </w:r>
      <w:r w:rsidRPr="00E401A5">
        <w:rPr>
          <w:rFonts w:ascii="Calibri" w:hAnsi="Calibri" w:cs="Calibri"/>
          <w:lang w:val="en-GB"/>
        </w:rPr>
        <w:t xml:space="preserve">, Kristin </w:t>
      </w:r>
      <w:proofErr w:type="spellStart"/>
      <w:r w:rsidRPr="00E401A5">
        <w:rPr>
          <w:rFonts w:ascii="Calibri" w:hAnsi="Calibri" w:cs="Calibri"/>
          <w:lang w:val="en-GB"/>
        </w:rPr>
        <w:t>Wesnes</w:t>
      </w:r>
      <w:proofErr w:type="spellEnd"/>
      <w:r w:rsidRPr="00E401A5">
        <w:rPr>
          <w:rFonts w:ascii="Calibri" w:hAnsi="Calibri" w:cs="Calibri"/>
          <w:lang w:val="en-GB"/>
        </w:rPr>
        <w:t xml:space="preserve"> (MD, PhD)</w:t>
      </w:r>
      <w:r w:rsidRPr="00E401A5">
        <w:rPr>
          <w:rFonts w:ascii="Calibri" w:hAnsi="Calibri" w:cs="Calibri"/>
          <w:vertAlign w:val="superscript"/>
          <w:lang w:val="en-GB"/>
        </w:rPr>
        <w:t>4</w:t>
      </w:r>
      <w:r w:rsidRPr="00E401A5">
        <w:rPr>
          <w:rFonts w:ascii="Calibri" w:hAnsi="Calibri" w:cs="Calibri"/>
          <w:lang w:val="en-GB"/>
        </w:rPr>
        <w:t>, Markus Rojewski (PhD)</w:t>
      </w:r>
      <w:r w:rsidRPr="00E401A5">
        <w:rPr>
          <w:rFonts w:ascii="Calibri" w:hAnsi="Calibri" w:cs="Calibri"/>
          <w:vertAlign w:val="superscript"/>
          <w:lang w:val="en-GB"/>
        </w:rPr>
        <w:t>5</w:t>
      </w:r>
      <w:r w:rsidRPr="00E401A5">
        <w:rPr>
          <w:rFonts w:ascii="Calibri" w:hAnsi="Calibri" w:cs="Calibri"/>
          <w:lang w:val="en-GB"/>
        </w:rPr>
        <w:t>, Harald Barsnes (PhD)</w:t>
      </w:r>
      <w:r w:rsidRPr="00E401A5">
        <w:rPr>
          <w:rFonts w:ascii="Calibri" w:hAnsi="Calibri" w:cs="Calibri"/>
          <w:vertAlign w:val="superscript"/>
          <w:lang w:val="en-GB"/>
        </w:rPr>
        <w:t>9,10</w:t>
      </w:r>
      <w:r w:rsidRPr="00E401A5">
        <w:rPr>
          <w:rFonts w:ascii="Calibri" w:hAnsi="Calibri" w:cs="Calibri"/>
          <w:lang w:val="en-GB"/>
        </w:rPr>
        <w:t>, Niyaz Al-Sharabi (PhD)</w:t>
      </w:r>
      <w:r w:rsidRPr="00E401A5">
        <w:rPr>
          <w:rFonts w:ascii="Calibri" w:hAnsi="Calibri" w:cs="Calibri"/>
          <w:vertAlign w:val="superscript"/>
          <w:lang w:val="en-GB"/>
        </w:rPr>
        <w:t>6</w:t>
      </w:r>
      <w:r w:rsidRPr="00E401A5">
        <w:rPr>
          <w:rFonts w:ascii="Calibri" w:hAnsi="Calibri" w:cs="Calibri"/>
          <w:lang w:val="en-GB"/>
        </w:rPr>
        <w:t>, Samih Mohamed-Ahmed (PhD)</w:t>
      </w:r>
      <w:r w:rsidRPr="00E401A5">
        <w:rPr>
          <w:rFonts w:ascii="Calibri" w:hAnsi="Calibri" w:cs="Calibri"/>
          <w:vertAlign w:val="superscript"/>
          <w:lang w:val="en-GB"/>
        </w:rPr>
        <w:t>6</w:t>
      </w:r>
      <w:r w:rsidRPr="00E401A5">
        <w:rPr>
          <w:rFonts w:ascii="Calibri" w:hAnsi="Calibri" w:cs="Calibri"/>
          <w:lang w:val="en-GB"/>
        </w:rPr>
        <w:t>, Marie Ytterdal (MSc)</w:t>
      </w:r>
      <w:r w:rsidRPr="00E401A5">
        <w:rPr>
          <w:rFonts w:ascii="Calibri" w:hAnsi="Calibri" w:cs="Calibri"/>
          <w:vertAlign w:val="superscript"/>
          <w:lang w:val="en-GB"/>
        </w:rPr>
        <w:t>1</w:t>
      </w:r>
      <w:r w:rsidRPr="00E401A5">
        <w:rPr>
          <w:rFonts w:ascii="Calibri" w:hAnsi="Calibri" w:cs="Calibri"/>
          <w:lang w:val="en-GB"/>
        </w:rPr>
        <w:t>, Casper Eugen Sandvik (MSc)</w:t>
      </w:r>
      <w:r w:rsidRPr="00E401A5">
        <w:rPr>
          <w:rFonts w:ascii="Calibri" w:hAnsi="Calibri" w:cs="Calibri"/>
          <w:vertAlign w:val="superscript"/>
          <w:lang w:val="en-GB"/>
        </w:rPr>
        <w:t>1</w:t>
      </w:r>
      <w:r w:rsidRPr="00E401A5">
        <w:rPr>
          <w:rFonts w:ascii="Calibri" w:hAnsi="Calibri" w:cs="Calibri"/>
          <w:lang w:val="en-GB"/>
        </w:rPr>
        <w:t>, Øivind Torkildsen (MD, PhD)</w:t>
      </w:r>
      <w:r w:rsidRPr="00E401A5">
        <w:rPr>
          <w:rFonts w:ascii="Calibri" w:hAnsi="Calibri" w:cs="Calibri"/>
          <w:vertAlign w:val="superscript"/>
          <w:lang w:val="en-GB"/>
        </w:rPr>
        <w:t>1,7</w:t>
      </w:r>
      <w:r w:rsidRPr="00E401A5">
        <w:rPr>
          <w:rFonts w:ascii="Calibri" w:hAnsi="Calibri" w:cs="Calibri"/>
          <w:lang w:val="en-GB"/>
        </w:rPr>
        <w:t>, Hubert Schrezenmeier (MD, PhD)</w:t>
      </w:r>
      <w:r w:rsidRPr="00E401A5">
        <w:rPr>
          <w:rFonts w:ascii="Calibri" w:hAnsi="Calibri" w:cs="Calibri"/>
          <w:vertAlign w:val="superscript"/>
          <w:lang w:val="en-GB"/>
        </w:rPr>
        <w:t>5</w:t>
      </w:r>
      <w:r w:rsidRPr="00E401A5">
        <w:rPr>
          <w:rFonts w:ascii="Calibri" w:hAnsi="Calibri" w:cs="Calibri"/>
          <w:lang w:val="en-GB"/>
        </w:rPr>
        <w:t>, Kamal Mustafa (PhD)</w:t>
      </w:r>
      <w:r w:rsidRPr="00E401A5">
        <w:rPr>
          <w:rFonts w:ascii="Calibri" w:hAnsi="Calibri" w:cs="Calibri"/>
          <w:vertAlign w:val="superscript"/>
          <w:lang w:val="en-GB"/>
        </w:rPr>
        <w:t>6</w:t>
      </w:r>
      <w:r w:rsidRPr="00E401A5">
        <w:rPr>
          <w:rFonts w:ascii="Calibri" w:hAnsi="Calibri" w:cs="Calibri"/>
          <w:lang w:val="en-GB"/>
        </w:rPr>
        <w:t xml:space="preserve">, Frode </w:t>
      </w:r>
      <w:proofErr w:type="spellStart"/>
      <w:r w:rsidRPr="00E401A5">
        <w:rPr>
          <w:rFonts w:ascii="Calibri" w:hAnsi="Calibri" w:cs="Calibri"/>
          <w:lang w:val="en-GB"/>
        </w:rPr>
        <w:t>Steingrimsen</w:t>
      </w:r>
      <w:proofErr w:type="spellEnd"/>
      <w:r w:rsidRPr="00E401A5">
        <w:rPr>
          <w:rFonts w:ascii="Calibri" w:hAnsi="Calibri" w:cs="Calibri"/>
          <w:lang w:val="en-GB"/>
        </w:rPr>
        <w:t xml:space="preserve"> Berven (PhD)</w:t>
      </w:r>
      <w:r w:rsidRPr="00E401A5">
        <w:rPr>
          <w:rFonts w:ascii="Calibri" w:hAnsi="Calibri" w:cs="Calibri"/>
          <w:vertAlign w:val="superscript"/>
          <w:lang w:val="en-GB"/>
        </w:rPr>
        <w:t>9</w:t>
      </w:r>
      <w:r w:rsidRPr="00E401A5">
        <w:rPr>
          <w:rFonts w:ascii="Calibri" w:hAnsi="Calibri" w:cs="Calibri"/>
          <w:lang w:val="en-GB"/>
        </w:rPr>
        <w:t xml:space="preserve">, Lars </w:t>
      </w:r>
      <w:proofErr w:type="spellStart"/>
      <w:r w:rsidRPr="00E401A5">
        <w:rPr>
          <w:rFonts w:ascii="Calibri" w:hAnsi="Calibri" w:cs="Calibri"/>
          <w:lang w:val="en-GB"/>
        </w:rPr>
        <w:t>Bø</w:t>
      </w:r>
      <w:proofErr w:type="spellEnd"/>
      <w:r w:rsidRPr="00E401A5">
        <w:rPr>
          <w:rFonts w:ascii="Calibri" w:hAnsi="Calibri" w:cs="Calibri"/>
          <w:lang w:val="en-GB"/>
        </w:rPr>
        <w:t xml:space="preserve"> (MD, PhD)</w:t>
      </w:r>
      <w:r w:rsidRPr="00E401A5">
        <w:rPr>
          <w:rFonts w:ascii="Calibri" w:hAnsi="Calibri" w:cs="Calibri"/>
          <w:vertAlign w:val="superscript"/>
          <w:lang w:val="en-GB"/>
        </w:rPr>
        <w:t>1,7</w:t>
      </w:r>
      <w:r w:rsidRPr="00E401A5">
        <w:rPr>
          <w:rFonts w:ascii="Calibri" w:hAnsi="Calibri" w:cs="Calibri"/>
          <w:lang w:val="en-GB"/>
        </w:rPr>
        <w:t>, Torbjørn Kråkenes** (PhD),</w:t>
      </w:r>
      <w:r w:rsidRPr="00E401A5">
        <w:rPr>
          <w:rFonts w:ascii="Calibri" w:hAnsi="Calibri" w:cs="Calibri"/>
          <w:vertAlign w:val="superscript"/>
          <w:lang w:val="en-GB"/>
        </w:rPr>
        <w:t xml:space="preserve"> 1</w:t>
      </w:r>
      <w:r w:rsidRPr="00E401A5">
        <w:rPr>
          <w:rFonts w:ascii="Calibri" w:hAnsi="Calibri" w:cs="Calibri"/>
          <w:lang w:val="en-GB"/>
        </w:rPr>
        <w:t xml:space="preserve"> Christopher </w:t>
      </w:r>
      <w:proofErr w:type="spellStart"/>
      <w:r w:rsidRPr="00E401A5">
        <w:rPr>
          <w:rFonts w:ascii="Calibri" w:hAnsi="Calibri" w:cs="Calibri"/>
          <w:lang w:val="en-GB"/>
        </w:rPr>
        <w:t>Elnan</w:t>
      </w:r>
      <w:proofErr w:type="spellEnd"/>
      <w:r w:rsidRPr="00E401A5">
        <w:rPr>
          <w:rFonts w:ascii="Calibri" w:hAnsi="Calibri" w:cs="Calibri"/>
          <w:lang w:val="en-GB"/>
        </w:rPr>
        <w:t xml:space="preserve"> Kvistad** (MD, PhD)</w:t>
      </w:r>
      <w:r w:rsidRPr="00E401A5">
        <w:rPr>
          <w:rFonts w:ascii="Calibri" w:hAnsi="Calibri" w:cs="Calibri"/>
          <w:vertAlign w:val="superscript"/>
          <w:lang w:val="en-GB"/>
        </w:rPr>
        <w:t xml:space="preserve">1 </w:t>
      </w:r>
    </w:p>
    <w:p w14:paraId="23540E76" w14:textId="77777777" w:rsidR="00AD27A3" w:rsidRPr="00E401A5" w:rsidRDefault="00AD27A3" w:rsidP="00AD27A3">
      <w:pPr>
        <w:spacing w:line="480" w:lineRule="auto"/>
        <w:jc w:val="both"/>
        <w:rPr>
          <w:rFonts w:ascii="Calibri" w:hAnsi="Calibri" w:cs="Calibri"/>
          <w:b/>
          <w:bCs/>
          <w:lang w:val="en-GB"/>
        </w:rPr>
      </w:pPr>
    </w:p>
    <w:p w14:paraId="6ABB8AA0" w14:textId="77777777" w:rsidR="00AD27A3" w:rsidRPr="00E401A5" w:rsidRDefault="00AD27A3" w:rsidP="00AD27A3">
      <w:pPr>
        <w:spacing w:line="480" w:lineRule="auto"/>
        <w:jc w:val="both"/>
        <w:rPr>
          <w:rFonts w:ascii="Calibri" w:hAnsi="Calibri" w:cs="Calibri"/>
          <w:lang w:val="en-GB"/>
        </w:rPr>
      </w:pPr>
      <w:r w:rsidRPr="00E401A5">
        <w:rPr>
          <w:rFonts w:ascii="Calibri" w:hAnsi="Calibri" w:cs="Calibri"/>
          <w:lang w:val="en-GB"/>
        </w:rPr>
        <w:t>¹ Department of Neurology, Haukeland University Hospital, Bergen, Norway</w:t>
      </w:r>
    </w:p>
    <w:p w14:paraId="37C1FA16" w14:textId="77777777" w:rsidR="00AD27A3" w:rsidRPr="00E401A5" w:rsidRDefault="00AD27A3" w:rsidP="00AD27A3">
      <w:pPr>
        <w:spacing w:line="480" w:lineRule="auto"/>
        <w:jc w:val="both"/>
        <w:rPr>
          <w:rFonts w:ascii="Calibri" w:hAnsi="Calibri" w:cs="Calibri"/>
          <w:lang w:val="en-GB"/>
        </w:rPr>
      </w:pPr>
      <w:r w:rsidRPr="00E401A5">
        <w:rPr>
          <w:rFonts w:ascii="Calibri" w:hAnsi="Calibri" w:cs="Calibri"/>
          <w:lang w:val="en-GB"/>
        </w:rPr>
        <w:t xml:space="preserve">² Department of Neurology, </w:t>
      </w:r>
      <w:proofErr w:type="spellStart"/>
      <w:r w:rsidRPr="00E401A5">
        <w:rPr>
          <w:rFonts w:ascii="Calibri" w:hAnsi="Calibri" w:cs="Calibri"/>
          <w:lang w:val="en-GB"/>
        </w:rPr>
        <w:t>Akershus</w:t>
      </w:r>
      <w:proofErr w:type="spellEnd"/>
      <w:r w:rsidRPr="00E401A5">
        <w:rPr>
          <w:rFonts w:ascii="Calibri" w:hAnsi="Calibri" w:cs="Calibri"/>
          <w:lang w:val="en-GB"/>
        </w:rPr>
        <w:t xml:space="preserve"> University Hospital, </w:t>
      </w:r>
      <w:proofErr w:type="spellStart"/>
      <w:r w:rsidRPr="00E401A5">
        <w:rPr>
          <w:rFonts w:ascii="Calibri" w:hAnsi="Calibri" w:cs="Calibri"/>
          <w:lang w:val="en-GB"/>
        </w:rPr>
        <w:t>Lørenskog</w:t>
      </w:r>
      <w:proofErr w:type="spellEnd"/>
      <w:r w:rsidRPr="00E401A5">
        <w:rPr>
          <w:rFonts w:ascii="Calibri" w:hAnsi="Calibri" w:cs="Calibri"/>
          <w:lang w:val="en-GB"/>
        </w:rPr>
        <w:t>, Norway</w:t>
      </w:r>
    </w:p>
    <w:p w14:paraId="27A3EF4B" w14:textId="77777777" w:rsidR="00AD27A3" w:rsidRPr="00E401A5" w:rsidRDefault="00AD27A3" w:rsidP="00AD27A3">
      <w:pPr>
        <w:spacing w:line="480" w:lineRule="auto"/>
        <w:jc w:val="both"/>
        <w:rPr>
          <w:rFonts w:ascii="Calibri" w:hAnsi="Calibri" w:cs="Calibri"/>
          <w:lang w:val="en-GB"/>
        </w:rPr>
      </w:pPr>
      <w:r w:rsidRPr="00E401A5">
        <w:rPr>
          <w:rFonts w:ascii="Calibri" w:hAnsi="Calibri" w:cs="Calibri"/>
          <w:lang w:val="en-GB"/>
        </w:rPr>
        <w:t>³ Department of Neurology, University Hospital of North Norway (UNN), Tromsø, Norway</w:t>
      </w:r>
    </w:p>
    <w:p w14:paraId="571FC6CB" w14:textId="77777777" w:rsidR="00AD27A3" w:rsidRPr="00E401A5" w:rsidRDefault="00AD27A3" w:rsidP="00AD27A3">
      <w:pPr>
        <w:spacing w:line="480" w:lineRule="auto"/>
        <w:jc w:val="both"/>
        <w:rPr>
          <w:rFonts w:ascii="Calibri" w:hAnsi="Calibri" w:cs="Calibri"/>
          <w:lang w:val="en-GB"/>
        </w:rPr>
      </w:pPr>
      <w:r w:rsidRPr="00E401A5">
        <w:rPr>
          <w:rFonts w:ascii="Calibri" w:hAnsi="Calibri" w:cs="Calibri"/>
          <w:lang w:val="en-GB"/>
        </w:rPr>
        <w:t>⁴ Department of Neurology, St. Olavs Hospital, Trondheim, Norway</w:t>
      </w:r>
    </w:p>
    <w:p w14:paraId="791A3C93" w14:textId="77777777" w:rsidR="00AD27A3" w:rsidRPr="00E401A5" w:rsidRDefault="00AD27A3" w:rsidP="00AD27A3">
      <w:pPr>
        <w:spacing w:line="480" w:lineRule="auto"/>
        <w:jc w:val="both"/>
        <w:rPr>
          <w:rFonts w:ascii="Calibri" w:hAnsi="Calibri" w:cs="Calibri"/>
          <w:lang w:val="en-GB"/>
        </w:rPr>
      </w:pPr>
      <w:r w:rsidRPr="00E401A5">
        <w:rPr>
          <w:rFonts w:ascii="Calibri" w:hAnsi="Calibri" w:cs="Calibri"/>
          <w:lang w:val="en-GB"/>
        </w:rPr>
        <w:t xml:space="preserve">⁵ </w:t>
      </w:r>
      <w:proofErr w:type="spellStart"/>
      <w:r w:rsidRPr="00E401A5">
        <w:rPr>
          <w:rFonts w:ascii="Calibri" w:hAnsi="Calibri" w:cs="Calibri"/>
          <w:lang w:val="en-GB"/>
        </w:rPr>
        <w:t>Institut</w:t>
      </w:r>
      <w:proofErr w:type="spellEnd"/>
      <w:r w:rsidRPr="00E401A5">
        <w:rPr>
          <w:rFonts w:ascii="Calibri" w:hAnsi="Calibri" w:cs="Calibri"/>
          <w:lang w:val="en-GB"/>
        </w:rPr>
        <w:t xml:space="preserve"> für </w:t>
      </w:r>
      <w:proofErr w:type="spellStart"/>
      <w:r w:rsidRPr="00E401A5">
        <w:rPr>
          <w:rFonts w:ascii="Calibri" w:hAnsi="Calibri" w:cs="Calibri"/>
          <w:lang w:val="en-GB"/>
        </w:rPr>
        <w:t>Klinische</w:t>
      </w:r>
      <w:proofErr w:type="spellEnd"/>
      <w:r w:rsidRPr="00E401A5">
        <w:rPr>
          <w:rFonts w:ascii="Calibri" w:hAnsi="Calibri" w:cs="Calibri"/>
          <w:lang w:val="en-GB"/>
        </w:rPr>
        <w:t xml:space="preserve"> </w:t>
      </w:r>
      <w:proofErr w:type="spellStart"/>
      <w:r w:rsidRPr="00E401A5">
        <w:rPr>
          <w:rFonts w:ascii="Calibri" w:hAnsi="Calibri" w:cs="Calibri"/>
          <w:lang w:val="en-GB"/>
        </w:rPr>
        <w:t>Transfusionsmedizin</w:t>
      </w:r>
      <w:proofErr w:type="spellEnd"/>
      <w:r w:rsidRPr="00E401A5">
        <w:rPr>
          <w:rFonts w:ascii="Calibri" w:hAnsi="Calibri" w:cs="Calibri"/>
          <w:lang w:val="en-GB"/>
        </w:rPr>
        <w:t xml:space="preserve"> und </w:t>
      </w:r>
      <w:proofErr w:type="spellStart"/>
      <w:r w:rsidRPr="00E401A5">
        <w:rPr>
          <w:rFonts w:ascii="Calibri" w:hAnsi="Calibri" w:cs="Calibri"/>
          <w:lang w:val="en-GB"/>
        </w:rPr>
        <w:t>Immungenetik</w:t>
      </w:r>
      <w:proofErr w:type="spellEnd"/>
      <w:r w:rsidRPr="00E401A5">
        <w:rPr>
          <w:rFonts w:ascii="Calibri" w:hAnsi="Calibri" w:cs="Calibri"/>
          <w:lang w:val="en-GB"/>
        </w:rPr>
        <w:t xml:space="preserve">, Ulm, German Red Cross Blood Transfusion Service Baden-Württemberg-Hessen and University Hospital Ulm, </w:t>
      </w:r>
      <w:r>
        <w:rPr>
          <w:rFonts w:ascii="Calibri" w:hAnsi="Calibri" w:cs="Calibri"/>
          <w:lang w:val="en-GB"/>
        </w:rPr>
        <w:t xml:space="preserve">Ulm, </w:t>
      </w:r>
      <w:r w:rsidRPr="00E401A5">
        <w:rPr>
          <w:rFonts w:ascii="Calibri" w:hAnsi="Calibri" w:cs="Calibri"/>
          <w:lang w:val="en-GB"/>
        </w:rPr>
        <w:t>Germany</w:t>
      </w:r>
    </w:p>
    <w:p w14:paraId="7E92C3A4" w14:textId="77777777" w:rsidR="00AD27A3" w:rsidRPr="00E401A5" w:rsidRDefault="00AD27A3" w:rsidP="00AD27A3">
      <w:pPr>
        <w:spacing w:line="480" w:lineRule="auto"/>
        <w:jc w:val="both"/>
        <w:rPr>
          <w:rFonts w:ascii="Calibri" w:hAnsi="Calibri" w:cs="Calibri"/>
          <w:lang w:val="en-GB"/>
        </w:rPr>
      </w:pPr>
      <w:r w:rsidRPr="00E401A5">
        <w:rPr>
          <w:rFonts w:ascii="Calibri" w:hAnsi="Calibri" w:cs="Calibri"/>
          <w:lang w:val="en-GB"/>
        </w:rPr>
        <w:t>⁶ Department of Clinical Dentistry, University of Bergen, Bergen, Norway</w:t>
      </w:r>
    </w:p>
    <w:p w14:paraId="5F686E86" w14:textId="77777777" w:rsidR="00AD27A3" w:rsidRPr="00E401A5" w:rsidRDefault="00AD27A3" w:rsidP="00AD27A3">
      <w:pPr>
        <w:spacing w:line="480" w:lineRule="auto"/>
        <w:jc w:val="both"/>
        <w:rPr>
          <w:rFonts w:ascii="Calibri" w:hAnsi="Calibri" w:cs="Calibri"/>
          <w:lang w:val="en-GB"/>
        </w:rPr>
      </w:pPr>
      <w:r w:rsidRPr="00E401A5">
        <w:rPr>
          <w:rFonts w:ascii="Calibri" w:hAnsi="Calibri" w:cs="Calibri"/>
          <w:vertAlign w:val="superscript"/>
          <w:lang w:val="en-GB"/>
        </w:rPr>
        <w:t>7</w:t>
      </w:r>
      <w:r w:rsidRPr="00E401A5">
        <w:rPr>
          <w:rFonts w:ascii="Calibri" w:hAnsi="Calibri" w:cs="Calibri"/>
          <w:lang w:val="en-GB"/>
        </w:rPr>
        <w:t xml:space="preserve"> Department of Clinical Medicine, University of Bergen, Bergen, Norway</w:t>
      </w:r>
    </w:p>
    <w:p w14:paraId="446505F0" w14:textId="77777777" w:rsidR="00AD27A3" w:rsidRPr="00E401A5" w:rsidRDefault="00AD27A3" w:rsidP="00AD27A3">
      <w:pPr>
        <w:spacing w:line="480" w:lineRule="auto"/>
        <w:jc w:val="both"/>
        <w:rPr>
          <w:rFonts w:ascii="Calibri" w:hAnsi="Calibri" w:cs="Calibri"/>
          <w:lang w:val="en-GB"/>
        </w:rPr>
      </w:pPr>
      <w:r w:rsidRPr="00E401A5">
        <w:rPr>
          <w:rFonts w:ascii="Calibri" w:hAnsi="Calibri" w:cs="Calibri"/>
          <w:vertAlign w:val="superscript"/>
          <w:lang w:val="en-GB"/>
        </w:rPr>
        <w:t>8</w:t>
      </w:r>
      <w:r w:rsidRPr="00E401A5">
        <w:rPr>
          <w:rFonts w:ascii="Calibri" w:hAnsi="Calibri" w:cs="Calibri"/>
          <w:lang w:val="en-GB"/>
        </w:rPr>
        <w:t xml:space="preserve"> Institute of Clinical Medicine, University of Oslo, </w:t>
      </w:r>
      <w:r>
        <w:rPr>
          <w:rFonts w:ascii="Calibri" w:hAnsi="Calibri" w:cs="Calibri"/>
          <w:lang w:val="en-GB"/>
        </w:rPr>
        <w:t xml:space="preserve">Oslo, </w:t>
      </w:r>
      <w:r w:rsidRPr="00E401A5">
        <w:rPr>
          <w:rFonts w:ascii="Calibri" w:hAnsi="Calibri" w:cs="Calibri"/>
          <w:lang w:val="en-GB"/>
        </w:rPr>
        <w:t>Norway</w:t>
      </w:r>
    </w:p>
    <w:p w14:paraId="72A19A4E" w14:textId="77777777" w:rsidR="00AD27A3" w:rsidRPr="00E401A5" w:rsidRDefault="00AD27A3" w:rsidP="00AD27A3">
      <w:pPr>
        <w:spacing w:line="480" w:lineRule="auto"/>
        <w:jc w:val="both"/>
        <w:rPr>
          <w:rFonts w:ascii="Calibri" w:hAnsi="Calibri" w:cs="Calibri"/>
          <w:lang w:val="en-GB"/>
        </w:rPr>
      </w:pPr>
      <w:r w:rsidRPr="00E401A5">
        <w:rPr>
          <w:rFonts w:ascii="Calibri" w:hAnsi="Calibri" w:cs="Calibri"/>
          <w:vertAlign w:val="superscript"/>
          <w:lang w:val="en-GB"/>
        </w:rPr>
        <w:t xml:space="preserve">9 </w:t>
      </w:r>
      <w:r w:rsidRPr="00E401A5">
        <w:rPr>
          <w:rFonts w:ascii="Calibri" w:hAnsi="Calibri" w:cs="Calibri"/>
          <w:lang w:val="en-GB"/>
        </w:rPr>
        <w:t>Proteomics Unit, Department of Biomedicine, University of Bergen, Bergen, Norway</w:t>
      </w:r>
    </w:p>
    <w:p w14:paraId="3CA9A589" w14:textId="77777777" w:rsidR="00AD27A3" w:rsidRPr="00E401A5" w:rsidRDefault="00AD27A3" w:rsidP="00AD27A3">
      <w:pPr>
        <w:spacing w:line="480" w:lineRule="auto"/>
        <w:jc w:val="both"/>
        <w:rPr>
          <w:rFonts w:ascii="Calibri" w:hAnsi="Calibri" w:cs="Calibri"/>
          <w:lang w:val="en-GB"/>
        </w:rPr>
      </w:pPr>
      <w:r w:rsidRPr="00E401A5">
        <w:rPr>
          <w:rFonts w:ascii="Calibri" w:hAnsi="Calibri" w:cs="Calibri"/>
          <w:vertAlign w:val="superscript"/>
          <w:lang w:val="en-GB"/>
        </w:rPr>
        <w:t xml:space="preserve">10 </w:t>
      </w:r>
      <w:r w:rsidRPr="00E401A5">
        <w:rPr>
          <w:rFonts w:ascii="Calibri" w:hAnsi="Calibri" w:cs="Calibri"/>
          <w:lang w:val="en-GB"/>
        </w:rPr>
        <w:t>Computational Biology Unit, Department of Informatics, University of Bergen, Bergen, Norway</w:t>
      </w:r>
    </w:p>
    <w:p w14:paraId="534054B5" w14:textId="77777777" w:rsidR="00AD27A3" w:rsidRPr="00E401A5" w:rsidRDefault="00AD27A3" w:rsidP="00AD27A3">
      <w:pPr>
        <w:spacing w:line="480" w:lineRule="auto"/>
        <w:jc w:val="both"/>
        <w:rPr>
          <w:rFonts w:ascii="Calibri" w:hAnsi="Calibri" w:cs="Calibri"/>
          <w:lang w:val="en-GB"/>
        </w:rPr>
      </w:pPr>
      <w:r w:rsidRPr="00E401A5">
        <w:rPr>
          <w:rFonts w:ascii="Calibri" w:hAnsi="Calibri" w:cs="Calibri"/>
          <w:vertAlign w:val="superscript"/>
          <w:lang w:val="en-GB"/>
        </w:rPr>
        <w:t xml:space="preserve">12 </w:t>
      </w:r>
      <w:r w:rsidRPr="00E401A5">
        <w:rPr>
          <w:rFonts w:ascii="Calibri" w:hAnsi="Calibri" w:cs="Calibri"/>
          <w:lang w:val="en-GB"/>
        </w:rPr>
        <w:t>Research Department, Stavanger University Hospital, Stavanger</w:t>
      </w:r>
      <w:r>
        <w:rPr>
          <w:rFonts w:ascii="Calibri" w:hAnsi="Calibri" w:cs="Calibri"/>
          <w:lang w:val="en-GB"/>
        </w:rPr>
        <w:t>, Norway</w:t>
      </w:r>
    </w:p>
    <w:p w14:paraId="65FE78B8" w14:textId="77777777" w:rsidR="00AD27A3" w:rsidRPr="00E401A5" w:rsidRDefault="00AD27A3" w:rsidP="00AD27A3">
      <w:pPr>
        <w:spacing w:line="480" w:lineRule="auto"/>
        <w:jc w:val="both"/>
        <w:rPr>
          <w:rFonts w:ascii="Calibri" w:hAnsi="Calibri" w:cs="Calibri"/>
          <w:lang w:val="en-GB"/>
        </w:rPr>
      </w:pPr>
      <w:r w:rsidRPr="00E401A5">
        <w:rPr>
          <w:rFonts w:ascii="Calibri" w:hAnsi="Calibri" w:cs="Calibri"/>
          <w:vertAlign w:val="superscript"/>
          <w:lang w:val="en-GB"/>
        </w:rPr>
        <w:t xml:space="preserve">13 </w:t>
      </w:r>
      <w:r w:rsidRPr="00E401A5">
        <w:rPr>
          <w:rFonts w:ascii="Calibri" w:hAnsi="Calibri" w:cs="Calibri"/>
          <w:lang w:val="en-GB"/>
        </w:rPr>
        <w:t xml:space="preserve">Institute of Clinical Medicine, </w:t>
      </w:r>
      <w:proofErr w:type="spellStart"/>
      <w:r w:rsidRPr="00E401A5">
        <w:rPr>
          <w:rFonts w:ascii="Calibri" w:hAnsi="Calibri" w:cs="Calibri"/>
          <w:lang w:val="en-GB"/>
        </w:rPr>
        <w:t>UiT</w:t>
      </w:r>
      <w:proofErr w:type="spellEnd"/>
      <w:r w:rsidRPr="00E401A5">
        <w:rPr>
          <w:rFonts w:ascii="Calibri" w:hAnsi="Calibri" w:cs="Calibri"/>
          <w:lang w:val="en-GB"/>
        </w:rPr>
        <w:t xml:space="preserve"> </w:t>
      </w:r>
      <w:proofErr w:type="gramStart"/>
      <w:r w:rsidRPr="00E401A5">
        <w:rPr>
          <w:rFonts w:ascii="Calibri" w:hAnsi="Calibri" w:cs="Calibri"/>
          <w:lang w:val="en-GB"/>
        </w:rPr>
        <w:t>The</w:t>
      </w:r>
      <w:proofErr w:type="gramEnd"/>
      <w:r w:rsidRPr="00E401A5">
        <w:rPr>
          <w:rFonts w:ascii="Calibri" w:hAnsi="Calibri" w:cs="Calibri"/>
          <w:lang w:val="en-GB"/>
        </w:rPr>
        <w:t xml:space="preserve"> Arctic University of Norway, Tromsø, Norway</w:t>
      </w:r>
    </w:p>
    <w:p w14:paraId="6E6A2A4B" w14:textId="77777777" w:rsidR="00AD27A3" w:rsidRPr="00E401A5" w:rsidRDefault="00AD27A3" w:rsidP="00AD27A3">
      <w:pPr>
        <w:spacing w:line="480" w:lineRule="auto"/>
        <w:jc w:val="both"/>
        <w:rPr>
          <w:rFonts w:ascii="Calibri" w:hAnsi="Calibri" w:cs="Calibri"/>
          <w:lang w:val="en-GB"/>
        </w:rPr>
      </w:pPr>
    </w:p>
    <w:p w14:paraId="79E57E52" w14:textId="77777777" w:rsidR="00AD27A3" w:rsidRPr="00E401A5" w:rsidRDefault="00AD27A3" w:rsidP="00AD27A3">
      <w:pPr>
        <w:jc w:val="both"/>
        <w:rPr>
          <w:rFonts w:ascii="Calibri" w:hAnsi="Calibri" w:cs="Calibri"/>
          <w:b/>
          <w:bCs/>
          <w:lang w:val="en-GB"/>
        </w:rPr>
      </w:pPr>
      <w:r w:rsidRPr="00E401A5">
        <w:rPr>
          <w:rFonts w:ascii="Calibri" w:hAnsi="Calibri" w:cs="Calibri"/>
          <w:b/>
          <w:bCs/>
          <w:lang w:val="en-GB"/>
        </w:rPr>
        <w:t>*Contributed equally as first author</w:t>
      </w:r>
      <w:r>
        <w:rPr>
          <w:rFonts w:ascii="Calibri" w:hAnsi="Calibri" w:cs="Calibri"/>
          <w:b/>
          <w:bCs/>
          <w:lang w:val="en-GB"/>
        </w:rPr>
        <w:t>s</w:t>
      </w:r>
      <w:r w:rsidRPr="00E401A5">
        <w:rPr>
          <w:rFonts w:ascii="Calibri" w:hAnsi="Calibri" w:cs="Calibri"/>
          <w:b/>
          <w:bCs/>
          <w:lang w:val="en-GB"/>
        </w:rPr>
        <w:t xml:space="preserve"> </w:t>
      </w:r>
    </w:p>
    <w:p w14:paraId="742C1263" w14:textId="77777777" w:rsidR="00AD27A3" w:rsidRDefault="00AD27A3" w:rsidP="00AD27A3">
      <w:pPr>
        <w:jc w:val="both"/>
        <w:rPr>
          <w:rFonts w:ascii="Calibri" w:hAnsi="Calibri" w:cs="Calibri"/>
          <w:b/>
          <w:bCs/>
          <w:lang w:val="en-GB"/>
        </w:rPr>
      </w:pPr>
      <w:r w:rsidRPr="00E401A5">
        <w:rPr>
          <w:rFonts w:ascii="Calibri" w:hAnsi="Calibri" w:cs="Calibri"/>
          <w:b/>
          <w:bCs/>
          <w:lang w:val="en-GB"/>
        </w:rPr>
        <w:t>** Contributed equally as last author</w:t>
      </w:r>
      <w:r>
        <w:rPr>
          <w:rFonts w:ascii="Calibri" w:hAnsi="Calibri" w:cs="Calibri"/>
          <w:b/>
          <w:bCs/>
          <w:lang w:val="en-GB"/>
        </w:rPr>
        <w:t>s</w:t>
      </w:r>
    </w:p>
    <w:p w14:paraId="59CA50E1" w14:textId="77777777" w:rsidR="00AD27A3" w:rsidRDefault="00AD27A3" w:rsidP="00AD27A3">
      <w:pPr>
        <w:jc w:val="both"/>
        <w:rPr>
          <w:rFonts w:ascii="Calibri" w:hAnsi="Calibri" w:cs="Calibri"/>
          <w:b/>
          <w:bCs/>
          <w:lang w:val="en-GB"/>
        </w:rPr>
      </w:pPr>
    </w:p>
    <w:p w14:paraId="418DBDC0" w14:textId="77777777" w:rsidR="00AD27A3" w:rsidRPr="00E401A5" w:rsidRDefault="00AD27A3" w:rsidP="00AD27A3">
      <w:pPr>
        <w:jc w:val="both"/>
        <w:rPr>
          <w:rFonts w:ascii="Calibri" w:hAnsi="Calibri" w:cs="Calibri"/>
          <w:b/>
          <w:bCs/>
          <w:lang w:val="en-GB"/>
        </w:rPr>
      </w:pPr>
      <w:r w:rsidRPr="00F137B3">
        <w:rPr>
          <w:rFonts w:ascii="Calibri" w:hAnsi="Calibri" w:cs="Calibri"/>
          <w:b/>
          <w:bCs/>
          <w:lang w:val="en-GB"/>
        </w:rPr>
        <w:t xml:space="preserve">Corresponding Author: </w:t>
      </w:r>
      <w:r>
        <w:rPr>
          <w:rFonts w:ascii="Calibri" w:hAnsi="Calibri" w:cs="Calibri"/>
          <w:b/>
          <w:bCs/>
          <w:lang w:val="en-GB"/>
        </w:rPr>
        <w:t xml:space="preserve">Dimitrios Kleftogiannis, email: </w:t>
      </w:r>
      <w:r w:rsidRPr="00F137B3">
        <w:rPr>
          <w:rFonts w:ascii="Calibri" w:hAnsi="Calibri" w:cs="Calibri"/>
          <w:b/>
          <w:bCs/>
          <w:lang w:val="en-GB"/>
        </w:rPr>
        <w:t>dimitrios.kleftogiannis@uib.no</w:t>
      </w:r>
    </w:p>
    <w:p w14:paraId="75B54BCF" w14:textId="77777777" w:rsidR="00AD27A3" w:rsidRPr="00E401A5" w:rsidRDefault="00AD27A3" w:rsidP="00AD27A3">
      <w:pPr>
        <w:jc w:val="both"/>
        <w:rPr>
          <w:rFonts w:ascii="Calibri" w:hAnsi="Calibri" w:cs="Calibri"/>
          <w:b/>
          <w:bCs/>
          <w:lang w:val="en-GB"/>
        </w:rPr>
      </w:pPr>
    </w:p>
    <w:p w14:paraId="789A5742" w14:textId="77777777" w:rsidR="00845B57" w:rsidRDefault="00845B57" w:rsidP="00845B57">
      <w:pPr>
        <w:rPr>
          <w:rFonts w:ascii="Calibri" w:hAnsi="Calibri" w:cs="Calibri"/>
          <w:b/>
          <w:bCs/>
          <w:sz w:val="28"/>
          <w:szCs w:val="28"/>
          <w:lang w:val="en-GB"/>
        </w:rPr>
      </w:pPr>
    </w:p>
    <w:p w14:paraId="6C2564BE" w14:textId="67BA7EAB" w:rsidR="00FD567D" w:rsidRPr="00A51D35" w:rsidRDefault="00FD567D" w:rsidP="00FD567D">
      <w:pPr>
        <w:jc w:val="center"/>
        <w:rPr>
          <w:rFonts w:ascii="Calibri" w:hAnsi="Calibri" w:cs="Calibri"/>
          <w:b/>
          <w:bCs/>
          <w:sz w:val="32"/>
          <w:szCs w:val="32"/>
          <w:lang w:val="en-GB"/>
        </w:rPr>
      </w:pPr>
      <w:r w:rsidRPr="00A51D35">
        <w:rPr>
          <w:rFonts w:ascii="Calibri" w:hAnsi="Calibri" w:cs="Calibri"/>
          <w:b/>
          <w:bCs/>
          <w:sz w:val="32"/>
          <w:szCs w:val="32"/>
          <w:lang w:val="en-GB"/>
        </w:rPr>
        <w:t>SUPPLEMENTARY MATERIAL</w:t>
      </w:r>
    </w:p>
    <w:p w14:paraId="7196CEF2" w14:textId="77777777" w:rsidR="00FD567D" w:rsidRPr="00E401A5" w:rsidRDefault="00FD567D" w:rsidP="00FD567D">
      <w:pPr>
        <w:jc w:val="both"/>
        <w:rPr>
          <w:rFonts w:ascii="Calibri" w:hAnsi="Calibri" w:cs="Calibri"/>
          <w:b/>
          <w:bCs/>
          <w:lang w:val="en-GB"/>
        </w:rPr>
      </w:pPr>
    </w:p>
    <w:p w14:paraId="418E18C5" w14:textId="77777777" w:rsidR="00FD567D" w:rsidRPr="00E401A5" w:rsidRDefault="00FD567D" w:rsidP="00FD567D">
      <w:pPr>
        <w:jc w:val="both"/>
        <w:rPr>
          <w:rFonts w:ascii="Calibri" w:hAnsi="Calibri" w:cs="Calibri"/>
          <w:b/>
          <w:bCs/>
          <w:lang w:val="en-GB"/>
        </w:rPr>
      </w:pPr>
      <w:r w:rsidRPr="00E401A5">
        <w:rPr>
          <w:rFonts w:ascii="Calibri" w:hAnsi="Calibri" w:cs="Calibri"/>
          <w:b/>
          <w:bCs/>
          <w:lang w:val="en-GB"/>
        </w:rPr>
        <w:t>SUPPLEMENTARY TABLE 1</w:t>
      </w:r>
    </w:p>
    <w:p w14:paraId="035904FA" w14:textId="77777777" w:rsidR="00FD567D" w:rsidRPr="00E401A5" w:rsidRDefault="00FD567D" w:rsidP="00FD567D">
      <w:pPr>
        <w:jc w:val="both"/>
        <w:rPr>
          <w:rFonts w:ascii="Calibri" w:hAnsi="Calibri" w:cs="Calibri"/>
          <w:b/>
          <w:bCs/>
          <w:sz w:val="20"/>
          <w:szCs w:val="20"/>
          <w:lang w:val="en-GB"/>
        </w:rPr>
      </w:pPr>
      <w:r w:rsidRPr="00E401A5">
        <w:rPr>
          <w:rFonts w:ascii="Calibri" w:hAnsi="Calibri" w:cs="Calibri"/>
          <w:sz w:val="20"/>
          <w:szCs w:val="20"/>
          <w:lang w:val="en-GB"/>
        </w:rPr>
        <w:t xml:space="preserve">Antibody panel used for </w:t>
      </w:r>
      <w:proofErr w:type="spellStart"/>
      <w:r w:rsidRPr="00E401A5">
        <w:rPr>
          <w:rFonts w:ascii="Calibri" w:hAnsi="Calibri" w:cs="Calibri"/>
          <w:sz w:val="20"/>
          <w:szCs w:val="20"/>
          <w:lang w:val="en-GB"/>
        </w:rPr>
        <w:t>CyTOF</w:t>
      </w:r>
      <w:proofErr w:type="spellEnd"/>
      <w:r w:rsidRPr="00E401A5">
        <w:rPr>
          <w:rFonts w:ascii="Calibri" w:hAnsi="Calibri" w:cs="Calibri"/>
          <w:sz w:val="20"/>
          <w:szCs w:val="20"/>
          <w:lang w:val="en-GB"/>
        </w:rPr>
        <w:t>-based immune profiling, indicating markers for lineage identification, differentiation, activation, and trafficking programs used in clustering and functional score analyses.</w:t>
      </w:r>
    </w:p>
    <w:p w14:paraId="0920A245" w14:textId="77777777" w:rsidR="00FD567D" w:rsidRPr="00E401A5" w:rsidRDefault="00FD567D" w:rsidP="00FD567D">
      <w:pPr>
        <w:jc w:val="both"/>
        <w:rPr>
          <w:rFonts w:ascii="Calibri" w:hAnsi="Calibri" w:cs="Calibri"/>
          <w:b/>
          <w:bCs/>
          <w:lang w:val="en-GB"/>
        </w:rPr>
      </w:pPr>
    </w:p>
    <w:tbl>
      <w:tblPr>
        <w:tblStyle w:val="TableGrid"/>
        <w:tblW w:w="0" w:type="auto"/>
        <w:tblLook w:val="04A0" w:firstRow="1" w:lastRow="0" w:firstColumn="1" w:lastColumn="0" w:noHBand="0" w:noVBand="1"/>
      </w:tblPr>
      <w:tblGrid>
        <w:gridCol w:w="1263"/>
        <w:gridCol w:w="1794"/>
        <w:gridCol w:w="968"/>
        <w:gridCol w:w="4985"/>
      </w:tblGrid>
      <w:tr w:rsidR="00FD567D" w:rsidRPr="00E401A5" w14:paraId="25A236DF" w14:textId="77777777" w:rsidTr="00BF7F17">
        <w:tc>
          <w:tcPr>
            <w:tcW w:w="1271" w:type="dxa"/>
            <w:hideMark/>
          </w:tcPr>
          <w:p w14:paraId="43FDF46D" w14:textId="77777777" w:rsidR="00FD567D" w:rsidRPr="00E401A5" w:rsidRDefault="00FD567D" w:rsidP="00BF7F17">
            <w:pPr>
              <w:jc w:val="center"/>
              <w:rPr>
                <w:rFonts w:ascii="Calibri" w:hAnsi="Calibri" w:cs="Calibri"/>
                <w:b/>
                <w:bCs/>
                <w:sz w:val="16"/>
                <w:szCs w:val="16"/>
                <w:lang w:val="en-GB"/>
              </w:rPr>
            </w:pPr>
            <w:r w:rsidRPr="00E401A5">
              <w:rPr>
                <w:rFonts w:ascii="Calibri" w:hAnsi="Calibri" w:cs="Calibri"/>
                <w:b/>
                <w:bCs/>
                <w:sz w:val="16"/>
                <w:szCs w:val="16"/>
                <w:lang w:val="en-GB"/>
              </w:rPr>
              <w:t>Marker</w:t>
            </w:r>
          </w:p>
        </w:tc>
        <w:tc>
          <w:tcPr>
            <w:tcW w:w="1805" w:type="dxa"/>
            <w:hideMark/>
          </w:tcPr>
          <w:p w14:paraId="0096DEC1" w14:textId="77777777" w:rsidR="00FD567D" w:rsidRPr="00E401A5" w:rsidRDefault="00FD567D" w:rsidP="00BF7F17">
            <w:pPr>
              <w:jc w:val="center"/>
              <w:rPr>
                <w:rFonts w:ascii="Calibri" w:hAnsi="Calibri" w:cs="Calibri"/>
                <w:b/>
                <w:bCs/>
                <w:sz w:val="16"/>
                <w:szCs w:val="16"/>
                <w:lang w:val="en-GB"/>
              </w:rPr>
            </w:pPr>
            <w:r w:rsidRPr="00E401A5">
              <w:rPr>
                <w:rFonts w:ascii="Calibri" w:hAnsi="Calibri" w:cs="Calibri"/>
                <w:b/>
                <w:bCs/>
                <w:sz w:val="16"/>
                <w:szCs w:val="16"/>
                <w:lang w:val="en-GB"/>
              </w:rPr>
              <w:t>Primary use</w:t>
            </w:r>
          </w:p>
        </w:tc>
        <w:tc>
          <w:tcPr>
            <w:tcW w:w="888" w:type="dxa"/>
          </w:tcPr>
          <w:p w14:paraId="36EC4DD5" w14:textId="77777777" w:rsidR="00FD567D" w:rsidRPr="00E401A5" w:rsidRDefault="00FD567D" w:rsidP="00BF7F17">
            <w:pPr>
              <w:jc w:val="center"/>
              <w:rPr>
                <w:rFonts w:ascii="Calibri" w:hAnsi="Calibri" w:cs="Calibri"/>
                <w:b/>
                <w:bCs/>
                <w:sz w:val="16"/>
                <w:szCs w:val="16"/>
                <w:lang w:val="en-GB"/>
              </w:rPr>
            </w:pPr>
            <w:r w:rsidRPr="00E401A5">
              <w:rPr>
                <w:rFonts w:ascii="Calibri" w:hAnsi="Calibri" w:cs="Calibri"/>
                <w:b/>
                <w:bCs/>
                <w:sz w:val="16"/>
                <w:szCs w:val="16"/>
                <w:lang w:val="en-GB"/>
              </w:rPr>
              <w:t>Used for Annotation</w:t>
            </w:r>
          </w:p>
        </w:tc>
        <w:tc>
          <w:tcPr>
            <w:tcW w:w="5046" w:type="dxa"/>
            <w:hideMark/>
          </w:tcPr>
          <w:p w14:paraId="2272B54E" w14:textId="77777777" w:rsidR="00FD567D" w:rsidRPr="00E401A5" w:rsidRDefault="00FD567D" w:rsidP="00BF7F17">
            <w:pPr>
              <w:jc w:val="center"/>
              <w:rPr>
                <w:rFonts w:ascii="Calibri" w:hAnsi="Calibri" w:cs="Calibri"/>
                <w:b/>
                <w:bCs/>
                <w:sz w:val="16"/>
                <w:szCs w:val="16"/>
                <w:lang w:val="en-GB"/>
              </w:rPr>
            </w:pPr>
            <w:r w:rsidRPr="00E401A5">
              <w:rPr>
                <w:rFonts w:ascii="Calibri" w:hAnsi="Calibri" w:cs="Calibri"/>
                <w:b/>
                <w:bCs/>
                <w:sz w:val="16"/>
                <w:szCs w:val="16"/>
                <w:lang w:val="en-GB"/>
              </w:rPr>
              <w:t>Biological role / rationale</w:t>
            </w:r>
          </w:p>
        </w:tc>
      </w:tr>
      <w:tr w:rsidR="00FD567D" w:rsidRPr="00E401A5" w14:paraId="4528A5F7" w14:textId="77777777" w:rsidTr="00BF7F17">
        <w:tc>
          <w:tcPr>
            <w:tcW w:w="1271" w:type="dxa"/>
            <w:hideMark/>
          </w:tcPr>
          <w:p w14:paraId="5B1FD211"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CD45</w:t>
            </w:r>
          </w:p>
        </w:tc>
        <w:tc>
          <w:tcPr>
            <w:tcW w:w="1805" w:type="dxa"/>
            <w:hideMark/>
          </w:tcPr>
          <w:p w14:paraId="6ECAB3D5"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Inclusion / gating</w:t>
            </w:r>
          </w:p>
        </w:tc>
        <w:tc>
          <w:tcPr>
            <w:tcW w:w="888" w:type="dxa"/>
          </w:tcPr>
          <w:p w14:paraId="7161F487"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No</w:t>
            </w:r>
          </w:p>
        </w:tc>
        <w:tc>
          <w:tcPr>
            <w:tcW w:w="5046" w:type="dxa"/>
            <w:hideMark/>
          </w:tcPr>
          <w:p w14:paraId="55EECC83"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Pan-leukocyte marker used to define total immune cells.</w:t>
            </w:r>
          </w:p>
        </w:tc>
      </w:tr>
      <w:tr w:rsidR="00FD567D" w:rsidRPr="00E401A5" w14:paraId="6B67A1B0" w14:textId="77777777" w:rsidTr="00BF7F17">
        <w:tc>
          <w:tcPr>
            <w:tcW w:w="1271" w:type="dxa"/>
            <w:hideMark/>
          </w:tcPr>
          <w:p w14:paraId="4373CF8B"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CD66b</w:t>
            </w:r>
          </w:p>
        </w:tc>
        <w:tc>
          <w:tcPr>
            <w:tcW w:w="1805" w:type="dxa"/>
            <w:hideMark/>
          </w:tcPr>
          <w:p w14:paraId="4CEDE707"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Exclusion / gating</w:t>
            </w:r>
          </w:p>
        </w:tc>
        <w:tc>
          <w:tcPr>
            <w:tcW w:w="888" w:type="dxa"/>
          </w:tcPr>
          <w:p w14:paraId="5DC4E815"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No</w:t>
            </w:r>
          </w:p>
        </w:tc>
        <w:tc>
          <w:tcPr>
            <w:tcW w:w="5046" w:type="dxa"/>
            <w:hideMark/>
          </w:tcPr>
          <w:p w14:paraId="66086716"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Neutrophil marker used to exclude granulocytes (CD45⁺CD66b</w:t>
            </w:r>
            <w:r w:rsidRPr="00E401A5">
              <w:rPr>
                <w:rFonts w:ascii="Calibri" w:hAnsi="Calibri" w:cs="Calibri"/>
                <w:sz w:val="16"/>
                <w:szCs w:val="16"/>
                <w:vertAlign w:val="superscript"/>
                <w:lang w:val="en-GB"/>
              </w:rPr>
              <w:t>low</w:t>
            </w:r>
            <w:r w:rsidRPr="00E401A5">
              <w:rPr>
                <w:rFonts w:ascii="Calibri" w:hAnsi="Calibri" w:cs="Calibri"/>
                <w:sz w:val="16"/>
                <w:szCs w:val="16"/>
                <w:lang w:val="en-GB"/>
              </w:rPr>
              <w:t>).</w:t>
            </w:r>
          </w:p>
        </w:tc>
      </w:tr>
      <w:tr w:rsidR="00FD567D" w:rsidRPr="00E401A5" w14:paraId="08FF0CA6" w14:textId="77777777" w:rsidTr="00BF7F17">
        <w:tc>
          <w:tcPr>
            <w:tcW w:w="1271" w:type="dxa"/>
            <w:hideMark/>
          </w:tcPr>
          <w:p w14:paraId="01B2CFF5"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CD235ab</w:t>
            </w:r>
          </w:p>
        </w:tc>
        <w:tc>
          <w:tcPr>
            <w:tcW w:w="1805" w:type="dxa"/>
            <w:hideMark/>
          </w:tcPr>
          <w:p w14:paraId="43E09696"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Lineage</w:t>
            </w:r>
          </w:p>
        </w:tc>
        <w:tc>
          <w:tcPr>
            <w:tcW w:w="888" w:type="dxa"/>
          </w:tcPr>
          <w:p w14:paraId="19FDD542"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No</w:t>
            </w:r>
          </w:p>
        </w:tc>
        <w:tc>
          <w:tcPr>
            <w:tcW w:w="5046" w:type="dxa"/>
            <w:hideMark/>
          </w:tcPr>
          <w:p w14:paraId="39EB0A83"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Erythroid lineage marker </w:t>
            </w:r>
          </w:p>
        </w:tc>
      </w:tr>
      <w:tr w:rsidR="00FD567D" w:rsidRPr="00E401A5" w14:paraId="207070CD" w14:textId="77777777" w:rsidTr="00BF7F17">
        <w:tc>
          <w:tcPr>
            <w:tcW w:w="1271" w:type="dxa"/>
            <w:hideMark/>
          </w:tcPr>
          <w:p w14:paraId="3B94F39A"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CD3</w:t>
            </w:r>
          </w:p>
        </w:tc>
        <w:tc>
          <w:tcPr>
            <w:tcW w:w="1805" w:type="dxa"/>
            <w:hideMark/>
          </w:tcPr>
          <w:p w14:paraId="5C5236BB"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Lineage </w:t>
            </w:r>
          </w:p>
        </w:tc>
        <w:tc>
          <w:tcPr>
            <w:tcW w:w="888" w:type="dxa"/>
          </w:tcPr>
          <w:p w14:paraId="590A9154"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057624DA"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Pan–T cell marker.</w:t>
            </w:r>
          </w:p>
        </w:tc>
      </w:tr>
      <w:tr w:rsidR="00FD567D" w:rsidRPr="00E401A5" w14:paraId="049AC574" w14:textId="77777777" w:rsidTr="00BF7F17">
        <w:tc>
          <w:tcPr>
            <w:tcW w:w="1271" w:type="dxa"/>
            <w:hideMark/>
          </w:tcPr>
          <w:p w14:paraId="14A42564"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CD4</w:t>
            </w:r>
          </w:p>
        </w:tc>
        <w:tc>
          <w:tcPr>
            <w:tcW w:w="1805" w:type="dxa"/>
            <w:hideMark/>
          </w:tcPr>
          <w:p w14:paraId="783B3AA7"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Lineage </w:t>
            </w:r>
          </w:p>
        </w:tc>
        <w:tc>
          <w:tcPr>
            <w:tcW w:w="888" w:type="dxa"/>
          </w:tcPr>
          <w:p w14:paraId="134603E5"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001018F9"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CD4⁺ T cell identification.</w:t>
            </w:r>
          </w:p>
        </w:tc>
      </w:tr>
      <w:tr w:rsidR="00FD567D" w:rsidRPr="00E401A5" w14:paraId="764F24DD" w14:textId="77777777" w:rsidTr="00BF7F17">
        <w:tc>
          <w:tcPr>
            <w:tcW w:w="1271" w:type="dxa"/>
            <w:hideMark/>
          </w:tcPr>
          <w:p w14:paraId="4095A113"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CD8a</w:t>
            </w:r>
          </w:p>
        </w:tc>
        <w:tc>
          <w:tcPr>
            <w:tcW w:w="1805" w:type="dxa"/>
            <w:hideMark/>
          </w:tcPr>
          <w:p w14:paraId="4751244C"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Lineage </w:t>
            </w:r>
          </w:p>
        </w:tc>
        <w:tc>
          <w:tcPr>
            <w:tcW w:w="888" w:type="dxa"/>
          </w:tcPr>
          <w:p w14:paraId="0EEA496F"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4D0FE849"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CD8⁺ T cell identification.</w:t>
            </w:r>
          </w:p>
        </w:tc>
      </w:tr>
      <w:tr w:rsidR="00FD567D" w:rsidRPr="00E401A5" w14:paraId="2A8A6246" w14:textId="77777777" w:rsidTr="00BF7F17">
        <w:tc>
          <w:tcPr>
            <w:tcW w:w="1271" w:type="dxa"/>
            <w:hideMark/>
          </w:tcPr>
          <w:p w14:paraId="55462526"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CD19</w:t>
            </w:r>
          </w:p>
        </w:tc>
        <w:tc>
          <w:tcPr>
            <w:tcW w:w="1805" w:type="dxa"/>
            <w:hideMark/>
          </w:tcPr>
          <w:p w14:paraId="7F0C0E2C"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Lineage </w:t>
            </w:r>
          </w:p>
        </w:tc>
        <w:tc>
          <w:tcPr>
            <w:tcW w:w="888" w:type="dxa"/>
          </w:tcPr>
          <w:p w14:paraId="0C88B95B"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743B85D6"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Pan–B cell marker.</w:t>
            </w:r>
          </w:p>
        </w:tc>
      </w:tr>
      <w:tr w:rsidR="00FD567D" w:rsidRPr="00E401A5" w14:paraId="0706ECE4" w14:textId="77777777" w:rsidTr="00BF7F17">
        <w:tc>
          <w:tcPr>
            <w:tcW w:w="1271" w:type="dxa"/>
            <w:hideMark/>
          </w:tcPr>
          <w:p w14:paraId="19E8D0C1"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CD20</w:t>
            </w:r>
          </w:p>
        </w:tc>
        <w:tc>
          <w:tcPr>
            <w:tcW w:w="1805" w:type="dxa"/>
            <w:hideMark/>
          </w:tcPr>
          <w:p w14:paraId="139D2DDE"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Lineage </w:t>
            </w:r>
          </w:p>
        </w:tc>
        <w:tc>
          <w:tcPr>
            <w:tcW w:w="888" w:type="dxa"/>
          </w:tcPr>
          <w:p w14:paraId="0FF56881"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54B6E1F2"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B cell marker used to distinguish mature B cell subsets.</w:t>
            </w:r>
          </w:p>
        </w:tc>
      </w:tr>
      <w:tr w:rsidR="00FD567D" w:rsidRPr="00E401A5" w14:paraId="0833750B" w14:textId="77777777" w:rsidTr="00BF7F17">
        <w:tc>
          <w:tcPr>
            <w:tcW w:w="1271" w:type="dxa"/>
            <w:hideMark/>
          </w:tcPr>
          <w:p w14:paraId="2FBA907D"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CD14</w:t>
            </w:r>
          </w:p>
        </w:tc>
        <w:tc>
          <w:tcPr>
            <w:tcW w:w="1805" w:type="dxa"/>
            <w:hideMark/>
          </w:tcPr>
          <w:p w14:paraId="2345E4F4"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Lineage </w:t>
            </w:r>
          </w:p>
        </w:tc>
        <w:tc>
          <w:tcPr>
            <w:tcW w:w="888" w:type="dxa"/>
          </w:tcPr>
          <w:p w14:paraId="4B6D1A70"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339C2490"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Classical monocyte marker.</w:t>
            </w:r>
          </w:p>
        </w:tc>
      </w:tr>
      <w:tr w:rsidR="00FD567D" w:rsidRPr="00E401A5" w14:paraId="283A5A7C" w14:textId="77777777" w:rsidTr="00BF7F17">
        <w:tc>
          <w:tcPr>
            <w:tcW w:w="1271" w:type="dxa"/>
            <w:hideMark/>
          </w:tcPr>
          <w:p w14:paraId="391DDA79"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CD16</w:t>
            </w:r>
          </w:p>
        </w:tc>
        <w:tc>
          <w:tcPr>
            <w:tcW w:w="1805" w:type="dxa"/>
            <w:hideMark/>
          </w:tcPr>
          <w:p w14:paraId="495325A1"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Lineage </w:t>
            </w:r>
          </w:p>
        </w:tc>
        <w:tc>
          <w:tcPr>
            <w:tcW w:w="888" w:type="dxa"/>
          </w:tcPr>
          <w:p w14:paraId="15D76AE1"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042C07F8"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Non-classical monocytes and NK-cell subset identification.</w:t>
            </w:r>
          </w:p>
        </w:tc>
      </w:tr>
      <w:tr w:rsidR="00FD567D" w:rsidRPr="00E401A5" w14:paraId="7A5CD9C1" w14:textId="77777777" w:rsidTr="00BF7F17">
        <w:tc>
          <w:tcPr>
            <w:tcW w:w="1271" w:type="dxa"/>
            <w:hideMark/>
          </w:tcPr>
          <w:p w14:paraId="61AE1306"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CD56</w:t>
            </w:r>
          </w:p>
        </w:tc>
        <w:tc>
          <w:tcPr>
            <w:tcW w:w="1805" w:type="dxa"/>
            <w:hideMark/>
          </w:tcPr>
          <w:p w14:paraId="6E1CAE0F"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Lineage </w:t>
            </w:r>
          </w:p>
        </w:tc>
        <w:tc>
          <w:tcPr>
            <w:tcW w:w="888" w:type="dxa"/>
          </w:tcPr>
          <w:p w14:paraId="5D4E7055"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25384286"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NK-cell identification and maturation states.</w:t>
            </w:r>
          </w:p>
        </w:tc>
      </w:tr>
      <w:tr w:rsidR="00FD567D" w:rsidRPr="00E401A5" w14:paraId="7C21B7C4" w14:textId="77777777" w:rsidTr="00BF7F17">
        <w:tc>
          <w:tcPr>
            <w:tcW w:w="1271" w:type="dxa"/>
            <w:hideMark/>
          </w:tcPr>
          <w:p w14:paraId="571AC177"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CD11c</w:t>
            </w:r>
          </w:p>
        </w:tc>
        <w:tc>
          <w:tcPr>
            <w:tcW w:w="1805" w:type="dxa"/>
            <w:hideMark/>
          </w:tcPr>
          <w:p w14:paraId="387CD1EA"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Lineage </w:t>
            </w:r>
          </w:p>
        </w:tc>
        <w:tc>
          <w:tcPr>
            <w:tcW w:w="888" w:type="dxa"/>
          </w:tcPr>
          <w:p w14:paraId="278DD620"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075C547B"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Myeloid dendritic cells and monocytes.</w:t>
            </w:r>
          </w:p>
        </w:tc>
      </w:tr>
      <w:tr w:rsidR="00FD567D" w:rsidRPr="00E401A5" w14:paraId="5092A041" w14:textId="77777777" w:rsidTr="00BF7F17">
        <w:tc>
          <w:tcPr>
            <w:tcW w:w="1271" w:type="dxa"/>
            <w:hideMark/>
          </w:tcPr>
          <w:p w14:paraId="3493C62D"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CD33</w:t>
            </w:r>
          </w:p>
        </w:tc>
        <w:tc>
          <w:tcPr>
            <w:tcW w:w="1805" w:type="dxa"/>
            <w:hideMark/>
          </w:tcPr>
          <w:p w14:paraId="24267C73"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Lineage </w:t>
            </w:r>
          </w:p>
        </w:tc>
        <w:tc>
          <w:tcPr>
            <w:tcW w:w="888" w:type="dxa"/>
          </w:tcPr>
          <w:p w14:paraId="738101EB"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373392C7"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Myeloid lineage marker.</w:t>
            </w:r>
          </w:p>
        </w:tc>
      </w:tr>
      <w:tr w:rsidR="00FD567D" w:rsidRPr="00E401A5" w14:paraId="0B6739E1" w14:textId="77777777" w:rsidTr="00BF7F17">
        <w:tc>
          <w:tcPr>
            <w:tcW w:w="1271" w:type="dxa"/>
            <w:hideMark/>
          </w:tcPr>
          <w:p w14:paraId="241AADCA"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CD123</w:t>
            </w:r>
          </w:p>
        </w:tc>
        <w:tc>
          <w:tcPr>
            <w:tcW w:w="1805" w:type="dxa"/>
            <w:hideMark/>
          </w:tcPr>
          <w:p w14:paraId="2E89DF7F"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Lineage </w:t>
            </w:r>
          </w:p>
        </w:tc>
        <w:tc>
          <w:tcPr>
            <w:tcW w:w="888" w:type="dxa"/>
          </w:tcPr>
          <w:p w14:paraId="7A4FDF0E"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652D06B5"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Plasmacytoid dendritic cell identification.</w:t>
            </w:r>
          </w:p>
        </w:tc>
      </w:tr>
      <w:tr w:rsidR="00FD567D" w:rsidRPr="00E401A5" w14:paraId="2FB701E5" w14:textId="77777777" w:rsidTr="00BF7F17">
        <w:tc>
          <w:tcPr>
            <w:tcW w:w="1271" w:type="dxa"/>
            <w:hideMark/>
          </w:tcPr>
          <w:p w14:paraId="12242457"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CD135 (FLT3)</w:t>
            </w:r>
          </w:p>
        </w:tc>
        <w:tc>
          <w:tcPr>
            <w:tcW w:w="1805" w:type="dxa"/>
            <w:hideMark/>
          </w:tcPr>
          <w:p w14:paraId="0F92C88B"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Lineage</w:t>
            </w:r>
          </w:p>
        </w:tc>
        <w:tc>
          <w:tcPr>
            <w:tcW w:w="888" w:type="dxa"/>
          </w:tcPr>
          <w:p w14:paraId="0D24330C"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No</w:t>
            </w:r>
          </w:p>
        </w:tc>
        <w:tc>
          <w:tcPr>
            <w:tcW w:w="5046" w:type="dxa"/>
            <w:hideMark/>
          </w:tcPr>
          <w:p w14:paraId="40C70FD4"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Dendritic cell progenitors and myeloid differentiation.</w:t>
            </w:r>
          </w:p>
        </w:tc>
      </w:tr>
      <w:tr w:rsidR="00FD567D" w:rsidRPr="00E401A5" w14:paraId="7BB8A5AD" w14:textId="77777777" w:rsidTr="00BF7F17">
        <w:tc>
          <w:tcPr>
            <w:tcW w:w="1271" w:type="dxa"/>
            <w:hideMark/>
          </w:tcPr>
          <w:p w14:paraId="1AD08BC8"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CD133</w:t>
            </w:r>
          </w:p>
        </w:tc>
        <w:tc>
          <w:tcPr>
            <w:tcW w:w="1805" w:type="dxa"/>
            <w:hideMark/>
          </w:tcPr>
          <w:p w14:paraId="4D8F261C"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Lineage</w:t>
            </w:r>
          </w:p>
        </w:tc>
        <w:tc>
          <w:tcPr>
            <w:tcW w:w="888" w:type="dxa"/>
          </w:tcPr>
          <w:p w14:paraId="07B5F1B1"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No</w:t>
            </w:r>
          </w:p>
        </w:tc>
        <w:tc>
          <w:tcPr>
            <w:tcW w:w="5046" w:type="dxa"/>
            <w:hideMark/>
          </w:tcPr>
          <w:p w14:paraId="6A05CDE4"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Progenitor/stem-like cell marker.</w:t>
            </w:r>
          </w:p>
        </w:tc>
      </w:tr>
      <w:tr w:rsidR="00FD567D" w:rsidRPr="00E401A5" w14:paraId="2C41DA3F" w14:textId="77777777" w:rsidTr="00BF7F17">
        <w:tc>
          <w:tcPr>
            <w:tcW w:w="1271" w:type="dxa"/>
            <w:hideMark/>
          </w:tcPr>
          <w:p w14:paraId="75B8D5BB"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CD34</w:t>
            </w:r>
          </w:p>
        </w:tc>
        <w:tc>
          <w:tcPr>
            <w:tcW w:w="1805" w:type="dxa"/>
            <w:hideMark/>
          </w:tcPr>
          <w:p w14:paraId="4EEC58C0"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Lineage</w:t>
            </w:r>
          </w:p>
        </w:tc>
        <w:tc>
          <w:tcPr>
            <w:tcW w:w="888" w:type="dxa"/>
          </w:tcPr>
          <w:p w14:paraId="5C15944A"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YES </w:t>
            </w:r>
          </w:p>
        </w:tc>
        <w:tc>
          <w:tcPr>
            <w:tcW w:w="5046" w:type="dxa"/>
            <w:hideMark/>
          </w:tcPr>
          <w:p w14:paraId="42E6D338"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Hematopoietic progenitor marker.</w:t>
            </w:r>
          </w:p>
        </w:tc>
      </w:tr>
      <w:tr w:rsidR="00FD567D" w:rsidRPr="00E401A5" w14:paraId="1391E712" w14:textId="77777777" w:rsidTr="00BF7F17">
        <w:tc>
          <w:tcPr>
            <w:tcW w:w="1271" w:type="dxa"/>
            <w:hideMark/>
          </w:tcPr>
          <w:p w14:paraId="755E60A0"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CD117 (c-KIT)</w:t>
            </w:r>
          </w:p>
        </w:tc>
        <w:tc>
          <w:tcPr>
            <w:tcW w:w="1805" w:type="dxa"/>
            <w:hideMark/>
          </w:tcPr>
          <w:p w14:paraId="40ADCDBD"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Lineage</w:t>
            </w:r>
          </w:p>
        </w:tc>
        <w:tc>
          <w:tcPr>
            <w:tcW w:w="888" w:type="dxa"/>
          </w:tcPr>
          <w:p w14:paraId="66BAAFFD"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No</w:t>
            </w:r>
          </w:p>
        </w:tc>
        <w:tc>
          <w:tcPr>
            <w:tcW w:w="5046" w:type="dxa"/>
            <w:hideMark/>
          </w:tcPr>
          <w:p w14:paraId="22FE5F11"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Myeloid and progenitor cell identification.</w:t>
            </w:r>
          </w:p>
        </w:tc>
      </w:tr>
      <w:tr w:rsidR="00FD567D" w:rsidRPr="00E401A5" w14:paraId="2CE4D224" w14:textId="77777777" w:rsidTr="00BF7F17">
        <w:tc>
          <w:tcPr>
            <w:tcW w:w="1271" w:type="dxa"/>
            <w:hideMark/>
          </w:tcPr>
          <w:p w14:paraId="5F5A537C"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CD105</w:t>
            </w:r>
          </w:p>
        </w:tc>
        <w:tc>
          <w:tcPr>
            <w:tcW w:w="1805" w:type="dxa"/>
            <w:hideMark/>
          </w:tcPr>
          <w:p w14:paraId="2741B3DC"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Lineage </w:t>
            </w:r>
          </w:p>
        </w:tc>
        <w:tc>
          <w:tcPr>
            <w:tcW w:w="888" w:type="dxa"/>
          </w:tcPr>
          <w:p w14:paraId="1E9DC369"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No</w:t>
            </w:r>
          </w:p>
        </w:tc>
        <w:tc>
          <w:tcPr>
            <w:tcW w:w="5046" w:type="dxa"/>
            <w:hideMark/>
          </w:tcPr>
          <w:p w14:paraId="255E475F"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Endothelial/stromal-associated marker, MSC-related contexts.</w:t>
            </w:r>
          </w:p>
        </w:tc>
      </w:tr>
      <w:tr w:rsidR="00FD567D" w:rsidRPr="00E401A5" w14:paraId="1ED3B653" w14:textId="77777777" w:rsidTr="00BF7F17">
        <w:tc>
          <w:tcPr>
            <w:tcW w:w="1271" w:type="dxa"/>
            <w:hideMark/>
          </w:tcPr>
          <w:p w14:paraId="615E859E"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CD90</w:t>
            </w:r>
          </w:p>
        </w:tc>
        <w:tc>
          <w:tcPr>
            <w:tcW w:w="1805" w:type="dxa"/>
            <w:hideMark/>
          </w:tcPr>
          <w:p w14:paraId="0238F6BD"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Lineage </w:t>
            </w:r>
          </w:p>
        </w:tc>
        <w:tc>
          <w:tcPr>
            <w:tcW w:w="888" w:type="dxa"/>
          </w:tcPr>
          <w:p w14:paraId="5E5E5932"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No </w:t>
            </w:r>
          </w:p>
        </w:tc>
        <w:tc>
          <w:tcPr>
            <w:tcW w:w="5046" w:type="dxa"/>
            <w:hideMark/>
          </w:tcPr>
          <w:p w14:paraId="6490B745"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Stem-like and stromal-associated marker.</w:t>
            </w:r>
          </w:p>
        </w:tc>
      </w:tr>
      <w:tr w:rsidR="00FD567D" w:rsidRPr="00E401A5" w14:paraId="68C9AEA6" w14:textId="77777777" w:rsidTr="00BF7F17">
        <w:tc>
          <w:tcPr>
            <w:tcW w:w="1271" w:type="dxa"/>
            <w:hideMark/>
          </w:tcPr>
          <w:p w14:paraId="3B0642FA"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CD45RA</w:t>
            </w:r>
          </w:p>
        </w:tc>
        <w:tc>
          <w:tcPr>
            <w:tcW w:w="1805" w:type="dxa"/>
            <w:hideMark/>
          </w:tcPr>
          <w:p w14:paraId="7A444CD4"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Differentiation </w:t>
            </w:r>
          </w:p>
        </w:tc>
        <w:tc>
          <w:tcPr>
            <w:tcW w:w="888" w:type="dxa"/>
          </w:tcPr>
          <w:p w14:paraId="29446351"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3FA2EF78"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Naïve T cell marker.</w:t>
            </w:r>
          </w:p>
        </w:tc>
      </w:tr>
      <w:tr w:rsidR="00FD567D" w:rsidRPr="00E401A5" w14:paraId="1B581901" w14:textId="77777777" w:rsidTr="00BF7F17">
        <w:tc>
          <w:tcPr>
            <w:tcW w:w="1271" w:type="dxa"/>
            <w:hideMark/>
          </w:tcPr>
          <w:p w14:paraId="1C3E1144"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CD45RO</w:t>
            </w:r>
          </w:p>
        </w:tc>
        <w:tc>
          <w:tcPr>
            <w:tcW w:w="1805" w:type="dxa"/>
            <w:hideMark/>
          </w:tcPr>
          <w:p w14:paraId="142913F4"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Differentiation </w:t>
            </w:r>
          </w:p>
        </w:tc>
        <w:tc>
          <w:tcPr>
            <w:tcW w:w="888" w:type="dxa"/>
          </w:tcPr>
          <w:p w14:paraId="06EF3E9A"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23414DF3"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Memory T cell marker.</w:t>
            </w:r>
          </w:p>
        </w:tc>
      </w:tr>
      <w:tr w:rsidR="00FD567D" w:rsidRPr="00E401A5" w14:paraId="52C8AFE0" w14:textId="77777777" w:rsidTr="00BF7F17">
        <w:tc>
          <w:tcPr>
            <w:tcW w:w="1271" w:type="dxa"/>
            <w:hideMark/>
          </w:tcPr>
          <w:p w14:paraId="1DC3F7E8"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CD27</w:t>
            </w:r>
          </w:p>
        </w:tc>
        <w:tc>
          <w:tcPr>
            <w:tcW w:w="1805" w:type="dxa"/>
            <w:hideMark/>
          </w:tcPr>
          <w:p w14:paraId="020A5022"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Differentiation </w:t>
            </w:r>
          </w:p>
        </w:tc>
        <w:tc>
          <w:tcPr>
            <w:tcW w:w="888" w:type="dxa"/>
          </w:tcPr>
          <w:p w14:paraId="60B0DB73"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7BDFC655"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Memory and activation marker on T and B cells.</w:t>
            </w:r>
          </w:p>
        </w:tc>
      </w:tr>
      <w:tr w:rsidR="00FD567D" w:rsidRPr="00E401A5" w14:paraId="1C3D54D4" w14:textId="77777777" w:rsidTr="00BF7F17">
        <w:tc>
          <w:tcPr>
            <w:tcW w:w="1271" w:type="dxa"/>
            <w:hideMark/>
          </w:tcPr>
          <w:p w14:paraId="78100E19"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CD10</w:t>
            </w:r>
          </w:p>
        </w:tc>
        <w:tc>
          <w:tcPr>
            <w:tcW w:w="1805" w:type="dxa"/>
            <w:hideMark/>
          </w:tcPr>
          <w:p w14:paraId="1AF9BA3D"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Differentiation</w:t>
            </w:r>
          </w:p>
        </w:tc>
        <w:tc>
          <w:tcPr>
            <w:tcW w:w="888" w:type="dxa"/>
          </w:tcPr>
          <w:p w14:paraId="796A71E0"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No</w:t>
            </w:r>
          </w:p>
        </w:tc>
        <w:tc>
          <w:tcPr>
            <w:tcW w:w="5046" w:type="dxa"/>
            <w:hideMark/>
          </w:tcPr>
          <w:p w14:paraId="039F95AA"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Naïve and transitional B cell marker.</w:t>
            </w:r>
          </w:p>
        </w:tc>
      </w:tr>
      <w:tr w:rsidR="00FD567D" w:rsidRPr="00E401A5" w14:paraId="41C6DC36" w14:textId="77777777" w:rsidTr="00BF7F17">
        <w:tc>
          <w:tcPr>
            <w:tcW w:w="1271" w:type="dxa"/>
            <w:hideMark/>
          </w:tcPr>
          <w:p w14:paraId="77EC1A16"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CD38</w:t>
            </w:r>
          </w:p>
        </w:tc>
        <w:tc>
          <w:tcPr>
            <w:tcW w:w="1805" w:type="dxa"/>
            <w:hideMark/>
          </w:tcPr>
          <w:p w14:paraId="37B1AC5D"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Activation </w:t>
            </w:r>
          </w:p>
        </w:tc>
        <w:tc>
          <w:tcPr>
            <w:tcW w:w="888" w:type="dxa"/>
          </w:tcPr>
          <w:p w14:paraId="362E34B1"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25A83A07"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Activation and differentiation marker across lymphoid and myeloid cells.</w:t>
            </w:r>
          </w:p>
        </w:tc>
      </w:tr>
      <w:tr w:rsidR="00FD567D" w:rsidRPr="00E401A5" w14:paraId="3F619AE9" w14:textId="77777777" w:rsidTr="00BF7F17">
        <w:tc>
          <w:tcPr>
            <w:tcW w:w="1271" w:type="dxa"/>
            <w:hideMark/>
          </w:tcPr>
          <w:p w14:paraId="04FAC9E7"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HLA-DR</w:t>
            </w:r>
          </w:p>
        </w:tc>
        <w:tc>
          <w:tcPr>
            <w:tcW w:w="1805" w:type="dxa"/>
            <w:hideMark/>
          </w:tcPr>
          <w:p w14:paraId="242064EF"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Activation </w:t>
            </w:r>
          </w:p>
        </w:tc>
        <w:tc>
          <w:tcPr>
            <w:tcW w:w="888" w:type="dxa"/>
          </w:tcPr>
          <w:p w14:paraId="09CCD947"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12B831F7"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Antigen presentation and immune activation marker.</w:t>
            </w:r>
          </w:p>
        </w:tc>
      </w:tr>
      <w:tr w:rsidR="00FD567D" w:rsidRPr="00E401A5" w14:paraId="29C976B9" w14:textId="77777777" w:rsidTr="00BF7F17">
        <w:tc>
          <w:tcPr>
            <w:tcW w:w="1271" w:type="dxa"/>
            <w:hideMark/>
          </w:tcPr>
          <w:p w14:paraId="1E80AFBE"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CD25 (IL-2Rα)</w:t>
            </w:r>
          </w:p>
        </w:tc>
        <w:tc>
          <w:tcPr>
            <w:tcW w:w="1805" w:type="dxa"/>
            <w:hideMark/>
          </w:tcPr>
          <w:p w14:paraId="49E2D05C"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Functional </w:t>
            </w:r>
          </w:p>
        </w:tc>
        <w:tc>
          <w:tcPr>
            <w:tcW w:w="888" w:type="dxa"/>
          </w:tcPr>
          <w:p w14:paraId="1D602613"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0CA179C7"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T cell activation and regulatory T cell–associated marker.</w:t>
            </w:r>
          </w:p>
        </w:tc>
      </w:tr>
      <w:tr w:rsidR="00FD567D" w:rsidRPr="00E401A5" w14:paraId="345F2C70" w14:textId="77777777" w:rsidTr="00BF7F17">
        <w:tc>
          <w:tcPr>
            <w:tcW w:w="1271" w:type="dxa"/>
            <w:hideMark/>
          </w:tcPr>
          <w:p w14:paraId="30DC7039"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CD127 (IL-7Rα)</w:t>
            </w:r>
          </w:p>
        </w:tc>
        <w:tc>
          <w:tcPr>
            <w:tcW w:w="1805" w:type="dxa"/>
            <w:hideMark/>
          </w:tcPr>
          <w:p w14:paraId="13CA0C75"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Functional </w:t>
            </w:r>
          </w:p>
        </w:tc>
        <w:tc>
          <w:tcPr>
            <w:tcW w:w="888" w:type="dxa"/>
          </w:tcPr>
          <w:p w14:paraId="494C9E80"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YES</w:t>
            </w:r>
          </w:p>
        </w:tc>
        <w:tc>
          <w:tcPr>
            <w:tcW w:w="5046" w:type="dxa"/>
            <w:hideMark/>
          </w:tcPr>
          <w:p w14:paraId="1B695E9B"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Inversely associated with regulatory T cell phenotype.</w:t>
            </w:r>
          </w:p>
        </w:tc>
      </w:tr>
      <w:tr w:rsidR="00FD567D" w:rsidRPr="00E401A5" w14:paraId="32F2DE4F" w14:textId="77777777" w:rsidTr="00BF7F17">
        <w:tc>
          <w:tcPr>
            <w:tcW w:w="1271" w:type="dxa"/>
            <w:hideMark/>
          </w:tcPr>
          <w:p w14:paraId="42388D25"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CD73</w:t>
            </w:r>
          </w:p>
        </w:tc>
        <w:tc>
          <w:tcPr>
            <w:tcW w:w="1805" w:type="dxa"/>
            <w:hideMark/>
          </w:tcPr>
          <w:p w14:paraId="0E8B90B9"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Functional </w:t>
            </w:r>
          </w:p>
        </w:tc>
        <w:tc>
          <w:tcPr>
            <w:tcW w:w="888" w:type="dxa"/>
          </w:tcPr>
          <w:p w14:paraId="1B3BB93D"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No</w:t>
            </w:r>
          </w:p>
        </w:tc>
        <w:tc>
          <w:tcPr>
            <w:tcW w:w="5046" w:type="dxa"/>
            <w:hideMark/>
          </w:tcPr>
          <w:p w14:paraId="5D3E1D32"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Immunoregulatory and metabolic marker (adenosine pathway).</w:t>
            </w:r>
          </w:p>
        </w:tc>
      </w:tr>
      <w:tr w:rsidR="00FD567D" w:rsidRPr="00E401A5" w14:paraId="66BF964C" w14:textId="77777777" w:rsidTr="00BF7F17">
        <w:tc>
          <w:tcPr>
            <w:tcW w:w="1271" w:type="dxa"/>
            <w:hideMark/>
          </w:tcPr>
          <w:p w14:paraId="2A4739B1"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CD278 (ICOS)</w:t>
            </w:r>
          </w:p>
        </w:tc>
        <w:tc>
          <w:tcPr>
            <w:tcW w:w="1805" w:type="dxa"/>
            <w:hideMark/>
          </w:tcPr>
          <w:p w14:paraId="097D0F99"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Functional </w:t>
            </w:r>
          </w:p>
        </w:tc>
        <w:tc>
          <w:tcPr>
            <w:tcW w:w="888" w:type="dxa"/>
          </w:tcPr>
          <w:p w14:paraId="1DCC2153"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No</w:t>
            </w:r>
          </w:p>
        </w:tc>
        <w:tc>
          <w:tcPr>
            <w:tcW w:w="5046" w:type="dxa"/>
            <w:hideMark/>
          </w:tcPr>
          <w:p w14:paraId="3B271E3B"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T cell activation and co-stimulation marker.</w:t>
            </w:r>
          </w:p>
        </w:tc>
      </w:tr>
      <w:tr w:rsidR="00FD567D" w:rsidRPr="00E401A5" w14:paraId="1A350307" w14:textId="77777777" w:rsidTr="00BF7F17">
        <w:tc>
          <w:tcPr>
            <w:tcW w:w="1271" w:type="dxa"/>
            <w:hideMark/>
          </w:tcPr>
          <w:p w14:paraId="5EF5CBC8"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CD44</w:t>
            </w:r>
          </w:p>
        </w:tc>
        <w:tc>
          <w:tcPr>
            <w:tcW w:w="1805" w:type="dxa"/>
            <w:hideMark/>
          </w:tcPr>
          <w:p w14:paraId="1697A042"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Functional</w:t>
            </w:r>
          </w:p>
        </w:tc>
        <w:tc>
          <w:tcPr>
            <w:tcW w:w="888" w:type="dxa"/>
          </w:tcPr>
          <w:p w14:paraId="51EBCD55"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No </w:t>
            </w:r>
          </w:p>
        </w:tc>
        <w:tc>
          <w:tcPr>
            <w:tcW w:w="5046" w:type="dxa"/>
            <w:hideMark/>
          </w:tcPr>
          <w:p w14:paraId="5E31090C"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Activation, memory, and tissue trafficking marker.</w:t>
            </w:r>
          </w:p>
        </w:tc>
      </w:tr>
      <w:tr w:rsidR="00FD567D" w:rsidRPr="00E401A5" w14:paraId="2A0D8D3B" w14:textId="77777777" w:rsidTr="00BF7F17">
        <w:tc>
          <w:tcPr>
            <w:tcW w:w="1271" w:type="dxa"/>
            <w:hideMark/>
          </w:tcPr>
          <w:p w14:paraId="7EC1EC12"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CD161</w:t>
            </w:r>
          </w:p>
        </w:tc>
        <w:tc>
          <w:tcPr>
            <w:tcW w:w="1805" w:type="dxa"/>
            <w:hideMark/>
          </w:tcPr>
          <w:p w14:paraId="708A6825"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Functional</w:t>
            </w:r>
          </w:p>
        </w:tc>
        <w:tc>
          <w:tcPr>
            <w:tcW w:w="888" w:type="dxa"/>
          </w:tcPr>
          <w:p w14:paraId="08CA4C28"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No </w:t>
            </w:r>
          </w:p>
        </w:tc>
        <w:tc>
          <w:tcPr>
            <w:tcW w:w="5046" w:type="dxa"/>
            <w:hideMark/>
          </w:tcPr>
          <w:p w14:paraId="53D83F9F"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Th17-associated and innate-like lymphocyte marker.</w:t>
            </w:r>
          </w:p>
        </w:tc>
      </w:tr>
      <w:tr w:rsidR="00FD567D" w:rsidRPr="00E401A5" w14:paraId="6ACE28C8" w14:textId="77777777" w:rsidTr="00BF7F17">
        <w:tc>
          <w:tcPr>
            <w:tcW w:w="1271" w:type="dxa"/>
            <w:hideMark/>
          </w:tcPr>
          <w:p w14:paraId="64EFDB6F"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CD196 (CCR6)</w:t>
            </w:r>
          </w:p>
        </w:tc>
        <w:tc>
          <w:tcPr>
            <w:tcW w:w="1805" w:type="dxa"/>
            <w:hideMark/>
          </w:tcPr>
          <w:p w14:paraId="60C22AB5"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Functional &amp; migratory</w:t>
            </w:r>
          </w:p>
        </w:tc>
        <w:tc>
          <w:tcPr>
            <w:tcW w:w="888" w:type="dxa"/>
          </w:tcPr>
          <w:p w14:paraId="13ED457D"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No </w:t>
            </w:r>
          </w:p>
        </w:tc>
        <w:tc>
          <w:tcPr>
            <w:tcW w:w="5046" w:type="dxa"/>
            <w:hideMark/>
          </w:tcPr>
          <w:p w14:paraId="108F76D3"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Th17-associated chemokine receptor.</w:t>
            </w:r>
          </w:p>
        </w:tc>
      </w:tr>
      <w:tr w:rsidR="00FD567D" w:rsidRPr="00E401A5" w14:paraId="0D519B06" w14:textId="77777777" w:rsidTr="00BF7F17">
        <w:tc>
          <w:tcPr>
            <w:tcW w:w="1271" w:type="dxa"/>
            <w:hideMark/>
          </w:tcPr>
          <w:p w14:paraId="01FF8057"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CD194 (CCR4)</w:t>
            </w:r>
          </w:p>
        </w:tc>
        <w:tc>
          <w:tcPr>
            <w:tcW w:w="1805" w:type="dxa"/>
            <w:hideMark/>
          </w:tcPr>
          <w:p w14:paraId="41EB2A80"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Functional &amp; migratory</w:t>
            </w:r>
          </w:p>
        </w:tc>
        <w:tc>
          <w:tcPr>
            <w:tcW w:w="888" w:type="dxa"/>
          </w:tcPr>
          <w:p w14:paraId="75CA405F"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No </w:t>
            </w:r>
          </w:p>
        </w:tc>
        <w:tc>
          <w:tcPr>
            <w:tcW w:w="5046" w:type="dxa"/>
            <w:hideMark/>
          </w:tcPr>
          <w:p w14:paraId="6B14857A"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T cell homing and inflammatory trafficking marker.</w:t>
            </w:r>
          </w:p>
        </w:tc>
      </w:tr>
      <w:tr w:rsidR="00FD567D" w:rsidRPr="00E401A5" w14:paraId="2C578F8F" w14:textId="77777777" w:rsidTr="00BF7F17">
        <w:tc>
          <w:tcPr>
            <w:tcW w:w="1271" w:type="dxa"/>
            <w:hideMark/>
          </w:tcPr>
          <w:p w14:paraId="0EB4F8D8"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CD195 (CCR5)</w:t>
            </w:r>
          </w:p>
        </w:tc>
        <w:tc>
          <w:tcPr>
            <w:tcW w:w="1805" w:type="dxa"/>
            <w:hideMark/>
          </w:tcPr>
          <w:p w14:paraId="4FBB2AC5"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Functional &amp; migratory</w:t>
            </w:r>
          </w:p>
        </w:tc>
        <w:tc>
          <w:tcPr>
            <w:tcW w:w="888" w:type="dxa"/>
          </w:tcPr>
          <w:p w14:paraId="5A649929"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No </w:t>
            </w:r>
          </w:p>
        </w:tc>
        <w:tc>
          <w:tcPr>
            <w:tcW w:w="5046" w:type="dxa"/>
            <w:hideMark/>
          </w:tcPr>
          <w:p w14:paraId="6054B2AD"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Inflammatory and CNS-homing–associated receptor.</w:t>
            </w:r>
          </w:p>
        </w:tc>
      </w:tr>
      <w:tr w:rsidR="00FD567D" w:rsidRPr="00E401A5" w14:paraId="6D443578" w14:textId="77777777" w:rsidTr="00BF7F17">
        <w:tc>
          <w:tcPr>
            <w:tcW w:w="1271" w:type="dxa"/>
            <w:hideMark/>
          </w:tcPr>
          <w:p w14:paraId="362B2C54"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CD184 (CXCR4)</w:t>
            </w:r>
          </w:p>
        </w:tc>
        <w:tc>
          <w:tcPr>
            <w:tcW w:w="1805" w:type="dxa"/>
            <w:hideMark/>
          </w:tcPr>
          <w:p w14:paraId="31506204"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Functional &amp; migratory</w:t>
            </w:r>
          </w:p>
        </w:tc>
        <w:tc>
          <w:tcPr>
            <w:tcW w:w="888" w:type="dxa"/>
          </w:tcPr>
          <w:p w14:paraId="73CD0293"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No </w:t>
            </w:r>
          </w:p>
        </w:tc>
        <w:tc>
          <w:tcPr>
            <w:tcW w:w="5046" w:type="dxa"/>
            <w:hideMark/>
          </w:tcPr>
          <w:p w14:paraId="1AE8BA6A"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Bone marrow and CNS homing, cell migration.</w:t>
            </w:r>
          </w:p>
        </w:tc>
      </w:tr>
      <w:tr w:rsidR="00FD567D" w:rsidRPr="00E401A5" w14:paraId="12477E5B" w14:textId="77777777" w:rsidTr="00BF7F17">
        <w:tc>
          <w:tcPr>
            <w:tcW w:w="1271" w:type="dxa"/>
            <w:hideMark/>
          </w:tcPr>
          <w:p w14:paraId="6CC428F0"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CD185 (CXCR5)</w:t>
            </w:r>
          </w:p>
        </w:tc>
        <w:tc>
          <w:tcPr>
            <w:tcW w:w="1805" w:type="dxa"/>
            <w:hideMark/>
          </w:tcPr>
          <w:p w14:paraId="3C63720E"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Functional &amp; migratory</w:t>
            </w:r>
          </w:p>
        </w:tc>
        <w:tc>
          <w:tcPr>
            <w:tcW w:w="888" w:type="dxa"/>
          </w:tcPr>
          <w:p w14:paraId="4E1B4818"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No </w:t>
            </w:r>
          </w:p>
        </w:tc>
        <w:tc>
          <w:tcPr>
            <w:tcW w:w="5046" w:type="dxa"/>
            <w:hideMark/>
          </w:tcPr>
          <w:p w14:paraId="07A9A5BA"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B cell follicular homing and </w:t>
            </w:r>
            <w:proofErr w:type="spellStart"/>
            <w:r w:rsidRPr="00E401A5">
              <w:rPr>
                <w:rFonts w:ascii="Calibri" w:hAnsi="Calibri" w:cs="Calibri"/>
                <w:sz w:val="16"/>
                <w:szCs w:val="16"/>
                <w:lang w:val="en-GB"/>
              </w:rPr>
              <w:t>Tfh</w:t>
            </w:r>
            <w:proofErr w:type="spellEnd"/>
            <w:r w:rsidRPr="00E401A5">
              <w:rPr>
                <w:rFonts w:ascii="Calibri" w:hAnsi="Calibri" w:cs="Calibri"/>
                <w:sz w:val="16"/>
                <w:szCs w:val="16"/>
                <w:lang w:val="en-GB"/>
              </w:rPr>
              <w:t>-related marker.</w:t>
            </w:r>
          </w:p>
        </w:tc>
      </w:tr>
      <w:tr w:rsidR="00FD567D" w:rsidRPr="00E401A5" w14:paraId="1C5632B1" w14:textId="77777777" w:rsidTr="00BF7F17">
        <w:tc>
          <w:tcPr>
            <w:tcW w:w="1271" w:type="dxa"/>
            <w:hideMark/>
          </w:tcPr>
          <w:p w14:paraId="5BC71BDC"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CD49d (VLA-4)</w:t>
            </w:r>
          </w:p>
        </w:tc>
        <w:tc>
          <w:tcPr>
            <w:tcW w:w="1805" w:type="dxa"/>
            <w:hideMark/>
          </w:tcPr>
          <w:p w14:paraId="0084A69C"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Functional &amp; migratory</w:t>
            </w:r>
          </w:p>
        </w:tc>
        <w:tc>
          <w:tcPr>
            <w:tcW w:w="888" w:type="dxa"/>
          </w:tcPr>
          <w:p w14:paraId="7BF8606C"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No </w:t>
            </w:r>
          </w:p>
        </w:tc>
        <w:tc>
          <w:tcPr>
            <w:tcW w:w="5046" w:type="dxa"/>
            <w:hideMark/>
          </w:tcPr>
          <w:p w14:paraId="02980075"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CNS and endothelial adhesion; MS-relevant trafficking marker.</w:t>
            </w:r>
          </w:p>
        </w:tc>
      </w:tr>
      <w:tr w:rsidR="00FD567D" w:rsidRPr="00E401A5" w14:paraId="4FD67619" w14:textId="77777777" w:rsidTr="00BF7F17">
        <w:tc>
          <w:tcPr>
            <w:tcW w:w="1271" w:type="dxa"/>
            <w:hideMark/>
          </w:tcPr>
          <w:p w14:paraId="31E36DE5"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CD49f</w:t>
            </w:r>
          </w:p>
        </w:tc>
        <w:tc>
          <w:tcPr>
            <w:tcW w:w="1805" w:type="dxa"/>
            <w:hideMark/>
          </w:tcPr>
          <w:p w14:paraId="7CFBC081"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Functional &amp; migratory</w:t>
            </w:r>
          </w:p>
        </w:tc>
        <w:tc>
          <w:tcPr>
            <w:tcW w:w="888" w:type="dxa"/>
          </w:tcPr>
          <w:p w14:paraId="61151EA8"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No </w:t>
            </w:r>
          </w:p>
        </w:tc>
        <w:tc>
          <w:tcPr>
            <w:tcW w:w="5046" w:type="dxa"/>
            <w:hideMark/>
          </w:tcPr>
          <w:p w14:paraId="0245EE5F"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Integrin involved in tissue adhesion and migration.</w:t>
            </w:r>
          </w:p>
        </w:tc>
      </w:tr>
      <w:tr w:rsidR="00FD567D" w:rsidRPr="00E401A5" w14:paraId="7963D51F" w14:textId="77777777" w:rsidTr="00BF7F17">
        <w:tc>
          <w:tcPr>
            <w:tcW w:w="1271" w:type="dxa"/>
            <w:hideMark/>
          </w:tcPr>
          <w:p w14:paraId="717D70C7"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CD162 (PSGL-1)</w:t>
            </w:r>
          </w:p>
        </w:tc>
        <w:tc>
          <w:tcPr>
            <w:tcW w:w="1805" w:type="dxa"/>
            <w:hideMark/>
          </w:tcPr>
          <w:p w14:paraId="745C6F03"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Functional &amp; migratory</w:t>
            </w:r>
          </w:p>
        </w:tc>
        <w:tc>
          <w:tcPr>
            <w:tcW w:w="888" w:type="dxa"/>
          </w:tcPr>
          <w:p w14:paraId="191BB583"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No </w:t>
            </w:r>
          </w:p>
        </w:tc>
        <w:tc>
          <w:tcPr>
            <w:tcW w:w="5046" w:type="dxa"/>
            <w:hideMark/>
          </w:tcPr>
          <w:p w14:paraId="570F19F6"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Leukocyte rolling and vascular adhesion.</w:t>
            </w:r>
          </w:p>
        </w:tc>
      </w:tr>
      <w:tr w:rsidR="00FD567D" w:rsidRPr="00E401A5" w14:paraId="74925823" w14:textId="77777777" w:rsidTr="00BF7F17">
        <w:tc>
          <w:tcPr>
            <w:tcW w:w="1271" w:type="dxa"/>
            <w:hideMark/>
          </w:tcPr>
          <w:p w14:paraId="05F3EF8A" w14:textId="77777777" w:rsidR="00FD567D" w:rsidRPr="00E401A5" w:rsidRDefault="00FD567D" w:rsidP="00BF7F17">
            <w:pPr>
              <w:rPr>
                <w:rFonts w:ascii="Calibri" w:hAnsi="Calibri" w:cs="Calibri"/>
                <w:sz w:val="16"/>
                <w:szCs w:val="16"/>
                <w:lang w:val="en-GB"/>
              </w:rPr>
            </w:pPr>
            <w:r w:rsidRPr="00E401A5">
              <w:rPr>
                <w:rStyle w:val="Strong"/>
                <w:rFonts w:ascii="Calibri" w:eastAsiaTheme="majorEastAsia" w:hAnsi="Calibri" w:cs="Calibri"/>
                <w:sz w:val="16"/>
                <w:szCs w:val="16"/>
                <w:lang w:val="en-GB"/>
              </w:rPr>
              <w:t>CD146</w:t>
            </w:r>
          </w:p>
        </w:tc>
        <w:tc>
          <w:tcPr>
            <w:tcW w:w="1805" w:type="dxa"/>
            <w:hideMark/>
          </w:tcPr>
          <w:p w14:paraId="7A393C8C"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Functional &amp; migratory</w:t>
            </w:r>
          </w:p>
        </w:tc>
        <w:tc>
          <w:tcPr>
            <w:tcW w:w="888" w:type="dxa"/>
          </w:tcPr>
          <w:p w14:paraId="00D4C8A4"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 xml:space="preserve">No </w:t>
            </w:r>
          </w:p>
        </w:tc>
        <w:tc>
          <w:tcPr>
            <w:tcW w:w="5046" w:type="dxa"/>
            <w:hideMark/>
          </w:tcPr>
          <w:p w14:paraId="7E21DFC4" w14:textId="77777777" w:rsidR="00FD567D" w:rsidRPr="00E401A5" w:rsidRDefault="00FD567D" w:rsidP="00BF7F17">
            <w:pPr>
              <w:rPr>
                <w:rFonts w:ascii="Calibri" w:hAnsi="Calibri" w:cs="Calibri"/>
                <w:sz w:val="16"/>
                <w:szCs w:val="16"/>
                <w:lang w:val="en-GB"/>
              </w:rPr>
            </w:pPr>
            <w:r w:rsidRPr="00E401A5">
              <w:rPr>
                <w:rFonts w:ascii="Calibri" w:hAnsi="Calibri" w:cs="Calibri"/>
                <w:sz w:val="16"/>
                <w:szCs w:val="16"/>
                <w:lang w:val="en-GB"/>
              </w:rPr>
              <w:t>Endothelial interaction and CNS migration marker.</w:t>
            </w:r>
          </w:p>
        </w:tc>
      </w:tr>
    </w:tbl>
    <w:p w14:paraId="2D4C3EB6" w14:textId="77777777" w:rsidR="00FD567D" w:rsidRPr="00E401A5" w:rsidRDefault="00FD567D" w:rsidP="00FD567D">
      <w:pPr>
        <w:jc w:val="both"/>
        <w:rPr>
          <w:rFonts w:ascii="Calibri" w:hAnsi="Calibri" w:cs="Calibri"/>
          <w:b/>
          <w:bCs/>
          <w:lang w:val="en-GB"/>
        </w:rPr>
      </w:pPr>
    </w:p>
    <w:p w14:paraId="405C692B" w14:textId="77777777" w:rsidR="00FD567D" w:rsidRDefault="00FD567D" w:rsidP="00FD567D">
      <w:pPr>
        <w:jc w:val="both"/>
        <w:rPr>
          <w:rFonts w:ascii="Calibri" w:hAnsi="Calibri" w:cs="Calibri"/>
          <w:b/>
          <w:bCs/>
          <w:lang w:val="en-GB"/>
        </w:rPr>
      </w:pPr>
    </w:p>
    <w:p w14:paraId="0D41190F" w14:textId="77777777" w:rsidR="00845B57" w:rsidRDefault="00845B57" w:rsidP="00FD567D">
      <w:pPr>
        <w:jc w:val="both"/>
        <w:rPr>
          <w:rFonts w:ascii="Calibri" w:hAnsi="Calibri" w:cs="Calibri"/>
          <w:b/>
          <w:bCs/>
          <w:lang w:val="en-GB"/>
        </w:rPr>
      </w:pPr>
    </w:p>
    <w:p w14:paraId="14C22398" w14:textId="0BC5DA82" w:rsidR="00FD567D" w:rsidRPr="00E401A5" w:rsidRDefault="00FD567D" w:rsidP="00FD567D">
      <w:pPr>
        <w:jc w:val="both"/>
        <w:rPr>
          <w:rFonts w:ascii="Calibri" w:hAnsi="Calibri" w:cs="Calibri"/>
          <w:b/>
          <w:bCs/>
          <w:lang w:val="en-GB"/>
        </w:rPr>
      </w:pPr>
      <w:r w:rsidRPr="00E401A5">
        <w:rPr>
          <w:rFonts w:ascii="Calibri" w:hAnsi="Calibri" w:cs="Calibri"/>
          <w:b/>
          <w:bCs/>
          <w:lang w:val="en-GB"/>
        </w:rPr>
        <w:lastRenderedPageBreak/>
        <w:t>SUPPLEMENTARY TABLE 2</w:t>
      </w:r>
    </w:p>
    <w:p w14:paraId="76DC30DF" w14:textId="77777777" w:rsidR="00FD567D" w:rsidRPr="00E401A5" w:rsidRDefault="00FD567D" w:rsidP="00FD567D">
      <w:pPr>
        <w:jc w:val="both"/>
        <w:rPr>
          <w:rFonts w:ascii="Calibri" w:hAnsi="Calibri" w:cs="Calibri"/>
          <w:b/>
          <w:bCs/>
          <w:sz w:val="20"/>
          <w:szCs w:val="20"/>
          <w:lang w:val="en-GB"/>
        </w:rPr>
      </w:pPr>
      <w:r w:rsidRPr="00E401A5">
        <w:rPr>
          <w:rFonts w:ascii="Calibri" w:hAnsi="Calibri" w:cs="Calibri"/>
          <w:sz w:val="20"/>
          <w:szCs w:val="20"/>
          <w:lang w:val="en-GB"/>
        </w:rPr>
        <w:t>Selected CSF proteins from differential abundance analysis following intrathecal MSC treatment. Columns report protein identity, functional annotation, MSC-associated effect size, statistical significance (p value and FDR), and classification as potential technical contamination (blood- or epithelial-derived).</w:t>
      </w:r>
    </w:p>
    <w:p w14:paraId="784BC3C2" w14:textId="77777777" w:rsidR="00FD567D" w:rsidRPr="00E401A5" w:rsidRDefault="00FD567D" w:rsidP="00FD567D">
      <w:pPr>
        <w:jc w:val="both"/>
        <w:rPr>
          <w:rFonts w:ascii="Calibri" w:hAnsi="Calibri" w:cs="Calibri"/>
          <w:b/>
          <w:bCs/>
          <w:lang w:val="en-GB"/>
        </w:rPr>
      </w:pPr>
    </w:p>
    <w:tbl>
      <w:tblPr>
        <w:tblW w:w="5000" w:type="pct"/>
        <w:tblLayout w:type="fixed"/>
        <w:tblLook w:val="04A0" w:firstRow="1" w:lastRow="0" w:firstColumn="1" w:lastColumn="0" w:noHBand="0" w:noVBand="1"/>
      </w:tblPr>
      <w:tblGrid>
        <w:gridCol w:w="841"/>
        <w:gridCol w:w="5249"/>
        <w:gridCol w:w="851"/>
        <w:gridCol w:w="710"/>
        <w:gridCol w:w="535"/>
        <w:gridCol w:w="824"/>
      </w:tblGrid>
      <w:tr w:rsidR="00FD567D" w:rsidRPr="00E401A5" w14:paraId="0D8AF7E5" w14:textId="77777777" w:rsidTr="00BF7F17">
        <w:trPr>
          <w:trHeight w:val="300"/>
        </w:trPr>
        <w:tc>
          <w:tcPr>
            <w:tcW w:w="467" w:type="pct"/>
            <w:tcBorders>
              <w:top w:val="single" w:sz="4" w:space="0" w:color="auto"/>
              <w:left w:val="single" w:sz="4" w:space="0" w:color="auto"/>
              <w:bottom w:val="single" w:sz="4" w:space="0" w:color="auto"/>
              <w:right w:val="single" w:sz="4" w:space="0" w:color="auto"/>
            </w:tcBorders>
            <w:noWrap/>
            <w:vAlign w:val="bottom"/>
            <w:hideMark/>
          </w:tcPr>
          <w:p w14:paraId="0DA1E722" w14:textId="77777777" w:rsidR="00FD567D" w:rsidRPr="00E401A5" w:rsidRDefault="00FD567D" w:rsidP="00BF7F17">
            <w:pPr>
              <w:jc w:val="center"/>
              <w:rPr>
                <w:rFonts w:ascii="Calibri" w:hAnsi="Calibri" w:cs="Calibri"/>
                <w:b/>
                <w:bCs/>
                <w:color w:val="000000"/>
                <w:sz w:val="16"/>
                <w:szCs w:val="16"/>
                <w:lang w:val="en-GB"/>
              </w:rPr>
            </w:pPr>
            <w:r w:rsidRPr="00E401A5">
              <w:rPr>
                <w:rFonts w:ascii="Calibri" w:hAnsi="Calibri" w:cs="Calibri"/>
                <w:b/>
                <w:bCs/>
                <w:color w:val="000000" w:themeColor="text1"/>
                <w:sz w:val="16"/>
                <w:szCs w:val="16"/>
                <w:lang w:val="en-GB"/>
              </w:rPr>
              <w:t>Protein Name</w:t>
            </w:r>
          </w:p>
        </w:tc>
        <w:tc>
          <w:tcPr>
            <w:tcW w:w="2913" w:type="pct"/>
            <w:tcBorders>
              <w:top w:val="single" w:sz="4" w:space="0" w:color="auto"/>
              <w:left w:val="nil"/>
              <w:bottom w:val="single" w:sz="4" w:space="0" w:color="auto"/>
              <w:right w:val="single" w:sz="4" w:space="0" w:color="auto"/>
            </w:tcBorders>
            <w:noWrap/>
            <w:vAlign w:val="bottom"/>
            <w:hideMark/>
          </w:tcPr>
          <w:p w14:paraId="172CCE5C" w14:textId="77777777" w:rsidR="00FD567D" w:rsidRPr="00E401A5" w:rsidRDefault="00FD567D" w:rsidP="00BF7F17">
            <w:pPr>
              <w:rPr>
                <w:rFonts w:ascii="Calibri" w:hAnsi="Calibri" w:cs="Calibri"/>
                <w:b/>
                <w:bCs/>
                <w:color w:val="000000"/>
                <w:sz w:val="16"/>
                <w:szCs w:val="16"/>
                <w:lang w:val="en-GB"/>
              </w:rPr>
            </w:pPr>
            <w:r w:rsidRPr="00E401A5">
              <w:rPr>
                <w:rFonts w:ascii="Calibri" w:hAnsi="Calibri" w:cs="Calibri"/>
                <w:b/>
                <w:bCs/>
                <w:color w:val="000000" w:themeColor="text1"/>
                <w:sz w:val="16"/>
                <w:szCs w:val="16"/>
                <w:lang w:val="en-GB"/>
              </w:rPr>
              <w:t>Short description</w:t>
            </w:r>
          </w:p>
        </w:tc>
        <w:tc>
          <w:tcPr>
            <w:tcW w:w="472" w:type="pct"/>
            <w:tcBorders>
              <w:top w:val="single" w:sz="4" w:space="0" w:color="auto"/>
              <w:left w:val="nil"/>
              <w:bottom w:val="single" w:sz="4" w:space="0" w:color="auto"/>
              <w:right w:val="single" w:sz="4" w:space="0" w:color="auto"/>
            </w:tcBorders>
            <w:noWrap/>
            <w:vAlign w:val="bottom"/>
            <w:hideMark/>
          </w:tcPr>
          <w:p w14:paraId="2CF54C15" w14:textId="77777777" w:rsidR="00FD567D" w:rsidRPr="00E401A5" w:rsidRDefault="00FD567D" w:rsidP="00BF7F17">
            <w:pPr>
              <w:jc w:val="center"/>
              <w:rPr>
                <w:rFonts w:ascii="Calibri" w:hAnsi="Calibri" w:cs="Calibri"/>
                <w:b/>
                <w:bCs/>
                <w:color w:val="000000"/>
                <w:sz w:val="16"/>
                <w:szCs w:val="16"/>
                <w:lang w:val="en-GB"/>
              </w:rPr>
            </w:pPr>
            <w:r w:rsidRPr="00E401A5">
              <w:rPr>
                <w:rFonts w:ascii="Calibri" w:hAnsi="Calibri" w:cs="Calibri"/>
                <w:b/>
                <w:bCs/>
                <w:color w:val="000000" w:themeColor="text1"/>
                <w:sz w:val="16"/>
                <w:szCs w:val="16"/>
                <w:lang w:val="en-GB"/>
              </w:rPr>
              <w:t>estimate</w:t>
            </w:r>
          </w:p>
        </w:tc>
        <w:tc>
          <w:tcPr>
            <w:tcW w:w="394" w:type="pct"/>
            <w:tcBorders>
              <w:top w:val="single" w:sz="4" w:space="0" w:color="auto"/>
              <w:left w:val="nil"/>
              <w:bottom w:val="single" w:sz="4" w:space="0" w:color="auto"/>
              <w:right w:val="single" w:sz="4" w:space="0" w:color="auto"/>
            </w:tcBorders>
            <w:noWrap/>
            <w:vAlign w:val="bottom"/>
            <w:hideMark/>
          </w:tcPr>
          <w:p w14:paraId="59747EFE" w14:textId="77777777" w:rsidR="00FD567D" w:rsidRPr="00E401A5" w:rsidRDefault="00FD567D" w:rsidP="00BF7F17">
            <w:pPr>
              <w:jc w:val="center"/>
              <w:rPr>
                <w:rFonts w:ascii="Calibri" w:hAnsi="Calibri" w:cs="Calibri"/>
                <w:b/>
                <w:bCs/>
                <w:color w:val="000000"/>
                <w:sz w:val="16"/>
                <w:szCs w:val="16"/>
                <w:lang w:val="en-GB"/>
              </w:rPr>
            </w:pPr>
            <w:proofErr w:type="spellStart"/>
            <w:r w:rsidRPr="00E401A5">
              <w:rPr>
                <w:rFonts w:ascii="Calibri" w:hAnsi="Calibri" w:cs="Calibri"/>
                <w:b/>
                <w:bCs/>
                <w:color w:val="000000" w:themeColor="text1"/>
                <w:sz w:val="16"/>
                <w:szCs w:val="16"/>
                <w:lang w:val="en-GB"/>
              </w:rPr>
              <w:t>p.value</w:t>
            </w:r>
            <w:proofErr w:type="spellEnd"/>
          </w:p>
        </w:tc>
        <w:tc>
          <w:tcPr>
            <w:tcW w:w="297" w:type="pct"/>
            <w:tcBorders>
              <w:top w:val="single" w:sz="4" w:space="0" w:color="auto"/>
              <w:left w:val="nil"/>
              <w:bottom w:val="single" w:sz="4" w:space="0" w:color="auto"/>
              <w:right w:val="single" w:sz="4" w:space="0" w:color="auto"/>
            </w:tcBorders>
            <w:noWrap/>
            <w:vAlign w:val="bottom"/>
            <w:hideMark/>
          </w:tcPr>
          <w:p w14:paraId="6538CD68" w14:textId="77777777" w:rsidR="00FD567D" w:rsidRPr="00E401A5" w:rsidRDefault="00FD567D" w:rsidP="00BF7F17">
            <w:pPr>
              <w:jc w:val="center"/>
              <w:rPr>
                <w:rFonts w:ascii="Calibri" w:hAnsi="Calibri" w:cs="Calibri"/>
                <w:b/>
                <w:bCs/>
                <w:color w:val="000000"/>
                <w:sz w:val="16"/>
                <w:szCs w:val="16"/>
                <w:lang w:val="en-GB"/>
              </w:rPr>
            </w:pPr>
            <w:r w:rsidRPr="00E401A5">
              <w:rPr>
                <w:rFonts w:ascii="Calibri" w:hAnsi="Calibri" w:cs="Calibri"/>
                <w:b/>
                <w:bCs/>
                <w:color w:val="000000" w:themeColor="text1"/>
                <w:sz w:val="16"/>
                <w:szCs w:val="16"/>
                <w:lang w:val="en-GB"/>
              </w:rPr>
              <w:t>FDR</w:t>
            </w:r>
          </w:p>
        </w:tc>
        <w:tc>
          <w:tcPr>
            <w:tcW w:w="457" w:type="pct"/>
            <w:tcBorders>
              <w:top w:val="single" w:sz="4" w:space="0" w:color="auto"/>
              <w:left w:val="nil"/>
              <w:bottom w:val="single" w:sz="4" w:space="0" w:color="auto"/>
              <w:right w:val="single" w:sz="4" w:space="0" w:color="auto"/>
            </w:tcBorders>
            <w:noWrap/>
            <w:vAlign w:val="bottom"/>
            <w:hideMark/>
          </w:tcPr>
          <w:p w14:paraId="4F2D07A4" w14:textId="77777777" w:rsidR="00FD567D" w:rsidRPr="00E401A5" w:rsidRDefault="00FD567D" w:rsidP="00BF7F17">
            <w:pPr>
              <w:jc w:val="center"/>
              <w:rPr>
                <w:rFonts w:ascii="Calibri" w:hAnsi="Calibri" w:cs="Calibri"/>
                <w:b/>
                <w:bCs/>
                <w:color w:val="000000"/>
                <w:sz w:val="16"/>
                <w:szCs w:val="16"/>
                <w:lang w:val="en-GB"/>
              </w:rPr>
            </w:pPr>
            <w:r w:rsidRPr="00E401A5">
              <w:rPr>
                <w:rFonts w:ascii="Calibri" w:hAnsi="Calibri" w:cs="Calibri"/>
                <w:b/>
                <w:bCs/>
                <w:color w:val="000000" w:themeColor="text1"/>
                <w:sz w:val="16"/>
                <w:szCs w:val="16"/>
                <w:lang w:val="en-GB"/>
              </w:rPr>
              <w:t>is contamination</w:t>
            </w:r>
          </w:p>
        </w:tc>
      </w:tr>
      <w:tr w:rsidR="00FD567D" w:rsidRPr="00E401A5" w14:paraId="275E2900"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FE9"/>
            <w:noWrap/>
            <w:vAlign w:val="bottom"/>
            <w:hideMark/>
          </w:tcPr>
          <w:p w14:paraId="2754D373"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POSTN</w:t>
            </w:r>
          </w:p>
        </w:tc>
        <w:tc>
          <w:tcPr>
            <w:tcW w:w="2913" w:type="pct"/>
            <w:tcBorders>
              <w:top w:val="nil"/>
              <w:left w:val="nil"/>
              <w:bottom w:val="single" w:sz="4" w:space="0" w:color="auto"/>
              <w:right w:val="single" w:sz="4" w:space="0" w:color="auto"/>
            </w:tcBorders>
            <w:shd w:val="clear" w:color="auto" w:fill="F2FFE9"/>
            <w:noWrap/>
            <w:vAlign w:val="bottom"/>
            <w:hideMark/>
          </w:tcPr>
          <w:p w14:paraId="7C40B2A6"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Secreted extracellular matrix protein involved in tissue remodelling, fibrosis, and cell–matrix interactions; implicated in repair processes and structural reorganization.</w:t>
            </w:r>
          </w:p>
        </w:tc>
        <w:tc>
          <w:tcPr>
            <w:tcW w:w="472" w:type="pct"/>
            <w:tcBorders>
              <w:top w:val="nil"/>
              <w:left w:val="nil"/>
              <w:bottom w:val="single" w:sz="4" w:space="0" w:color="auto"/>
              <w:right w:val="single" w:sz="4" w:space="0" w:color="auto"/>
            </w:tcBorders>
            <w:shd w:val="clear" w:color="auto" w:fill="F2FFE9"/>
            <w:noWrap/>
            <w:vAlign w:val="bottom"/>
            <w:hideMark/>
          </w:tcPr>
          <w:p w14:paraId="59127C45"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1.44</w:t>
            </w:r>
          </w:p>
        </w:tc>
        <w:tc>
          <w:tcPr>
            <w:tcW w:w="394" w:type="pct"/>
            <w:tcBorders>
              <w:top w:val="nil"/>
              <w:left w:val="nil"/>
              <w:bottom w:val="single" w:sz="4" w:space="0" w:color="auto"/>
              <w:right w:val="single" w:sz="4" w:space="0" w:color="auto"/>
            </w:tcBorders>
            <w:shd w:val="clear" w:color="auto" w:fill="F2FFE9"/>
            <w:noWrap/>
            <w:vAlign w:val="bottom"/>
            <w:hideMark/>
          </w:tcPr>
          <w:p w14:paraId="3536478C"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0.00</w:t>
            </w:r>
          </w:p>
        </w:tc>
        <w:tc>
          <w:tcPr>
            <w:tcW w:w="297" w:type="pct"/>
            <w:tcBorders>
              <w:top w:val="nil"/>
              <w:left w:val="nil"/>
              <w:bottom w:val="single" w:sz="4" w:space="0" w:color="auto"/>
              <w:right w:val="single" w:sz="4" w:space="0" w:color="auto"/>
            </w:tcBorders>
            <w:shd w:val="clear" w:color="auto" w:fill="F2FFE9"/>
            <w:noWrap/>
            <w:vAlign w:val="bottom"/>
            <w:hideMark/>
          </w:tcPr>
          <w:p w14:paraId="7E638F96"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0.05</w:t>
            </w:r>
          </w:p>
        </w:tc>
        <w:tc>
          <w:tcPr>
            <w:tcW w:w="457" w:type="pct"/>
            <w:tcBorders>
              <w:top w:val="nil"/>
              <w:left w:val="nil"/>
              <w:bottom w:val="single" w:sz="4" w:space="0" w:color="auto"/>
              <w:right w:val="single" w:sz="4" w:space="0" w:color="auto"/>
            </w:tcBorders>
            <w:shd w:val="clear" w:color="auto" w:fill="F2FFE9"/>
            <w:noWrap/>
            <w:vAlign w:val="bottom"/>
            <w:hideMark/>
          </w:tcPr>
          <w:p w14:paraId="4C886381"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FALSE</w:t>
            </w:r>
          </w:p>
        </w:tc>
      </w:tr>
      <w:tr w:rsidR="00FD567D" w:rsidRPr="00E401A5" w14:paraId="36FD89CA"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FE9"/>
            <w:noWrap/>
            <w:vAlign w:val="bottom"/>
            <w:hideMark/>
          </w:tcPr>
          <w:p w14:paraId="6257B65F"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SPARC</w:t>
            </w:r>
          </w:p>
        </w:tc>
        <w:tc>
          <w:tcPr>
            <w:tcW w:w="2913" w:type="pct"/>
            <w:tcBorders>
              <w:top w:val="nil"/>
              <w:left w:val="nil"/>
              <w:bottom w:val="single" w:sz="4" w:space="0" w:color="auto"/>
              <w:right w:val="single" w:sz="4" w:space="0" w:color="auto"/>
            </w:tcBorders>
            <w:shd w:val="clear" w:color="auto" w:fill="F2FFE9"/>
            <w:noWrap/>
            <w:vAlign w:val="bottom"/>
            <w:hideMark/>
          </w:tcPr>
          <w:p w14:paraId="59FC3E64"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Matricellular protein regulating extracellular matrix organization, collagen assembly, and cell–matrix signal</w:t>
            </w:r>
            <w:r>
              <w:rPr>
                <w:rFonts w:ascii="Calibri" w:hAnsi="Calibri" w:cs="Calibri"/>
                <w:color w:val="000000" w:themeColor="text1"/>
                <w:sz w:val="14"/>
                <w:szCs w:val="14"/>
                <w:lang w:val="en-GB"/>
              </w:rPr>
              <w:t>l</w:t>
            </w:r>
            <w:r w:rsidRPr="00E401A5">
              <w:rPr>
                <w:rFonts w:ascii="Calibri" w:hAnsi="Calibri" w:cs="Calibri"/>
                <w:color w:val="000000" w:themeColor="text1"/>
                <w:sz w:val="14"/>
                <w:szCs w:val="14"/>
                <w:lang w:val="en-GB"/>
              </w:rPr>
              <w:t>ing; involved in tissue remodelling and wound responses.</w:t>
            </w:r>
          </w:p>
        </w:tc>
        <w:tc>
          <w:tcPr>
            <w:tcW w:w="472" w:type="pct"/>
            <w:tcBorders>
              <w:top w:val="nil"/>
              <w:left w:val="nil"/>
              <w:bottom w:val="single" w:sz="4" w:space="0" w:color="auto"/>
              <w:right w:val="single" w:sz="4" w:space="0" w:color="auto"/>
            </w:tcBorders>
            <w:shd w:val="clear" w:color="auto" w:fill="F2FFE9"/>
            <w:noWrap/>
            <w:vAlign w:val="bottom"/>
            <w:hideMark/>
          </w:tcPr>
          <w:p w14:paraId="3CF2610A"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0.41</w:t>
            </w:r>
          </w:p>
        </w:tc>
        <w:tc>
          <w:tcPr>
            <w:tcW w:w="394" w:type="pct"/>
            <w:tcBorders>
              <w:top w:val="nil"/>
              <w:left w:val="nil"/>
              <w:bottom w:val="single" w:sz="4" w:space="0" w:color="auto"/>
              <w:right w:val="single" w:sz="4" w:space="0" w:color="auto"/>
            </w:tcBorders>
            <w:shd w:val="clear" w:color="auto" w:fill="F2FFE9"/>
            <w:noWrap/>
            <w:vAlign w:val="bottom"/>
            <w:hideMark/>
          </w:tcPr>
          <w:p w14:paraId="398186E3"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0.00</w:t>
            </w:r>
          </w:p>
        </w:tc>
        <w:tc>
          <w:tcPr>
            <w:tcW w:w="297" w:type="pct"/>
            <w:tcBorders>
              <w:top w:val="nil"/>
              <w:left w:val="nil"/>
              <w:bottom w:val="single" w:sz="4" w:space="0" w:color="auto"/>
              <w:right w:val="single" w:sz="4" w:space="0" w:color="auto"/>
            </w:tcBorders>
            <w:shd w:val="clear" w:color="auto" w:fill="F2FFE9"/>
            <w:noWrap/>
            <w:vAlign w:val="bottom"/>
            <w:hideMark/>
          </w:tcPr>
          <w:p w14:paraId="39208C88"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0.09</w:t>
            </w:r>
          </w:p>
        </w:tc>
        <w:tc>
          <w:tcPr>
            <w:tcW w:w="457" w:type="pct"/>
            <w:tcBorders>
              <w:top w:val="nil"/>
              <w:left w:val="nil"/>
              <w:bottom w:val="single" w:sz="4" w:space="0" w:color="auto"/>
              <w:right w:val="single" w:sz="4" w:space="0" w:color="auto"/>
            </w:tcBorders>
            <w:shd w:val="clear" w:color="auto" w:fill="F2FFE9"/>
            <w:noWrap/>
            <w:vAlign w:val="bottom"/>
            <w:hideMark/>
          </w:tcPr>
          <w:p w14:paraId="30BBFD9F"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FALSE</w:t>
            </w:r>
          </w:p>
        </w:tc>
      </w:tr>
      <w:tr w:rsidR="00FD567D" w:rsidRPr="00E401A5" w14:paraId="750ADC63"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FE9"/>
            <w:noWrap/>
            <w:vAlign w:val="bottom"/>
            <w:hideMark/>
          </w:tcPr>
          <w:p w14:paraId="379BD9BC"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COL3A1</w:t>
            </w:r>
          </w:p>
        </w:tc>
        <w:tc>
          <w:tcPr>
            <w:tcW w:w="2913" w:type="pct"/>
            <w:tcBorders>
              <w:top w:val="nil"/>
              <w:left w:val="nil"/>
              <w:bottom w:val="single" w:sz="4" w:space="0" w:color="auto"/>
              <w:right w:val="single" w:sz="4" w:space="0" w:color="auto"/>
            </w:tcBorders>
            <w:shd w:val="clear" w:color="auto" w:fill="F2FFE9"/>
            <w:noWrap/>
            <w:vAlign w:val="bottom"/>
            <w:hideMark/>
          </w:tcPr>
          <w:p w14:paraId="70FCC27B"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Fibrillar collagen type III, a major component of extracellular matrix in connective tissues; associated with tissue integrity and remodelling.</w:t>
            </w:r>
          </w:p>
        </w:tc>
        <w:tc>
          <w:tcPr>
            <w:tcW w:w="472" w:type="pct"/>
            <w:tcBorders>
              <w:top w:val="nil"/>
              <w:left w:val="nil"/>
              <w:bottom w:val="single" w:sz="4" w:space="0" w:color="auto"/>
              <w:right w:val="single" w:sz="4" w:space="0" w:color="auto"/>
            </w:tcBorders>
            <w:shd w:val="clear" w:color="auto" w:fill="F2FFE9"/>
            <w:noWrap/>
            <w:vAlign w:val="bottom"/>
            <w:hideMark/>
          </w:tcPr>
          <w:p w14:paraId="2BBDE9F0"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0.71</w:t>
            </w:r>
          </w:p>
        </w:tc>
        <w:tc>
          <w:tcPr>
            <w:tcW w:w="394" w:type="pct"/>
            <w:tcBorders>
              <w:top w:val="nil"/>
              <w:left w:val="nil"/>
              <w:bottom w:val="single" w:sz="4" w:space="0" w:color="auto"/>
              <w:right w:val="single" w:sz="4" w:space="0" w:color="auto"/>
            </w:tcBorders>
            <w:shd w:val="clear" w:color="auto" w:fill="F2FFE9"/>
            <w:noWrap/>
            <w:vAlign w:val="bottom"/>
            <w:hideMark/>
          </w:tcPr>
          <w:p w14:paraId="2FC45C67"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0.00</w:t>
            </w:r>
          </w:p>
        </w:tc>
        <w:tc>
          <w:tcPr>
            <w:tcW w:w="297" w:type="pct"/>
            <w:tcBorders>
              <w:top w:val="nil"/>
              <w:left w:val="nil"/>
              <w:bottom w:val="single" w:sz="4" w:space="0" w:color="auto"/>
              <w:right w:val="single" w:sz="4" w:space="0" w:color="auto"/>
            </w:tcBorders>
            <w:shd w:val="clear" w:color="auto" w:fill="F2FFE9"/>
            <w:noWrap/>
            <w:vAlign w:val="bottom"/>
            <w:hideMark/>
          </w:tcPr>
          <w:p w14:paraId="1B19A872"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0.08</w:t>
            </w:r>
          </w:p>
        </w:tc>
        <w:tc>
          <w:tcPr>
            <w:tcW w:w="457" w:type="pct"/>
            <w:tcBorders>
              <w:top w:val="nil"/>
              <w:left w:val="nil"/>
              <w:bottom w:val="single" w:sz="4" w:space="0" w:color="auto"/>
              <w:right w:val="single" w:sz="4" w:space="0" w:color="auto"/>
            </w:tcBorders>
            <w:shd w:val="clear" w:color="auto" w:fill="F2FFE9"/>
            <w:noWrap/>
            <w:vAlign w:val="bottom"/>
            <w:hideMark/>
          </w:tcPr>
          <w:p w14:paraId="425FECC3"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FALSE</w:t>
            </w:r>
          </w:p>
        </w:tc>
      </w:tr>
      <w:tr w:rsidR="00FD567D" w:rsidRPr="00E401A5" w14:paraId="5D7C1D67"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FE9"/>
            <w:noWrap/>
            <w:vAlign w:val="bottom"/>
            <w:hideMark/>
          </w:tcPr>
          <w:p w14:paraId="3CB5C337"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COL5A1</w:t>
            </w:r>
          </w:p>
        </w:tc>
        <w:tc>
          <w:tcPr>
            <w:tcW w:w="2913" w:type="pct"/>
            <w:tcBorders>
              <w:top w:val="nil"/>
              <w:left w:val="nil"/>
              <w:bottom w:val="single" w:sz="4" w:space="0" w:color="auto"/>
              <w:right w:val="single" w:sz="4" w:space="0" w:color="auto"/>
            </w:tcBorders>
            <w:shd w:val="clear" w:color="auto" w:fill="F2FFE9"/>
            <w:noWrap/>
            <w:vAlign w:val="bottom"/>
            <w:hideMark/>
          </w:tcPr>
          <w:p w14:paraId="240EFB8F"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Minor fibrillar collagen regulating collagen fibril assembly and extracellular matrix structure.</w:t>
            </w:r>
          </w:p>
        </w:tc>
        <w:tc>
          <w:tcPr>
            <w:tcW w:w="472" w:type="pct"/>
            <w:tcBorders>
              <w:top w:val="nil"/>
              <w:left w:val="nil"/>
              <w:bottom w:val="single" w:sz="4" w:space="0" w:color="auto"/>
              <w:right w:val="single" w:sz="4" w:space="0" w:color="auto"/>
            </w:tcBorders>
            <w:shd w:val="clear" w:color="auto" w:fill="F2FFE9"/>
            <w:noWrap/>
            <w:vAlign w:val="bottom"/>
            <w:hideMark/>
          </w:tcPr>
          <w:p w14:paraId="6DD569F9"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0.98</w:t>
            </w:r>
          </w:p>
        </w:tc>
        <w:tc>
          <w:tcPr>
            <w:tcW w:w="394" w:type="pct"/>
            <w:tcBorders>
              <w:top w:val="nil"/>
              <w:left w:val="nil"/>
              <w:bottom w:val="single" w:sz="4" w:space="0" w:color="auto"/>
              <w:right w:val="single" w:sz="4" w:space="0" w:color="auto"/>
            </w:tcBorders>
            <w:shd w:val="clear" w:color="auto" w:fill="F2FFE9"/>
            <w:noWrap/>
            <w:vAlign w:val="bottom"/>
            <w:hideMark/>
          </w:tcPr>
          <w:p w14:paraId="2F4F6B2C"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0.00</w:t>
            </w:r>
          </w:p>
        </w:tc>
        <w:tc>
          <w:tcPr>
            <w:tcW w:w="297" w:type="pct"/>
            <w:tcBorders>
              <w:top w:val="nil"/>
              <w:left w:val="nil"/>
              <w:bottom w:val="single" w:sz="4" w:space="0" w:color="auto"/>
              <w:right w:val="single" w:sz="4" w:space="0" w:color="auto"/>
            </w:tcBorders>
            <w:shd w:val="clear" w:color="auto" w:fill="F2FFE9"/>
            <w:noWrap/>
            <w:vAlign w:val="bottom"/>
            <w:hideMark/>
          </w:tcPr>
          <w:p w14:paraId="14CF3840"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0.08</w:t>
            </w:r>
          </w:p>
        </w:tc>
        <w:tc>
          <w:tcPr>
            <w:tcW w:w="457" w:type="pct"/>
            <w:tcBorders>
              <w:top w:val="nil"/>
              <w:left w:val="nil"/>
              <w:bottom w:val="single" w:sz="4" w:space="0" w:color="auto"/>
              <w:right w:val="single" w:sz="4" w:space="0" w:color="auto"/>
            </w:tcBorders>
            <w:shd w:val="clear" w:color="auto" w:fill="F2FFE9"/>
            <w:noWrap/>
            <w:vAlign w:val="bottom"/>
            <w:hideMark/>
          </w:tcPr>
          <w:p w14:paraId="6CADAABE"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FALSE</w:t>
            </w:r>
          </w:p>
        </w:tc>
      </w:tr>
      <w:tr w:rsidR="00FD567D" w:rsidRPr="00E401A5" w14:paraId="0B1DD7ED"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FE9"/>
            <w:noWrap/>
            <w:vAlign w:val="bottom"/>
            <w:hideMark/>
          </w:tcPr>
          <w:p w14:paraId="7D80E549"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CFL1</w:t>
            </w:r>
          </w:p>
        </w:tc>
        <w:tc>
          <w:tcPr>
            <w:tcW w:w="2913" w:type="pct"/>
            <w:tcBorders>
              <w:top w:val="nil"/>
              <w:left w:val="nil"/>
              <w:bottom w:val="single" w:sz="4" w:space="0" w:color="auto"/>
              <w:right w:val="single" w:sz="4" w:space="0" w:color="auto"/>
            </w:tcBorders>
            <w:shd w:val="clear" w:color="auto" w:fill="F2FFE9"/>
            <w:noWrap/>
            <w:vAlign w:val="bottom"/>
            <w:hideMark/>
          </w:tcPr>
          <w:p w14:paraId="54E91ECC"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Actin-binding protein that regulates cytoskeletal dynamics, actin filament turnover, and cell motility.</w:t>
            </w:r>
          </w:p>
        </w:tc>
        <w:tc>
          <w:tcPr>
            <w:tcW w:w="472" w:type="pct"/>
            <w:tcBorders>
              <w:top w:val="nil"/>
              <w:left w:val="nil"/>
              <w:bottom w:val="single" w:sz="4" w:space="0" w:color="auto"/>
              <w:right w:val="single" w:sz="4" w:space="0" w:color="auto"/>
            </w:tcBorders>
            <w:shd w:val="clear" w:color="auto" w:fill="F2FFE9"/>
            <w:noWrap/>
            <w:vAlign w:val="bottom"/>
            <w:hideMark/>
          </w:tcPr>
          <w:p w14:paraId="0E4F6CED"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0.53</w:t>
            </w:r>
          </w:p>
        </w:tc>
        <w:tc>
          <w:tcPr>
            <w:tcW w:w="394" w:type="pct"/>
            <w:tcBorders>
              <w:top w:val="nil"/>
              <w:left w:val="nil"/>
              <w:bottom w:val="single" w:sz="4" w:space="0" w:color="auto"/>
              <w:right w:val="single" w:sz="4" w:space="0" w:color="auto"/>
            </w:tcBorders>
            <w:shd w:val="clear" w:color="auto" w:fill="F2FFE9"/>
            <w:noWrap/>
            <w:vAlign w:val="bottom"/>
            <w:hideMark/>
          </w:tcPr>
          <w:p w14:paraId="18127A65"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0.00</w:t>
            </w:r>
          </w:p>
        </w:tc>
        <w:tc>
          <w:tcPr>
            <w:tcW w:w="297" w:type="pct"/>
            <w:tcBorders>
              <w:top w:val="nil"/>
              <w:left w:val="nil"/>
              <w:bottom w:val="single" w:sz="4" w:space="0" w:color="auto"/>
              <w:right w:val="single" w:sz="4" w:space="0" w:color="auto"/>
            </w:tcBorders>
            <w:shd w:val="clear" w:color="auto" w:fill="F2FFE9"/>
            <w:noWrap/>
            <w:vAlign w:val="bottom"/>
            <w:hideMark/>
          </w:tcPr>
          <w:p w14:paraId="17EE344F"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0.08</w:t>
            </w:r>
          </w:p>
        </w:tc>
        <w:tc>
          <w:tcPr>
            <w:tcW w:w="457" w:type="pct"/>
            <w:tcBorders>
              <w:top w:val="nil"/>
              <w:left w:val="nil"/>
              <w:bottom w:val="single" w:sz="4" w:space="0" w:color="auto"/>
              <w:right w:val="single" w:sz="4" w:space="0" w:color="auto"/>
            </w:tcBorders>
            <w:shd w:val="clear" w:color="auto" w:fill="F2FFE9"/>
            <w:noWrap/>
            <w:vAlign w:val="bottom"/>
            <w:hideMark/>
          </w:tcPr>
          <w:p w14:paraId="28597658"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FALSE</w:t>
            </w:r>
          </w:p>
        </w:tc>
      </w:tr>
      <w:tr w:rsidR="00FD567D" w:rsidRPr="00E401A5" w14:paraId="51B84894"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FE9"/>
            <w:noWrap/>
            <w:vAlign w:val="bottom"/>
            <w:hideMark/>
          </w:tcPr>
          <w:p w14:paraId="12F15D4B"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HDHD2</w:t>
            </w:r>
          </w:p>
        </w:tc>
        <w:tc>
          <w:tcPr>
            <w:tcW w:w="2913" w:type="pct"/>
            <w:tcBorders>
              <w:top w:val="nil"/>
              <w:left w:val="nil"/>
              <w:bottom w:val="single" w:sz="4" w:space="0" w:color="auto"/>
              <w:right w:val="single" w:sz="4" w:space="0" w:color="auto"/>
            </w:tcBorders>
            <w:shd w:val="clear" w:color="auto" w:fill="F2FFE9"/>
            <w:noWrap/>
            <w:vAlign w:val="bottom"/>
            <w:hideMark/>
          </w:tcPr>
          <w:p w14:paraId="5094B094" w14:textId="77777777" w:rsidR="00FD567D" w:rsidRPr="00E401A5" w:rsidRDefault="00FD567D" w:rsidP="00BF7F17">
            <w:pPr>
              <w:rPr>
                <w:rFonts w:ascii="Calibri" w:hAnsi="Calibri" w:cs="Calibri"/>
                <w:color w:val="000000"/>
                <w:sz w:val="14"/>
                <w:szCs w:val="14"/>
                <w:lang w:val="en-GB"/>
              </w:rPr>
            </w:pPr>
            <w:proofErr w:type="spellStart"/>
            <w:r w:rsidRPr="00E401A5">
              <w:rPr>
                <w:rFonts w:ascii="Calibri" w:hAnsi="Calibri" w:cs="Calibri"/>
                <w:color w:val="000000" w:themeColor="text1"/>
                <w:sz w:val="14"/>
                <w:szCs w:val="14"/>
                <w:lang w:val="en-GB"/>
              </w:rPr>
              <w:t>Haloacid</w:t>
            </w:r>
            <w:proofErr w:type="spellEnd"/>
            <w:r w:rsidRPr="00E401A5">
              <w:rPr>
                <w:rFonts w:ascii="Calibri" w:hAnsi="Calibri" w:cs="Calibri"/>
                <w:color w:val="000000" w:themeColor="text1"/>
                <w:sz w:val="14"/>
                <w:szCs w:val="14"/>
                <w:lang w:val="en-GB"/>
              </w:rPr>
              <w:t xml:space="preserve"> dehalogenase–like hydrolase involved in nucleotide and phosphometabolite metabolism; associated with cellular metabolic processes.</w:t>
            </w:r>
          </w:p>
        </w:tc>
        <w:tc>
          <w:tcPr>
            <w:tcW w:w="472" w:type="pct"/>
            <w:tcBorders>
              <w:top w:val="nil"/>
              <w:left w:val="nil"/>
              <w:bottom w:val="single" w:sz="4" w:space="0" w:color="auto"/>
              <w:right w:val="single" w:sz="4" w:space="0" w:color="auto"/>
            </w:tcBorders>
            <w:shd w:val="clear" w:color="auto" w:fill="F2FFE9"/>
            <w:noWrap/>
            <w:vAlign w:val="bottom"/>
            <w:hideMark/>
          </w:tcPr>
          <w:p w14:paraId="73470FA7"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0.34</w:t>
            </w:r>
          </w:p>
        </w:tc>
        <w:tc>
          <w:tcPr>
            <w:tcW w:w="394" w:type="pct"/>
            <w:tcBorders>
              <w:top w:val="nil"/>
              <w:left w:val="nil"/>
              <w:bottom w:val="single" w:sz="4" w:space="0" w:color="auto"/>
              <w:right w:val="single" w:sz="4" w:space="0" w:color="auto"/>
            </w:tcBorders>
            <w:shd w:val="clear" w:color="auto" w:fill="F2FFE9"/>
            <w:noWrap/>
            <w:vAlign w:val="bottom"/>
            <w:hideMark/>
          </w:tcPr>
          <w:p w14:paraId="08307D78"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0.00</w:t>
            </w:r>
          </w:p>
        </w:tc>
        <w:tc>
          <w:tcPr>
            <w:tcW w:w="297" w:type="pct"/>
            <w:tcBorders>
              <w:top w:val="nil"/>
              <w:left w:val="nil"/>
              <w:bottom w:val="single" w:sz="4" w:space="0" w:color="auto"/>
              <w:right w:val="single" w:sz="4" w:space="0" w:color="auto"/>
            </w:tcBorders>
            <w:shd w:val="clear" w:color="auto" w:fill="F2FFE9"/>
            <w:noWrap/>
            <w:vAlign w:val="bottom"/>
            <w:hideMark/>
          </w:tcPr>
          <w:p w14:paraId="474A2B8D"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0.08</w:t>
            </w:r>
          </w:p>
        </w:tc>
        <w:tc>
          <w:tcPr>
            <w:tcW w:w="457" w:type="pct"/>
            <w:tcBorders>
              <w:top w:val="nil"/>
              <w:left w:val="nil"/>
              <w:bottom w:val="single" w:sz="4" w:space="0" w:color="auto"/>
              <w:right w:val="single" w:sz="4" w:space="0" w:color="auto"/>
            </w:tcBorders>
            <w:shd w:val="clear" w:color="auto" w:fill="F2FFE9"/>
            <w:noWrap/>
            <w:vAlign w:val="bottom"/>
            <w:hideMark/>
          </w:tcPr>
          <w:p w14:paraId="03759A97"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FALSE</w:t>
            </w:r>
          </w:p>
        </w:tc>
      </w:tr>
      <w:tr w:rsidR="00FD567D" w:rsidRPr="00E401A5" w14:paraId="7F187111"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FE9"/>
            <w:noWrap/>
            <w:vAlign w:val="bottom"/>
            <w:hideMark/>
          </w:tcPr>
          <w:p w14:paraId="25C538AC"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COL1A1</w:t>
            </w:r>
          </w:p>
        </w:tc>
        <w:tc>
          <w:tcPr>
            <w:tcW w:w="2913" w:type="pct"/>
            <w:tcBorders>
              <w:top w:val="nil"/>
              <w:left w:val="nil"/>
              <w:bottom w:val="single" w:sz="4" w:space="0" w:color="auto"/>
              <w:right w:val="single" w:sz="4" w:space="0" w:color="auto"/>
            </w:tcBorders>
            <w:shd w:val="clear" w:color="auto" w:fill="F2FFE9"/>
            <w:noWrap/>
            <w:vAlign w:val="bottom"/>
            <w:hideMark/>
          </w:tcPr>
          <w:p w14:paraId="1A1BEF56"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Major fibrillar collagen type I; structural component of extracellular matrix and connective tissues.</w:t>
            </w:r>
          </w:p>
        </w:tc>
        <w:tc>
          <w:tcPr>
            <w:tcW w:w="472" w:type="pct"/>
            <w:tcBorders>
              <w:top w:val="nil"/>
              <w:left w:val="nil"/>
              <w:bottom w:val="single" w:sz="4" w:space="0" w:color="auto"/>
              <w:right w:val="single" w:sz="4" w:space="0" w:color="auto"/>
            </w:tcBorders>
            <w:shd w:val="clear" w:color="auto" w:fill="F2FFE9"/>
            <w:noWrap/>
            <w:vAlign w:val="bottom"/>
            <w:hideMark/>
          </w:tcPr>
          <w:p w14:paraId="3CB96958"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0.74</w:t>
            </w:r>
          </w:p>
        </w:tc>
        <w:tc>
          <w:tcPr>
            <w:tcW w:w="394" w:type="pct"/>
            <w:tcBorders>
              <w:top w:val="nil"/>
              <w:left w:val="nil"/>
              <w:bottom w:val="single" w:sz="4" w:space="0" w:color="auto"/>
              <w:right w:val="single" w:sz="4" w:space="0" w:color="auto"/>
            </w:tcBorders>
            <w:shd w:val="clear" w:color="auto" w:fill="F2FFE9"/>
            <w:noWrap/>
            <w:vAlign w:val="bottom"/>
            <w:hideMark/>
          </w:tcPr>
          <w:p w14:paraId="300B2A2A"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0.00</w:t>
            </w:r>
          </w:p>
        </w:tc>
        <w:tc>
          <w:tcPr>
            <w:tcW w:w="297" w:type="pct"/>
            <w:tcBorders>
              <w:top w:val="nil"/>
              <w:left w:val="nil"/>
              <w:bottom w:val="single" w:sz="4" w:space="0" w:color="auto"/>
              <w:right w:val="single" w:sz="4" w:space="0" w:color="auto"/>
            </w:tcBorders>
            <w:shd w:val="clear" w:color="auto" w:fill="F2FFE9"/>
            <w:noWrap/>
            <w:vAlign w:val="bottom"/>
            <w:hideMark/>
          </w:tcPr>
          <w:p w14:paraId="375D54E4"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0.05</w:t>
            </w:r>
          </w:p>
        </w:tc>
        <w:tc>
          <w:tcPr>
            <w:tcW w:w="457" w:type="pct"/>
            <w:tcBorders>
              <w:top w:val="nil"/>
              <w:left w:val="nil"/>
              <w:bottom w:val="single" w:sz="4" w:space="0" w:color="auto"/>
              <w:right w:val="single" w:sz="4" w:space="0" w:color="auto"/>
            </w:tcBorders>
            <w:shd w:val="clear" w:color="auto" w:fill="F2FFE9"/>
            <w:noWrap/>
            <w:vAlign w:val="bottom"/>
            <w:hideMark/>
          </w:tcPr>
          <w:p w14:paraId="128E7B2F"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FALSE</w:t>
            </w:r>
          </w:p>
        </w:tc>
      </w:tr>
      <w:tr w:rsidR="00FD567D" w:rsidRPr="00E401A5" w14:paraId="3C86AF44"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FE9"/>
            <w:noWrap/>
            <w:vAlign w:val="bottom"/>
            <w:hideMark/>
          </w:tcPr>
          <w:p w14:paraId="67B6A5D0"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COL11A1</w:t>
            </w:r>
          </w:p>
        </w:tc>
        <w:tc>
          <w:tcPr>
            <w:tcW w:w="2913" w:type="pct"/>
            <w:tcBorders>
              <w:top w:val="nil"/>
              <w:left w:val="nil"/>
              <w:bottom w:val="single" w:sz="4" w:space="0" w:color="auto"/>
              <w:right w:val="single" w:sz="4" w:space="0" w:color="auto"/>
            </w:tcBorders>
            <w:shd w:val="clear" w:color="auto" w:fill="F2FFE9"/>
            <w:noWrap/>
            <w:vAlign w:val="bottom"/>
            <w:hideMark/>
          </w:tcPr>
          <w:p w14:paraId="65041A84"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Minor fibrillar collagen involved in regulation of collagen fibril diameter and matrix organization.</w:t>
            </w:r>
          </w:p>
        </w:tc>
        <w:tc>
          <w:tcPr>
            <w:tcW w:w="472" w:type="pct"/>
            <w:tcBorders>
              <w:top w:val="nil"/>
              <w:left w:val="nil"/>
              <w:bottom w:val="single" w:sz="4" w:space="0" w:color="auto"/>
              <w:right w:val="single" w:sz="4" w:space="0" w:color="auto"/>
            </w:tcBorders>
            <w:shd w:val="clear" w:color="auto" w:fill="F2FFE9"/>
            <w:noWrap/>
            <w:vAlign w:val="bottom"/>
            <w:hideMark/>
          </w:tcPr>
          <w:p w14:paraId="697A20C1"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0.92</w:t>
            </w:r>
          </w:p>
        </w:tc>
        <w:tc>
          <w:tcPr>
            <w:tcW w:w="394" w:type="pct"/>
            <w:tcBorders>
              <w:top w:val="nil"/>
              <w:left w:val="nil"/>
              <w:bottom w:val="single" w:sz="4" w:space="0" w:color="auto"/>
              <w:right w:val="single" w:sz="4" w:space="0" w:color="auto"/>
            </w:tcBorders>
            <w:shd w:val="clear" w:color="auto" w:fill="F2FFE9"/>
            <w:noWrap/>
            <w:vAlign w:val="bottom"/>
            <w:hideMark/>
          </w:tcPr>
          <w:p w14:paraId="0D476E0C"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0.00</w:t>
            </w:r>
          </w:p>
        </w:tc>
        <w:tc>
          <w:tcPr>
            <w:tcW w:w="297" w:type="pct"/>
            <w:tcBorders>
              <w:top w:val="nil"/>
              <w:left w:val="nil"/>
              <w:bottom w:val="single" w:sz="4" w:space="0" w:color="auto"/>
              <w:right w:val="single" w:sz="4" w:space="0" w:color="auto"/>
            </w:tcBorders>
            <w:shd w:val="clear" w:color="auto" w:fill="F2FFE9"/>
            <w:noWrap/>
            <w:vAlign w:val="bottom"/>
            <w:hideMark/>
          </w:tcPr>
          <w:p w14:paraId="08558559"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0.09</w:t>
            </w:r>
          </w:p>
        </w:tc>
        <w:tc>
          <w:tcPr>
            <w:tcW w:w="457" w:type="pct"/>
            <w:tcBorders>
              <w:top w:val="nil"/>
              <w:left w:val="nil"/>
              <w:bottom w:val="single" w:sz="4" w:space="0" w:color="auto"/>
              <w:right w:val="single" w:sz="4" w:space="0" w:color="auto"/>
            </w:tcBorders>
            <w:shd w:val="clear" w:color="auto" w:fill="F2FFE9"/>
            <w:noWrap/>
            <w:vAlign w:val="bottom"/>
            <w:hideMark/>
          </w:tcPr>
          <w:p w14:paraId="53E969A5"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FALSE</w:t>
            </w:r>
          </w:p>
        </w:tc>
      </w:tr>
      <w:tr w:rsidR="00FD567D" w:rsidRPr="00E401A5" w14:paraId="133C4495"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FE9"/>
            <w:noWrap/>
            <w:vAlign w:val="bottom"/>
            <w:hideMark/>
          </w:tcPr>
          <w:p w14:paraId="15FE92C1"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COMP</w:t>
            </w:r>
          </w:p>
        </w:tc>
        <w:tc>
          <w:tcPr>
            <w:tcW w:w="2913" w:type="pct"/>
            <w:tcBorders>
              <w:top w:val="nil"/>
              <w:left w:val="nil"/>
              <w:bottom w:val="single" w:sz="4" w:space="0" w:color="auto"/>
              <w:right w:val="single" w:sz="4" w:space="0" w:color="auto"/>
            </w:tcBorders>
            <w:shd w:val="clear" w:color="auto" w:fill="F2FFE9"/>
            <w:noWrap/>
            <w:vAlign w:val="bottom"/>
            <w:hideMark/>
          </w:tcPr>
          <w:p w14:paraId="6250C1CA"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Cartilage oligomeric matrix protein; extracellular matrix protein involved in matrix assembly and structural stability.</w:t>
            </w:r>
          </w:p>
        </w:tc>
        <w:tc>
          <w:tcPr>
            <w:tcW w:w="472" w:type="pct"/>
            <w:tcBorders>
              <w:top w:val="nil"/>
              <w:left w:val="nil"/>
              <w:bottom w:val="single" w:sz="4" w:space="0" w:color="auto"/>
              <w:right w:val="single" w:sz="4" w:space="0" w:color="auto"/>
            </w:tcBorders>
            <w:shd w:val="clear" w:color="auto" w:fill="F2FFE9"/>
            <w:noWrap/>
            <w:vAlign w:val="bottom"/>
            <w:hideMark/>
          </w:tcPr>
          <w:p w14:paraId="4F274DC1"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0.83</w:t>
            </w:r>
          </w:p>
        </w:tc>
        <w:tc>
          <w:tcPr>
            <w:tcW w:w="394" w:type="pct"/>
            <w:tcBorders>
              <w:top w:val="nil"/>
              <w:left w:val="nil"/>
              <w:bottom w:val="single" w:sz="4" w:space="0" w:color="auto"/>
              <w:right w:val="single" w:sz="4" w:space="0" w:color="auto"/>
            </w:tcBorders>
            <w:shd w:val="clear" w:color="auto" w:fill="F2FFE9"/>
            <w:noWrap/>
            <w:vAlign w:val="bottom"/>
            <w:hideMark/>
          </w:tcPr>
          <w:p w14:paraId="31DECA1E"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0.00</w:t>
            </w:r>
          </w:p>
        </w:tc>
        <w:tc>
          <w:tcPr>
            <w:tcW w:w="297" w:type="pct"/>
            <w:tcBorders>
              <w:top w:val="nil"/>
              <w:left w:val="nil"/>
              <w:bottom w:val="single" w:sz="4" w:space="0" w:color="auto"/>
              <w:right w:val="single" w:sz="4" w:space="0" w:color="auto"/>
            </w:tcBorders>
            <w:shd w:val="clear" w:color="auto" w:fill="F2FFE9"/>
            <w:noWrap/>
            <w:vAlign w:val="bottom"/>
            <w:hideMark/>
          </w:tcPr>
          <w:p w14:paraId="4AFCB50B"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0.04</w:t>
            </w:r>
          </w:p>
        </w:tc>
        <w:tc>
          <w:tcPr>
            <w:tcW w:w="457" w:type="pct"/>
            <w:tcBorders>
              <w:top w:val="nil"/>
              <w:left w:val="nil"/>
              <w:bottom w:val="single" w:sz="4" w:space="0" w:color="auto"/>
              <w:right w:val="single" w:sz="4" w:space="0" w:color="auto"/>
            </w:tcBorders>
            <w:shd w:val="clear" w:color="auto" w:fill="F2FFE9"/>
            <w:noWrap/>
            <w:vAlign w:val="bottom"/>
            <w:hideMark/>
          </w:tcPr>
          <w:p w14:paraId="5BBA4029"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FALSE</w:t>
            </w:r>
          </w:p>
        </w:tc>
      </w:tr>
      <w:tr w:rsidR="00FD567D" w:rsidRPr="00E401A5" w14:paraId="5E0406D4"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FE9"/>
            <w:noWrap/>
            <w:vAlign w:val="bottom"/>
            <w:hideMark/>
          </w:tcPr>
          <w:p w14:paraId="0A1FB9E3"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COL1A2</w:t>
            </w:r>
          </w:p>
        </w:tc>
        <w:tc>
          <w:tcPr>
            <w:tcW w:w="2913" w:type="pct"/>
            <w:tcBorders>
              <w:top w:val="nil"/>
              <w:left w:val="nil"/>
              <w:bottom w:val="single" w:sz="4" w:space="0" w:color="auto"/>
              <w:right w:val="single" w:sz="4" w:space="0" w:color="auto"/>
            </w:tcBorders>
            <w:shd w:val="clear" w:color="auto" w:fill="F2FFE9"/>
            <w:noWrap/>
            <w:vAlign w:val="bottom"/>
            <w:hideMark/>
          </w:tcPr>
          <w:p w14:paraId="7E2ADDF4"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Alpha chain of collagen type I; contributes to extracellular matrix tensile strength and tissue architecture.</w:t>
            </w:r>
          </w:p>
        </w:tc>
        <w:tc>
          <w:tcPr>
            <w:tcW w:w="472" w:type="pct"/>
            <w:tcBorders>
              <w:top w:val="nil"/>
              <w:left w:val="nil"/>
              <w:bottom w:val="single" w:sz="4" w:space="0" w:color="auto"/>
              <w:right w:val="single" w:sz="4" w:space="0" w:color="auto"/>
            </w:tcBorders>
            <w:shd w:val="clear" w:color="auto" w:fill="F2FFE9"/>
            <w:noWrap/>
            <w:vAlign w:val="bottom"/>
            <w:hideMark/>
          </w:tcPr>
          <w:p w14:paraId="4D91C516"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0.62</w:t>
            </w:r>
          </w:p>
        </w:tc>
        <w:tc>
          <w:tcPr>
            <w:tcW w:w="394" w:type="pct"/>
            <w:tcBorders>
              <w:top w:val="nil"/>
              <w:left w:val="nil"/>
              <w:bottom w:val="single" w:sz="4" w:space="0" w:color="auto"/>
              <w:right w:val="single" w:sz="4" w:space="0" w:color="auto"/>
            </w:tcBorders>
            <w:shd w:val="clear" w:color="auto" w:fill="F2FFE9"/>
            <w:noWrap/>
            <w:vAlign w:val="bottom"/>
            <w:hideMark/>
          </w:tcPr>
          <w:p w14:paraId="6C42C8F6"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0.00</w:t>
            </w:r>
          </w:p>
        </w:tc>
        <w:tc>
          <w:tcPr>
            <w:tcW w:w="297" w:type="pct"/>
            <w:tcBorders>
              <w:top w:val="nil"/>
              <w:left w:val="nil"/>
              <w:bottom w:val="single" w:sz="4" w:space="0" w:color="auto"/>
              <w:right w:val="single" w:sz="4" w:space="0" w:color="auto"/>
            </w:tcBorders>
            <w:shd w:val="clear" w:color="auto" w:fill="F2FFE9"/>
            <w:noWrap/>
            <w:vAlign w:val="bottom"/>
            <w:hideMark/>
          </w:tcPr>
          <w:p w14:paraId="59247BC1"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0.05</w:t>
            </w:r>
          </w:p>
        </w:tc>
        <w:tc>
          <w:tcPr>
            <w:tcW w:w="457" w:type="pct"/>
            <w:tcBorders>
              <w:top w:val="nil"/>
              <w:left w:val="nil"/>
              <w:bottom w:val="single" w:sz="4" w:space="0" w:color="auto"/>
              <w:right w:val="single" w:sz="4" w:space="0" w:color="auto"/>
            </w:tcBorders>
            <w:shd w:val="clear" w:color="auto" w:fill="F2FFE9"/>
            <w:noWrap/>
            <w:vAlign w:val="bottom"/>
            <w:hideMark/>
          </w:tcPr>
          <w:p w14:paraId="67AC74A7"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FALSE</w:t>
            </w:r>
          </w:p>
        </w:tc>
      </w:tr>
      <w:tr w:rsidR="00FD567D" w:rsidRPr="00E401A5" w14:paraId="778E9AAF"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FE9"/>
            <w:noWrap/>
            <w:vAlign w:val="bottom"/>
            <w:hideMark/>
          </w:tcPr>
          <w:p w14:paraId="5B86DCE3"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PARK7</w:t>
            </w:r>
          </w:p>
        </w:tc>
        <w:tc>
          <w:tcPr>
            <w:tcW w:w="2913" w:type="pct"/>
            <w:tcBorders>
              <w:top w:val="nil"/>
              <w:left w:val="nil"/>
              <w:bottom w:val="single" w:sz="4" w:space="0" w:color="auto"/>
              <w:right w:val="single" w:sz="4" w:space="0" w:color="auto"/>
            </w:tcBorders>
            <w:shd w:val="clear" w:color="auto" w:fill="F2FFE9"/>
            <w:noWrap/>
            <w:vAlign w:val="bottom"/>
            <w:hideMark/>
          </w:tcPr>
          <w:p w14:paraId="5FD4E38E"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Multifunctional protein involved in oxidative stress response, cellular protection, and metabolic regulation; expressed broadly in neural and immune cells.</w:t>
            </w:r>
          </w:p>
        </w:tc>
        <w:tc>
          <w:tcPr>
            <w:tcW w:w="472" w:type="pct"/>
            <w:tcBorders>
              <w:top w:val="nil"/>
              <w:left w:val="nil"/>
              <w:bottom w:val="single" w:sz="4" w:space="0" w:color="auto"/>
              <w:right w:val="single" w:sz="4" w:space="0" w:color="auto"/>
            </w:tcBorders>
            <w:shd w:val="clear" w:color="auto" w:fill="F2FFE9"/>
            <w:noWrap/>
            <w:vAlign w:val="bottom"/>
            <w:hideMark/>
          </w:tcPr>
          <w:p w14:paraId="052A986E"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0.33</w:t>
            </w:r>
          </w:p>
        </w:tc>
        <w:tc>
          <w:tcPr>
            <w:tcW w:w="394" w:type="pct"/>
            <w:tcBorders>
              <w:top w:val="nil"/>
              <w:left w:val="nil"/>
              <w:bottom w:val="single" w:sz="4" w:space="0" w:color="auto"/>
              <w:right w:val="single" w:sz="4" w:space="0" w:color="auto"/>
            </w:tcBorders>
            <w:shd w:val="clear" w:color="auto" w:fill="F2FFE9"/>
            <w:noWrap/>
            <w:vAlign w:val="bottom"/>
            <w:hideMark/>
          </w:tcPr>
          <w:p w14:paraId="4E265F45"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0.00</w:t>
            </w:r>
          </w:p>
        </w:tc>
        <w:tc>
          <w:tcPr>
            <w:tcW w:w="297" w:type="pct"/>
            <w:tcBorders>
              <w:top w:val="nil"/>
              <w:left w:val="nil"/>
              <w:bottom w:val="single" w:sz="4" w:space="0" w:color="auto"/>
              <w:right w:val="single" w:sz="4" w:space="0" w:color="auto"/>
            </w:tcBorders>
            <w:shd w:val="clear" w:color="auto" w:fill="F2FFE9"/>
            <w:noWrap/>
            <w:vAlign w:val="bottom"/>
            <w:hideMark/>
          </w:tcPr>
          <w:p w14:paraId="3121B375"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0.08</w:t>
            </w:r>
          </w:p>
        </w:tc>
        <w:tc>
          <w:tcPr>
            <w:tcW w:w="457" w:type="pct"/>
            <w:tcBorders>
              <w:top w:val="nil"/>
              <w:left w:val="nil"/>
              <w:bottom w:val="single" w:sz="4" w:space="0" w:color="auto"/>
              <w:right w:val="single" w:sz="4" w:space="0" w:color="auto"/>
            </w:tcBorders>
            <w:shd w:val="clear" w:color="auto" w:fill="F2FFE9"/>
            <w:noWrap/>
            <w:vAlign w:val="bottom"/>
            <w:hideMark/>
          </w:tcPr>
          <w:p w14:paraId="74EE5DBA"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FALSE</w:t>
            </w:r>
          </w:p>
        </w:tc>
      </w:tr>
      <w:tr w:rsidR="00FD567D" w:rsidRPr="00E401A5" w14:paraId="6BB1252A"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FE9"/>
            <w:noWrap/>
            <w:vAlign w:val="bottom"/>
            <w:hideMark/>
          </w:tcPr>
          <w:p w14:paraId="34D11DFE"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EPHB2</w:t>
            </w:r>
          </w:p>
        </w:tc>
        <w:tc>
          <w:tcPr>
            <w:tcW w:w="2913" w:type="pct"/>
            <w:tcBorders>
              <w:top w:val="nil"/>
              <w:left w:val="nil"/>
              <w:bottom w:val="single" w:sz="4" w:space="0" w:color="auto"/>
              <w:right w:val="single" w:sz="4" w:space="0" w:color="auto"/>
            </w:tcBorders>
            <w:shd w:val="clear" w:color="auto" w:fill="F2FFE9"/>
            <w:noWrap/>
            <w:vAlign w:val="bottom"/>
            <w:hideMark/>
          </w:tcPr>
          <w:p w14:paraId="55785AD6"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Ephrin receptor tyrosine kinase involved in axon guidance, synaptic plasticity, and cell–cell signa</w:t>
            </w:r>
            <w:r>
              <w:rPr>
                <w:rFonts w:ascii="Calibri" w:hAnsi="Calibri" w:cs="Calibri"/>
                <w:color w:val="000000" w:themeColor="text1"/>
                <w:sz w:val="14"/>
                <w:szCs w:val="14"/>
                <w:lang w:val="en-GB"/>
              </w:rPr>
              <w:t>l</w:t>
            </w:r>
            <w:r w:rsidRPr="00E401A5">
              <w:rPr>
                <w:rFonts w:ascii="Calibri" w:hAnsi="Calibri" w:cs="Calibri"/>
                <w:color w:val="000000" w:themeColor="text1"/>
                <w:sz w:val="14"/>
                <w:szCs w:val="14"/>
                <w:lang w:val="en-GB"/>
              </w:rPr>
              <w:t>ling within the nervous system.</w:t>
            </w:r>
          </w:p>
        </w:tc>
        <w:tc>
          <w:tcPr>
            <w:tcW w:w="472" w:type="pct"/>
            <w:tcBorders>
              <w:top w:val="nil"/>
              <w:left w:val="nil"/>
              <w:bottom w:val="single" w:sz="4" w:space="0" w:color="auto"/>
              <w:right w:val="single" w:sz="4" w:space="0" w:color="auto"/>
            </w:tcBorders>
            <w:shd w:val="clear" w:color="auto" w:fill="F2FFE9"/>
            <w:noWrap/>
            <w:vAlign w:val="bottom"/>
            <w:hideMark/>
          </w:tcPr>
          <w:p w14:paraId="05419B1D"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0.41</w:t>
            </w:r>
          </w:p>
        </w:tc>
        <w:tc>
          <w:tcPr>
            <w:tcW w:w="394" w:type="pct"/>
            <w:tcBorders>
              <w:top w:val="nil"/>
              <w:left w:val="nil"/>
              <w:bottom w:val="single" w:sz="4" w:space="0" w:color="auto"/>
              <w:right w:val="single" w:sz="4" w:space="0" w:color="auto"/>
            </w:tcBorders>
            <w:shd w:val="clear" w:color="auto" w:fill="F2FFE9"/>
            <w:noWrap/>
            <w:vAlign w:val="bottom"/>
            <w:hideMark/>
          </w:tcPr>
          <w:p w14:paraId="40E85312"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0.00</w:t>
            </w:r>
          </w:p>
        </w:tc>
        <w:tc>
          <w:tcPr>
            <w:tcW w:w="297" w:type="pct"/>
            <w:tcBorders>
              <w:top w:val="nil"/>
              <w:left w:val="nil"/>
              <w:bottom w:val="single" w:sz="4" w:space="0" w:color="auto"/>
              <w:right w:val="single" w:sz="4" w:space="0" w:color="auto"/>
            </w:tcBorders>
            <w:shd w:val="clear" w:color="auto" w:fill="F2FFE9"/>
            <w:noWrap/>
            <w:vAlign w:val="bottom"/>
            <w:hideMark/>
          </w:tcPr>
          <w:p w14:paraId="2BC7A179"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0.09</w:t>
            </w:r>
          </w:p>
        </w:tc>
        <w:tc>
          <w:tcPr>
            <w:tcW w:w="457" w:type="pct"/>
            <w:tcBorders>
              <w:top w:val="nil"/>
              <w:left w:val="nil"/>
              <w:bottom w:val="single" w:sz="4" w:space="0" w:color="auto"/>
              <w:right w:val="single" w:sz="4" w:space="0" w:color="auto"/>
            </w:tcBorders>
            <w:shd w:val="clear" w:color="auto" w:fill="F2FFE9"/>
            <w:noWrap/>
            <w:vAlign w:val="bottom"/>
            <w:hideMark/>
          </w:tcPr>
          <w:p w14:paraId="248A60D2"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FALSE</w:t>
            </w:r>
          </w:p>
        </w:tc>
      </w:tr>
      <w:tr w:rsidR="00FD567D" w:rsidRPr="00E401A5" w14:paraId="49B2589E"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5EBA40A"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HBA1</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3C00B6C6" w14:textId="77777777" w:rsidR="00FD567D" w:rsidRPr="00E401A5" w:rsidRDefault="00FD567D" w:rsidP="00BF7F17">
            <w:pPr>
              <w:rPr>
                <w:rFonts w:ascii="Calibri" w:hAnsi="Calibri" w:cs="Calibri"/>
                <w:color w:val="000000"/>
                <w:sz w:val="14"/>
                <w:szCs w:val="14"/>
                <w:lang w:val="en-GB"/>
              </w:rPr>
            </w:pPr>
            <w:proofErr w:type="spellStart"/>
            <w:r w:rsidRPr="00E401A5">
              <w:rPr>
                <w:rFonts w:ascii="Calibri" w:hAnsi="Calibri" w:cs="Calibri"/>
                <w:color w:val="000000" w:themeColor="text1"/>
                <w:sz w:val="14"/>
                <w:szCs w:val="14"/>
                <w:lang w:val="en-GB"/>
              </w:rPr>
              <w:t>Hemoglobin</w:t>
            </w:r>
            <w:proofErr w:type="spellEnd"/>
            <w:r w:rsidRPr="00E401A5">
              <w:rPr>
                <w:rFonts w:ascii="Calibri" w:hAnsi="Calibri" w:cs="Calibri"/>
                <w:color w:val="000000" w:themeColor="text1"/>
                <w:sz w:val="14"/>
                <w:szCs w:val="14"/>
                <w:lang w:val="en-GB"/>
              </w:rPr>
              <w:t xml:space="preserve"> subunit alpha; typically reflects blood-derived contamination when detected in CSF proteomics.</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0270AB0A"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1.98</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375E61B2"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0.24</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3AD6B2F2"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0.42</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599BD11E"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r w:rsidR="00FD567D" w:rsidRPr="00E401A5" w14:paraId="70037187"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9FE94BE"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VIM</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169D13B8"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Intermediate filament protein involved in cytoskeletal organization; expressed in mesenchymal and activated cells.</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230A3364"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1.71</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596249FC"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0.11</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2ABD2D67"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0.28</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36838EA0"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r w:rsidR="00FD567D" w:rsidRPr="00E401A5" w14:paraId="080093D0"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F274D57"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TUBB2A</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31CEE1D7"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Beta-tubulin isoform; core component of microtubules and intracellular transport machinery.</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68BAC9C6"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1.27</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60DB9482"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0.04</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62DD286D"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0.19</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5964B856"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r w:rsidR="00FD567D" w:rsidRPr="00E401A5" w14:paraId="1B736770"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9333A81"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HSPB1</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5D581338"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Small heat shock protein involved in stress responses, cytoskeletal stabilization, and protein folding.</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16E63991"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1.30</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193B2A92"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0.03</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0DDCF40A"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0.17</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708AE4AB"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r w:rsidR="00FD567D" w:rsidRPr="00E401A5" w14:paraId="3FA736CC"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553FC25"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KRT1</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71FCE3B7"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Keratin type I intermediate filament protein; commonly associated with epithelial and skin contamination in CSF samples.</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0DB8E03D"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2.22</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087F4846"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0.16</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16045D2E"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0.34</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40776695"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r w:rsidR="00FD567D" w:rsidRPr="00E401A5" w14:paraId="26F0050F"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CEE13B1"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KPRP</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24763024"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Keratinocyte proline-rich protein; expressed in epidermal differentiation and skin barrier formation.</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65218973"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2.46</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52A2FFB4"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0.19</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5238910E"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0.38</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5F2198CE"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r w:rsidR="00FD567D" w:rsidRPr="00E401A5" w14:paraId="630C09AE"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0FECB57"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PLEC</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29CBBFF8" w14:textId="77777777" w:rsidR="00FD567D" w:rsidRPr="00E401A5" w:rsidRDefault="00FD567D" w:rsidP="00BF7F17">
            <w:pPr>
              <w:rPr>
                <w:rFonts w:ascii="Calibri" w:hAnsi="Calibri" w:cs="Calibri"/>
                <w:color w:val="000000"/>
                <w:sz w:val="14"/>
                <w:szCs w:val="14"/>
                <w:lang w:val="en-GB"/>
              </w:rPr>
            </w:pPr>
            <w:proofErr w:type="spellStart"/>
            <w:r w:rsidRPr="00E401A5">
              <w:rPr>
                <w:rFonts w:ascii="Calibri" w:hAnsi="Calibri" w:cs="Calibri"/>
                <w:color w:val="000000" w:themeColor="text1"/>
                <w:sz w:val="14"/>
                <w:szCs w:val="14"/>
                <w:lang w:val="en-GB"/>
              </w:rPr>
              <w:t>Cytolinker</w:t>
            </w:r>
            <w:proofErr w:type="spellEnd"/>
            <w:r w:rsidRPr="00E401A5">
              <w:rPr>
                <w:rFonts w:ascii="Calibri" w:hAnsi="Calibri" w:cs="Calibri"/>
                <w:color w:val="000000" w:themeColor="text1"/>
                <w:sz w:val="14"/>
                <w:szCs w:val="14"/>
                <w:lang w:val="en-GB"/>
              </w:rPr>
              <w:t xml:space="preserve"> protein connecting intermediate filaments to other cytoskeletal elements; abundant in epithelial tissues.</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08904E23"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1.92</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23123B4E"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0.09</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0D79E7B8"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0.26</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18BB4328"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r w:rsidR="00FD567D" w:rsidRPr="00E401A5" w14:paraId="27419CE1"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FDC423C"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HBB</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1FE5D276" w14:textId="77777777" w:rsidR="00FD567D" w:rsidRPr="00E401A5" w:rsidRDefault="00FD567D" w:rsidP="00BF7F17">
            <w:pPr>
              <w:rPr>
                <w:rFonts w:ascii="Calibri" w:hAnsi="Calibri" w:cs="Calibri"/>
                <w:color w:val="000000"/>
                <w:sz w:val="14"/>
                <w:szCs w:val="14"/>
                <w:lang w:val="en-GB"/>
              </w:rPr>
            </w:pPr>
            <w:proofErr w:type="spellStart"/>
            <w:r w:rsidRPr="00E401A5">
              <w:rPr>
                <w:rFonts w:ascii="Calibri" w:hAnsi="Calibri" w:cs="Calibri"/>
                <w:color w:val="000000" w:themeColor="text1"/>
                <w:sz w:val="14"/>
                <w:szCs w:val="14"/>
                <w:lang w:val="en-GB"/>
              </w:rPr>
              <w:t>Hemoglobin</w:t>
            </w:r>
            <w:proofErr w:type="spellEnd"/>
            <w:r w:rsidRPr="00E401A5">
              <w:rPr>
                <w:rFonts w:ascii="Calibri" w:hAnsi="Calibri" w:cs="Calibri"/>
                <w:color w:val="000000" w:themeColor="text1"/>
                <w:sz w:val="14"/>
                <w:szCs w:val="14"/>
                <w:lang w:val="en-GB"/>
              </w:rPr>
              <w:t xml:space="preserve"> subunit beta; marker of blood contamination in CSF proteomic analyses.</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4EC7CA77"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2.89</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61AF09A6"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0.21</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13121E04"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0.39</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39164AD5"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r w:rsidR="00FD567D" w:rsidRPr="00E401A5" w14:paraId="7279F59C"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B2C32DD"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DSG1</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09A81AEF" w14:textId="77777777" w:rsidR="00FD567D" w:rsidRPr="00E401A5" w:rsidRDefault="00FD567D" w:rsidP="00BF7F17">
            <w:pPr>
              <w:rPr>
                <w:rFonts w:ascii="Calibri" w:hAnsi="Calibri" w:cs="Calibri"/>
                <w:color w:val="000000"/>
                <w:sz w:val="14"/>
                <w:szCs w:val="14"/>
                <w:lang w:val="en-GB"/>
              </w:rPr>
            </w:pPr>
            <w:proofErr w:type="spellStart"/>
            <w:r w:rsidRPr="00E401A5">
              <w:rPr>
                <w:rFonts w:ascii="Calibri" w:hAnsi="Calibri" w:cs="Calibri"/>
                <w:color w:val="000000" w:themeColor="text1"/>
                <w:sz w:val="14"/>
                <w:szCs w:val="14"/>
                <w:lang w:val="en-GB"/>
              </w:rPr>
              <w:t>Desmosomal</w:t>
            </w:r>
            <w:proofErr w:type="spellEnd"/>
            <w:r w:rsidRPr="00E401A5">
              <w:rPr>
                <w:rFonts w:ascii="Calibri" w:hAnsi="Calibri" w:cs="Calibri"/>
                <w:color w:val="000000" w:themeColor="text1"/>
                <w:sz w:val="14"/>
                <w:szCs w:val="14"/>
                <w:lang w:val="en-GB"/>
              </w:rPr>
              <w:t xml:space="preserve"> cadherin involved in epithelial cell–cell adhesion; skin-associated protein.</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111E03B7"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1.29</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4781427F"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0.36</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44E0D2C2"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0.52</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00024767"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r w:rsidR="00FD567D" w:rsidRPr="00E401A5" w14:paraId="7155B2DA"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BD04E8B"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DSP</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11620F47"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Structural component of desmosomes linking cadherins to intermediate filaments; enriched in epithelial tissues.</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79F0D607"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1.42</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274FD670"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0.28</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3CE23EF6"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0.45</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4E9626A7"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r w:rsidR="00FD567D" w:rsidRPr="00E401A5" w14:paraId="31FFA0FB"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FBB3B65"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AHNAK</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4CE2889A"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Large scaffolding protein involved in membrane–cytoskeleton organization and cellular stress responses.</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299F5FFA"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1.01</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6231C01A"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0.08</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29A38DD2"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0.25</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02848C1B"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r w:rsidR="00FD567D" w:rsidRPr="00E401A5" w14:paraId="459D03D4"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6CF875E"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TUBA1A</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5288E4E2"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Alpha-tubulin isoform; essential component of microtubules and intracellular transport.</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68C193BB"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1.25</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654D60C5"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0.03</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64865EB9"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0.17</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11ECD466"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r w:rsidR="00FD567D" w:rsidRPr="00E401A5" w14:paraId="75ACE940"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3A8AD64"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JUP</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691092D8"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 xml:space="preserve">Junctional protein involved in </w:t>
            </w:r>
            <w:proofErr w:type="spellStart"/>
            <w:r w:rsidRPr="00E401A5">
              <w:rPr>
                <w:rFonts w:ascii="Calibri" w:hAnsi="Calibri" w:cs="Calibri"/>
                <w:color w:val="000000" w:themeColor="text1"/>
                <w:sz w:val="14"/>
                <w:szCs w:val="14"/>
                <w:lang w:val="en-GB"/>
              </w:rPr>
              <w:t>desmosomal</w:t>
            </w:r>
            <w:proofErr w:type="spellEnd"/>
            <w:r w:rsidRPr="00E401A5">
              <w:rPr>
                <w:rFonts w:ascii="Calibri" w:hAnsi="Calibri" w:cs="Calibri"/>
                <w:color w:val="000000" w:themeColor="text1"/>
                <w:sz w:val="14"/>
                <w:szCs w:val="14"/>
                <w:lang w:val="en-GB"/>
              </w:rPr>
              <w:t xml:space="preserve"> and </w:t>
            </w:r>
            <w:proofErr w:type="spellStart"/>
            <w:r w:rsidRPr="00E401A5">
              <w:rPr>
                <w:rFonts w:ascii="Calibri" w:hAnsi="Calibri" w:cs="Calibri"/>
                <w:color w:val="000000" w:themeColor="text1"/>
                <w:sz w:val="14"/>
                <w:szCs w:val="14"/>
                <w:lang w:val="en-GB"/>
              </w:rPr>
              <w:t>adherens</w:t>
            </w:r>
            <w:proofErr w:type="spellEnd"/>
            <w:r w:rsidRPr="00E401A5">
              <w:rPr>
                <w:rFonts w:ascii="Calibri" w:hAnsi="Calibri" w:cs="Calibri"/>
                <w:color w:val="000000" w:themeColor="text1"/>
                <w:sz w:val="14"/>
                <w:szCs w:val="14"/>
                <w:lang w:val="en-GB"/>
              </w:rPr>
              <w:t xml:space="preserve"> junction integrity; expressed in epithelial and cardiac tissues.</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3BDE472E"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1.28</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595D79F7"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0.29</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721CD2CB"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0.46</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56CF9C52"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r w:rsidR="00FD567D" w:rsidRPr="00E401A5" w14:paraId="35A0E864"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57D38EF"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EEF2</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2FFDE5E4"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Translation elongation factor involved in protein synthesis and cellular metabolic activity.</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3A693717"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1.13</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71735055"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0.03</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6FDDCB0E"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0.18</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2AC3D3CB"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r w:rsidR="00FD567D" w:rsidRPr="00E401A5" w14:paraId="5558E362"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9000F67"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CA3</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125BE2C6"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Carbonic anhydrase III; highly expressed in muscle and erythrocytes, commonly reflecting blood contamination in CSF.</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6A177F3F"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1.14</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2279925E"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0.13</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2CF0EB01"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0.30</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31744A73"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r w:rsidR="00FD567D" w:rsidRPr="00E401A5" w14:paraId="411DDE21"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E181CFD"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DCD</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0E1CEF74"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Antimicrobial peptide expressed in sweat glands and skin; indicates epithelial contamination when detected in CSF.</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071AEAF1"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2.08</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2EB3E310"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0.18</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461AA98A"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0.36</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07E6ECFA"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r w:rsidR="00FD567D" w:rsidRPr="00E401A5" w14:paraId="47C8E506" w14:textId="77777777" w:rsidTr="00BF7F17">
        <w:trPr>
          <w:trHeight w:val="3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1DF7161" w14:textId="77777777" w:rsidR="00FD567D" w:rsidRPr="00E401A5" w:rsidRDefault="00FD567D" w:rsidP="00BF7F17">
            <w:pPr>
              <w:rPr>
                <w:rFonts w:ascii="Calibri" w:hAnsi="Calibri" w:cs="Calibri"/>
                <w:color w:val="000000"/>
                <w:sz w:val="16"/>
                <w:szCs w:val="16"/>
                <w:lang w:val="en-GB"/>
              </w:rPr>
            </w:pPr>
            <w:r w:rsidRPr="00E401A5">
              <w:rPr>
                <w:rFonts w:ascii="Calibri" w:hAnsi="Calibri" w:cs="Calibri"/>
                <w:color w:val="000000" w:themeColor="text1"/>
                <w:sz w:val="16"/>
                <w:szCs w:val="16"/>
                <w:lang w:val="en-GB"/>
              </w:rPr>
              <w:t>KRT9</w:t>
            </w:r>
          </w:p>
        </w:tc>
        <w:tc>
          <w:tcPr>
            <w:tcW w:w="2913" w:type="pct"/>
            <w:tcBorders>
              <w:top w:val="nil"/>
              <w:left w:val="nil"/>
              <w:bottom w:val="single" w:sz="4" w:space="0" w:color="auto"/>
              <w:right w:val="single" w:sz="4" w:space="0" w:color="auto"/>
            </w:tcBorders>
            <w:shd w:val="clear" w:color="auto" w:fill="F2F2F2" w:themeFill="background1" w:themeFillShade="F2"/>
            <w:noWrap/>
            <w:vAlign w:val="bottom"/>
            <w:hideMark/>
          </w:tcPr>
          <w:p w14:paraId="640D6476" w14:textId="77777777" w:rsidR="00FD567D" w:rsidRPr="00E401A5" w:rsidRDefault="00FD567D" w:rsidP="00BF7F17">
            <w:pPr>
              <w:rPr>
                <w:rFonts w:ascii="Calibri" w:hAnsi="Calibri" w:cs="Calibri"/>
                <w:color w:val="000000"/>
                <w:sz w:val="14"/>
                <w:szCs w:val="14"/>
                <w:lang w:val="en-GB"/>
              </w:rPr>
            </w:pPr>
            <w:r w:rsidRPr="00E401A5">
              <w:rPr>
                <w:rFonts w:ascii="Calibri" w:hAnsi="Calibri" w:cs="Calibri"/>
                <w:color w:val="000000" w:themeColor="text1"/>
                <w:sz w:val="14"/>
                <w:szCs w:val="14"/>
                <w:lang w:val="en-GB"/>
              </w:rPr>
              <w:t>Keratin expressed in palmoplantar epidermis; strong indicator of skin contamination.</w:t>
            </w:r>
          </w:p>
        </w:tc>
        <w:tc>
          <w:tcPr>
            <w:tcW w:w="472" w:type="pct"/>
            <w:tcBorders>
              <w:top w:val="nil"/>
              <w:left w:val="nil"/>
              <w:bottom w:val="single" w:sz="4" w:space="0" w:color="auto"/>
              <w:right w:val="single" w:sz="4" w:space="0" w:color="auto"/>
            </w:tcBorders>
            <w:shd w:val="clear" w:color="auto" w:fill="F2F2F2" w:themeFill="background1" w:themeFillShade="F2"/>
            <w:noWrap/>
            <w:vAlign w:val="bottom"/>
            <w:hideMark/>
          </w:tcPr>
          <w:p w14:paraId="70D3F4FB"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2.41</w:t>
            </w:r>
          </w:p>
        </w:tc>
        <w:tc>
          <w:tcPr>
            <w:tcW w:w="394" w:type="pct"/>
            <w:tcBorders>
              <w:top w:val="nil"/>
              <w:left w:val="nil"/>
              <w:bottom w:val="single" w:sz="4" w:space="0" w:color="auto"/>
              <w:right w:val="single" w:sz="4" w:space="0" w:color="auto"/>
            </w:tcBorders>
            <w:shd w:val="clear" w:color="auto" w:fill="F2F2F2" w:themeFill="background1" w:themeFillShade="F2"/>
            <w:noWrap/>
            <w:vAlign w:val="bottom"/>
            <w:hideMark/>
          </w:tcPr>
          <w:p w14:paraId="0E6A3387"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0.13</w:t>
            </w:r>
          </w:p>
        </w:tc>
        <w:tc>
          <w:tcPr>
            <w:tcW w:w="297" w:type="pct"/>
            <w:tcBorders>
              <w:top w:val="nil"/>
              <w:left w:val="nil"/>
              <w:bottom w:val="single" w:sz="4" w:space="0" w:color="auto"/>
              <w:right w:val="single" w:sz="4" w:space="0" w:color="auto"/>
            </w:tcBorders>
            <w:shd w:val="clear" w:color="auto" w:fill="F2F2F2" w:themeFill="background1" w:themeFillShade="F2"/>
            <w:noWrap/>
            <w:vAlign w:val="bottom"/>
            <w:hideMark/>
          </w:tcPr>
          <w:p w14:paraId="1B477C91" w14:textId="77777777" w:rsidR="00FD567D" w:rsidRPr="00E401A5" w:rsidRDefault="00FD567D" w:rsidP="00BF7F17">
            <w:pPr>
              <w:jc w:val="right"/>
              <w:rPr>
                <w:rFonts w:ascii="Calibri" w:hAnsi="Calibri" w:cs="Calibri"/>
                <w:color w:val="000000"/>
                <w:sz w:val="16"/>
                <w:szCs w:val="16"/>
                <w:lang w:val="en-GB"/>
              </w:rPr>
            </w:pPr>
            <w:r w:rsidRPr="00E401A5">
              <w:rPr>
                <w:rFonts w:ascii="Calibri" w:hAnsi="Calibri" w:cs="Calibri"/>
                <w:color w:val="000000" w:themeColor="text1"/>
                <w:sz w:val="16"/>
                <w:szCs w:val="16"/>
                <w:lang w:val="en-GB"/>
              </w:rPr>
              <w:t>0.30</w:t>
            </w:r>
          </w:p>
        </w:tc>
        <w:tc>
          <w:tcPr>
            <w:tcW w:w="457" w:type="pct"/>
            <w:tcBorders>
              <w:top w:val="nil"/>
              <w:left w:val="nil"/>
              <w:bottom w:val="single" w:sz="4" w:space="0" w:color="auto"/>
              <w:right w:val="single" w:sz="4" w:space="0" w:color="auto"/>
            </w:tcBorders>
            <w:shd w:val="clear" w:color="auto" w:fill="F2F2F2" w:themeFill="background1" w:themeFillShade="F2"/>
            <w:noWrap/>
            <w:vAlign w:val="bottom"/>
            <w:hideMark/>
          </w:tcPr>
          <w:p w14:paraId="208274D5" w14:textId="77777777" w:rsidR="00FD567D" w:rsidRPr="00E401A5" w:rsidRDefault="00FD567D" w:rsidP="00BF7F17">
            <w:pPr>
              <w:jc w:val="center"/>
              <w:rPr>
                <w:rFonts w:ascii="Calibri" w:hAnsi="Calibri" w:cs="Calibri"/>
                <w:color w:val="000000"/>
                <w:sz w:val="16"/>
                <w:szCs w:val="16"/>
                <w:lang w:val="en-GB"/>
              </w:rPr>
            </w:pPr>
            <w:r w:rsidRPr="00E401A5">
              <w:rPr>
                <w:rFonts w:ascii="Calibri" w:hAnsi="Calibri" w:cs="Calibri"/>
                <w:color w:val="000000" w:themeColor="text1"/>
                <w:sz w:val="16"/>
                <w:szCs w:val="16"/>
                <w:lang w:val="en-GB"/>
              </w:rPr>
              <w:t>TRUE</w:t>
            </w:r>
          </w:p>
        </w:tc>
      </w:tr>
    </w:tbl>
    <w:p w14:paraId="0106E243" w14:textId="77777777" w:rsidR="00FD567D" w:rsidRPr="00E401A5" w:rsidRDefault="00FD567D" w:rsidP="00FD567D">
      <w:pPr>
        <w:jc w:val="both"/>
        <w:rPr>
          <w:rFonts w:ascii="Calibri" w:hAnsi="Calibri" w:cs="Calibri"/>
          <w:b/>
          <w:bCs/>
          <w:lang w:val="en-GB"/>
        </w:rPr>
      </w:pPr>
    </w:p>
    <w:p w14:paraId="0022D7F8" w14:textId="77777777" w:rsidR="00FD567D" w:rsidRPr="00E401A5" w:rsidRDefault="00FD567D" w:rsidP="00FD567D">
      <w:pPr>
        <w:jc w:val="both"/>
        <w:rPr>
          <w:rFonts w:ascii="Calibri" w:hAnsi="Calibri" w:cs="Calibri"/>
          <w:b/>
          <w:bCs/>
          <w:lang w:val="en-GB"/>
        </w:rPr>
      </w:pPr>
    </w:p>
    <w:p w14:paraId="53C3FE57" w14:textId="77777777" w:rsidR="00FD567D" w:rsidRPr="00E401A5" w:rsidRDefault="00FD567D" w:rsidP="00FD567D">
      <w:pPr>
        <w:jc w:val="both"/>
        <w:rPr>
          <w:rFonts w:ascii="Calibri" w:hAnsi="Calibri" w:cs="Calibri"/>
          <w:b/>
          <w:bCs/>
          <w:lang w:val="en-GB"/>
        </w:rPr>
      </w:pPr>
    </w:p>
    <w:p w14:paraId="21012C41" w14:textId="77777777" w:rsidR="00FD567D" w:rsidRPr="00E401A5" w:rsidRDefault="00FD567D" w:rsidP="00FD567D">
      <w:pPr>
        <w:jc w:val="both"/>
        <w:rPr>
          <w:rFonts w:ascii="Calibri" w:hAnsi="Calibri" w:cs="Calibri"/>
          <w:b/>
          <w:bCs/>
          <w:lang w:val="en-GB"/>
        </w:rPr>
      </w:pPr>
    </w:p>
    <w:p w14:paraId="450B831E" w14:textId="77777777" w:rsidR="00FD567D" w:rsidRPr="00E401A5" w:rsidRDefault="00FD567D" w:rsidP="00FD567D">
      <w:pPr>
        <w:jc w:val="both"/>
        <w:rPr>
          <w:rFonts w:ascii="Calibri" w:hAnsi="Calibri" w:cs="Calibri"/>
          <w:b/>
          <w:bCs/>
          <w:lang w:val="en-GB"/>
        </w:rPr>
      </w:pPr>
    </w:p>
    <w:p w14:paraId="65B1F701" w14:textId="77777777" w:rsidR="00FD567D" w:rsidRPr="00E401A5" w:rsidRDefault="00FD567D" w:rsidP="00FD567D">
      <w:pPr>
        <w:jc w:val="both"/>
        <w:rPr>
          <w:rFonts w:ascii="Calibri" w:hAnsi="Calibri" w:cs="Calibri"/>
          <w:sz w:val="20"/>
          <w:szCs w:val="20"/>
          <w:lang w:val="en-GB"/>
        </w:rPr>
      </w:pPr>
      <w:r w:rsidRPr="00E401A5">
        <w:rPr>
          <w:rStyle w:val="Strong"/>
          <w:rFonts w:ascii="Calibri" w:hAnsi="Calibri" w:cs="Calibri"/>
          <w:sz w:val="20"/>
          <w:szCs w:val="20"/>
          <w:lang w:val="en-GB"/>
        </w:rPr>
        <w:lastRenderedPageBreak/>
        <w:t xml:space="preserve">Supplementary Figure 1: </w:t>
      </w:r>
      <w:r w:rsidRPr="00E401A5">
        <w:rPr>
          <w:rFonts w:ascii="Calibri" w:hAnsi="Calibri" w:cs="Calibri"/>
          <w:b/>
          <w:bCs/>
          <w:sz w:val="20"/>
          <w:szCs w:val="20"/>
          <w:lang w:val="en-GB"/>
        </w:rPr>
        <w:t>Cell counts per immune phenotype at baseline.</w:t>
      </w:r>
      <w:r w:rsidRPr="00E401A5">
        <w:rPr>
          <w:lang w:val="en-GB"/>
        </w:rPr>
        <w:t xml:space="preserve"> </w:t>
      </w:r>
      <w:r w:rsidRPr="00E401A5">
        <w:rPr>
          <w:rFonts w:ascii="Calibri" w:hAnsi="Calibri" w:cs="Calibri"/>
          <w:sz w:val="20"/>
          <w:szCs w:val="20"/>
          <w:lang w:val="en-GB"/>
        </w:rPr>
        <w:t xml:space="preserve">Bar plot showing the number of immune cells assigned to each of the 25 </w:t>
      </w:r>
      <w:proofErr w:type="spellStart"/>
      <w:r w:rsidRPr="00E401A5">
        <w:rPr>
          <w:rFonts w:ascii="Calibri" w:hAnsi="Calibri" w:cs="Calibri"/>
          <w:sz w:val="20"/>
          <w:szCs w:val="20"/>
          <w:lang w:val="en-GB"/>
        </w:rPr>
        <w:t>phenotyped</w:t>
      </w:r>
      <w:proofErr w:type="spellEnd"/>
      <w:r w:rsidRPr="00E401A5">
        <w:rPr>
          <w:rFonts w:ascii="Calibri" w:hAnsi="Calibri" w:cs="Calibri"/>
          <w:sz w:val="20"/>
          <w:szCs w:val="20"/>
          <w:lang w:val="en-GB"/>
        </w:rPr>
        <w:t xml:space="preserve"> cell populations based on </w:t>
      </w:r>
      <w:proofErr w:type="spellStart"/>
      <w:r w:rsidRPr="00E401A5">
        <w:rPr>
          <w:rFonts w:ascii="Calibri" w:hAnsi="Calibri" w:cs="Calibri"/>
          <w:sz w:val="20"/>
          <w:szCs w:val="20"/>
          <w:lang w:val="en-GB"/>
        </w:rPr>
        <w:t>CyTOF</w:t>
      </w:r>
      <w:proofErr w:type="spellEnd"/>
      <w:r w:rsidRPr="00E401A5">
        <w:rPr>
          <w:rFonts w:ascii="Calibri" w:hAnsi="Calibri" w:cs="Calibri"/>
          <w:sz w:val="20"/>
          <w:szCs w:val="20"/>
          <w:lang w:val="en-GB"/>
        </w:rPr>
        <w:t xml:space="preserve"> analysis of baseline peripheral blood samples.</w:t>
      </w:r>
    </w:p>
    <w:p w14:paraId="775DCAC9" w14:textId="77777777" w:rsidR="00FD567D" w:rsidRPr="00E401A5" w:rsidRDefault="00FD567D" w:rsidP="00FD567D">
      <w:pPr>
        <w:jc w:val="both"/>
        <w:rPr>
          <w:rStyle w:val="Strong"/>
          <w:rFonts w:ascii="Calibri" w:hAnsi="Calibri" w:cs="Calibri"/>
          <w:b w:val="0"/>
          <w:bCs w:val="0"/>
          <w:sz w:val="20"/>
          <w:szCs w:val="20"/>
          <w:lang w:val="en-GB"/>
        </w:rPr>
      </w:pPr>
    </w:p>
    <w:p w14:paraId="643970A9"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036EF0C7" wp14:editId="5217BFCF">
            <wp:extent cx="4201056" cy="2235993"/>
            <wp:effectExtent l="0" t="0" r="3175" b="0"/>
            <wp:docPr id="760511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11118" name="Picture 760511118"/>
                    <pic:cNvPicPr/>
                  </pic:nvPicPr>
                  <pic:blipFill rotWithShape="1">
                    <a:blip r:embed="rId6"/>
                    <a:srcRect t="22969" b="23807"/>
                    <a:stretch>
                      <a:fillRect/>
                    </a:stretch>
                  </pic:blipFill>
                  <pic:spPr bwMode="auto">
                    <a:xfrm>
                      <a:off x="0" y="0"/>
                      <a:ext cx="4215997" cy="2243945"/>
                    </a:xfrm>
                    <a:prstGeom prst="rect">
                      <a:avLst/>
                    </a:prstGeom>
                    <a:ln>
                      <a:noFill/>
                    </a:ln>
                    <a:extLst>
                      <a:ext uri="{53640926-AAD7-44D8-BBD7-CCE9431645EC}">
                        <a14:shadowObscured xmlns:a14="http://schemas.microsoft.com/office/drawing/2010/main"/>
                      </a:ext>
                    </a:extLst>
                  </pic:spPr>
                </pic:pic>
              </a:graphicData>
            </a:graphic>
          </wp:inline>
        </w:drawing>
      </w:r>
    </w:p>
    <w:p w14:paraId="0AA3F5F7" w14:textId="77777777" w:rsidR="00FD567D" w:rsidRPr="00E401A5" w:rsidRDefault="00FD567D" w:rsidP="00FD567D">
      <w:pPr>
        <w:jc w:val="both"/>
        <w:rPr>
          <w:rFonts w:ascii="Calibri" w:hAnsi="Calibri" w:cs="Calibri"/>
          <w:b/>
          <w:bCs/>
          <w:lang w:val="en-GB"/>
        </w:rPr>
      </w:pPr>
    </w:p>
    <w:p w14:paraId="4F1FADCA" w14:textId="77777777" w:rsidR="00FD567D" w:rsidRPr="00E401A5" w:rsidRDefault="00FD567D" w:rsidP="00FD567D">
      <w:pPr>
        <w:jc w:val="both"/>
        <w:rPr>
          <w:rFonts w:ascii="Calibri" w:hAnsi="Calibri" w:cs="Calibri"/>
          <w:b/>
          <w:bCs/>
          <w:lang w:val="en-GB"/>
        </w:rPr>
      </w:pPr>
    </w:p>
    <w:p w14:paraId="0D5B0CE8" w14:textId="77777777" w:rsidR="00FD567D" w:rsidRPr="00E401A5" w:rsidRDefault="00FD567D" w:rsidP="00FD567D">
      <w:pPr>
        <w:jc w:val="both"/>
        <w:rPr>
          <w:rFonts w:ascii="Calibri" w:hAnsi="Calibri" w:cs="Calibri"/>
          <w:b/>
          <w:bCs/>
          <w:lang w:val="en-GB"/>
        </w:rPr>
      </w:pPr>
    </w:p>
    <w:p w14:paraId="790AD0AF"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sz w:val="20"/>
          <w:szCs w:val="20"/>
          <w:lang w:val="en-GB"/>
        </w:rPr>
        <w:t xml:space="preserve">Supplementary Figure 2: </w:t>
      </w:r>
      <w:r w:rsidRPr="00E401A5">
        <w:rPr>
          <w:rFonts w:ascii="Calibri" w:hAnsi="Calibri" w:cs="Calibri"/>
          <w:b/>
          <w:bCs/>
          <w:sz w:val="20"/>
          <w:szCs w:val="20"/>
          <w:lang w:val="en-GB"/>
        </w:rPr>
        <w:t>Cell counts per immune phenotype at 6m and 12m.</w:t>
      </w:r>
      <w:r w:rsidRPr="00E401A5">
        <w:rPr>
          <w:lang w:val="en-GB"/>
        </w:rPr>
        <w:t xml:space="preserve"> </w:t>
      </w:r>
      <w:r w:rsidRPr="00E401A5">
        <w:rPr>
          <w:rFonts w:ascii="Calibri" w:hAnsi="Calibri" w:cs="Calibri"/>
          <w:sz w:val="20"/>
          <w:szCs w:val="20"/>
          <w:lang w:val="en-GB"/>
        </w:rPr>
        <w:t xml:space="preserve">Bar plots showing the number of immune cells assigned to each of the 25 </w:t>
      </w:r>
      <w:proofErr w:type="spellStart"/>
      <w:r w:rsidRPr="00E401A5">
        <w:rPr>
          <w:rFonts w:ascii="Calibri" w:hAnsi="Calibri" w:cs="Calibri"/>
          <w:sz w:val="20"/>
          <w:szCs w:val="20"/>
          <w:lang w:val="en-GB"/>
        </w:rPr>
        <w:t>phenotyped</w:t>
      </w:r>
      <w:proofErr w:type="spellEnd"/>
      <w:r w:rsidRPr="00E401A5">
        <w:rPr>
          <w:rFonts w:ascii="Calibri" w:hAnsi="Calibri" w:cs="Calibri"/>
          <w:sz w:val="20"/>
          <w:szCs w:val="20"/>
          <w:lang w:val="en-GB"/>
        </w:rPr>
        <w:t xml:space="preserve"> cell populations based on </w:t>
      </w:r>
      <w:proofErr w:type="spellStart"/>
      <w:r w:rsidRPr="00E401A5">
        <w:rPr>
          <w:rFonts w:ascii="Calibri" w:hAnsi="Calibri" w:cs="Calibri"/>
          <w:sz w:val="20"/>
          <w:szCs w:val="20"/>
          <w:lang w:val="en-GB"/>
        </w:rPr>
        <w:t>CyTOF</w:t>
      </w:r>
      <w:proofErr w:type="spellEnd"/>
      <w:r w:rsidRPr="00E401A5">
        <w:rPr>
          <w:rFonts w:ascii="Calibri" w:hAnsi="Calibri" w:cs="Calibri"/>
          <w:sz w:val="20"/>
          <w:szCs w:val="20"/>
          <w:lang w:val="en-GB"/>
        </w:rPr>
        <w:t xml:space="preserve"> analysis of peripheral blood sampled at 6 months (6m) and 12 months (12m) post MSC administration.</w:t>
      </w:r>
    </w:p>
    <w:p w14:paraId="2EF4B074" w14:textId="77777777" w:rsidR="00FD567D" w:rsidRPr="00E401A5" w:rsidRDefault="00FD567D" w:rsidP="00FD567D">
      <w:pPr>
        <w:jc w:val="both"/>
        <w:rPr>
          <w:rFonts w:ascii="Calibri" w:hAnsi="Calibri" w:cs="Calibri"/>
          <w:b/>
          <w:bCs/>
          <w:lang w:val="en-GB"/>
        </w:rPr>
      </w:pPr>
    </w:p>
    <w:p w14:paraId="7C2214C0"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742646E8" wp14:editId="7B7B22E5">
            <wp:extent cx="4143375" cy="3508996"/>
            <wp:effectExtent l="0" t="0" r="0" b="0"/>
            <wp:docPr id="13268480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848054" name="Picture 1326848054"/>
                    <pic:cNvPicPr/>
                  </pic:nvPicPr>
                  <pic:blipFill rotWithShape="1">
                    <a:blip r:embed="rId7"/>
                    <a:srcRect t="7359" b="7952"/>
                    <a:stretch>
                      <a:fillRect/>
                    </a:stretch>
                  </pic:blipFill>
                  <pic:spPr bwMode="auto">
                    <a:xfrm>
                      <a:off x="0" y="0"/>
                      <a:ext cx="4170310" cy="3531807"/>
                    </a:xfrm>
                    <a:prstGeom prst="rect">
                      <a:avLst/>
                    </a:prstGeom>
                    <a:ln>
                      <a:noFill/>
                    </a:ln>
                    <a:extLst>
                      <a:ext uri="{53640926-AAD7-44D8-BBD7-CCE9431645EC}">
                        <a14:shadowObscured xmlns:a14="http://schemas.microsoft.com/office/drawing/2010/main"/>
                      </a:ext>
                    </a:extLst>
                  </pic:spPr>
                </pic:pic>
              </a:graphicData>
            </a:graphic>
          </wp:inline>
        </w:drawing>
      </w:r>
    </w:p>
    <w:p w14:paraId="4282F5F2" w14:textId="77777777" w:rsidR="00FD567D" w:rsidRPr="00E401A5" w:rsidRDefault="00FD567D" w:rsidP="00FD567D">
      <w:pPr>
        <w:jc w:val="both"/>
        <w:rPr>
          <w:rFonts w:ascii="Calibri" w:hAnsi="Calibri" w:cs="Calibri"/>
          <w:b/>
          <w:bCs/>
          <w:lang w:val="en-GB"/>
        </w:rPr>
      </w:pPr>
    </w:p>
    <w:p w14:paraId="352229D8" w14:textId="77777777" w:rsidR="00FD567D" w:rsidRPr="00E401A5" w:rsidRDefault="00FD567D" w:rsidP="00FD567D">
      <w:pPr>
        <w:jc w:val="both"/>
        <w:rPr>
          <w:rFonts w:ascii="Calibri" w:hAnsi="Calibri" w:cs="Calibri"/>
          <w:b/>
          <w:bCs/>
          <w:lang w:val="en-GB"/>
        </w:rPr>
      </w:pPr>
    </w:p>
    <w:p w14:paraId="7AAC10A4" w14:textId="77777777" w:rsidR="00FD567D" w:rsidRPr="00E401A5" w:rsidRDefault="00FD567D" w:rsidP="00FD567D">
      <w:pPr>
        <w:jc w:val="both"/>
        <w:rPr>
          <w:rFonts w:ascii="Calibri" w:hAnsi="Calibri" w:cs="Calibri"/>
          <w:b/>
          <w:bCs/>
          <w:lang w:val="en-GB"/>
        </w:rPr>
      </w:pPr>
    </w:p>
    <w:p w14:paraId="3607673A" w14:textId="77777777" w:rsidR="00FD567D" w:rsidRPr="00E401A5" w:rsidRDefault="00FD567D" w:rsidP="00FD567D">
      <w:pPr>
        <w:jc w:val="both"/>
        <w:rPr>
          <w:rFonts w:ascii="Calibri" w:hAnsi="Calibri" w:cs="Calibri"/>
          <w:b/>
          <w:bCs/>
          <w:lang w:val="en-GB"/>
        </w:rPr>
      </w:pPr>
    </w:p>
    <w:p w14:paraId="550FFB74" w14:textId="77777777" w:rsidR="00FD567D" w:rsidRPr="00E401A5" w:rsidRDefault="00FD567D" w:rsidP="00FD567D">
      <w:pPr>
        <w:jc w:val="both"/>
        <w:rPr>
          <w:rFonts w:ascii="Calibri" w:hAnsi="Calibri" w:cs="Calibri"/>
          <w:b/>
          <w:bCs/>
          <w:lang w:val="en-GB"/>
        </w:rPr>
      </w:pPr>
    </w:p>
    <w:p w14:paraId="612E73BF" w14:textId="77777777" w:rsidR="00FD567D" w:rsidRPr="00E401A5" w:rsidRDefault="00FD567D" w:rsidP="00FD567D">
      <w:pPr>
        <w:jc w:val="both"/>
        <w:rPr>
          <w:rFonts w:ascii="Calibri" w:hAnsi="Calibri" w:cs="Calibri"/>
          <w:b/>
          <w:bCs/>
          <w:lang w:val="en-GB"/>
        </w:rPr>
      </w:pPr>
    </w:p>
    <w:p w14:paraId="4E1B41B9" w14:textId="77777777" w:rsidR="00FD567D" w:rsidRPr="00E401A5" w:rsidRDefault="00FD567D" w:rsidP="00FD567D">
      <w:pPr>
        <w:jc w:val="both"/>
        <w:rPr>
          <w:rFonts w:ascii="Calibri" w:hAnsi="Calibri" w:cs="Calibri"/>
          <w:color w:val="222222"/>
          <w:sz w:val="20"/>
          <w:szCs w:val="20"/>
          <w:shd w:val="clear" w:color="auto" w:fill="FFFFFF"/>
          <w:lang w:val="en-GB"/>
        </w:rPr>
      </w:pPr>
      <w:r w:rsidRPr="00E401A5">
        <w:rPr>
          <w:rStyle w:val="Strong"/>
          <w:rFonts w:ascii="Calibri" w:hAnsi="Calibri" w:cs="Calibri"/>
          <w:sz w:val="20"/>
          <w:szCs w:val="20"/>
          <w:lang w:val="en-GB"/>
        </w:rPr>
        <w:lastRenderedPageBreak/>
        <w:t xml:space="preserve">Supplementary Figure 3: Immune landscape at 6m and 12m post MSC administration. </w:t>
      </w:r>
      <w:r w:rsidRPr="00E401A5">
        <w:rPr>
          <w:rFonts w:ascii="Calibri" w:hAnsi="Calibri" w:cs="Calibri"/>
          <w:color w:val="222222"/>
          <w:sz w:val="20"/>
          <w:szCs w:val="20"/>
          <w:shd w:val="clear" w:color="auto" w:fill="FFFFFF"/>
          <w:lang w:val="en-GB"/>
        </w:rPr>
        <w:t>UMAP projection of all CD45⁺CD66b</w:t>
      </w:r>
      <w:r w:rsidRPr="00E401A5">
        <w:rPr>
          <w:rFonts w:ascii="Calibri" w:hAnsi="Calibri" w:cs="Calibri"/>
          <w:color w:val="222222"/>
          <w:sz w:val="20"/>
          <w:szCs w:val="20"/>
          <w:shd w:val="clear" w:color="auto" w:fill="FFFFFF"/>
          <w:vertAlign w:val="superscript"/>
          <w:lang w:val="en-GB"/>
        </w:rPr>
        <w:t>low/neg</w:t>
      </w:r>
      <w:r w:rsidRPr="00E401A5">
        <w:rPr>
          <w:rFonts w:ascii="Calibri" w:hAnsi="Calibri" w:cs="Calibri"/>
          <w:color w:val="222222"/>
          <w:sz w:val="20"/>
          <w:szCs w:val="20"/>
          <w:shd w:val="clear" w:color="auto" w:fill="FFFFFF"/>
          <w:lang w:val="en-GB"/>
        </w:rPr>
        <w:t xml:space="preserve"> cells at 6 months (6m) and 12 months (12m) post MSC administration coloured by the 25 immune phenotypes identified by unsupervised clustering</w:t>
      </w:r>
    </w:p>
    <w:p w14:paraId="06B54029" w14:textId="77777777" w:rsidR="00FD567D" w:rsidRPr="00E401A5" w:rsidRDefault="00FD567D" w:rsidP="00FD567D">
      <w:pPr>
        <w:jc w:val="both"/>
        <w:rPr>
          <w:rFonts w:ascii="Calibri" w:hAnsi="Calibri" w:cs="Calibri"/>
          <w:b/>
          <w:bCs/>
          <w:lang w:val="en-GB"/>
        </w:rPr>
      </w:pPr>
    </w:p>
    <w:p w14:paraId="726B1239"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3DF6ABB2" wp14:editId="3B2592EC">
            <wp:extent cx="4088426" cy="2993231"/>
            <wp:effectExtent l="0" t="0" r="1270" b="4445"/>
            <wp:docPr id="4553514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351490" name="Picture 455351490"/>
                    <pic:cNvPicPr/>
                  </pic:nvPicPr>
                  <pic:blipFill rotWithShape="1">
                    <a:blip r:embed="rId8"/>
                    <a:srcRect t="12472" b="14316"/>
                    <a:stretch>
                      <a:fillRect/>
                    </a:stretch>
                  </pic:blipFill>
                  <pic:spPr bwMode="auto">
                    <a:xfrm>
                      <a:off x="0" y="0"/>
                      <a:ext cx="4090533" cy="2994773"/>
                    </a:xfrm>
                    <a:prstGeom prst="rect">
                      <a:avLst/>
                    </a:prstGeom>
                    <a:ln>
                      <a:noFill/>
                    </a:ln>
                    <a:extLst>
                      <a:ext uri="{53640926-AAD7-44D8-BBD7-CCE9431645EC}">
                        <a14:shadowObscured xmlns:a14="http://schemas.microsoft.com/office/drawing/2010/main"/>
                      </a:ext>
                    </a:extLst>
                  </pic:spPr>
                </pic:pic>
              </a:graphicData>
            </a:graphic>
          </wp:inline>
        </w:drawing>
      </w:r>
    </w:p>
    <w:p w14:paraId="10A710CB" w14:textId="77777777" w:rsidR="00FD567D" w:rsidRPr="00E401A5" w:rsidRDefault="00FD567D" w:rsidP="00FD567D">
      <w:pPr>
        <w:jc w:val="both"/>
        <w:rPr>
          <w:rFonts w:ascii="Calibri" w:hAnsi="Calibri" w:cs="Calibri"/>
          <w:b/>
          <w:bCs/>
          <w:lang w:val="en-GB"/>
        </w:rPr>
      </w:pPr>
    </w:p>
    <w:p w14:paraId="743BE76D" w14:textId="77777777" w:rsidR="00FD567D" w:rsidRPr="00E401A5" w:rsidRDefault="00FD567D" w:rsidP="00FD567D">
      <w:pPr>
        <w:jc w:val="both"/>
        <w:rPr>
          <w:rFonts w:ascii="Calibri" w:hAnsi="Calibri" w:cs="Calibri"/>
          <w:sz w:val="20"/>
          <w:szCs w:val="20"/>
          <w:lang w:val="en-GB"/>
        </w:rPr>
      </w:pPr>
      <w:r w:rsidRPr="00E401A5">
        <w:rPr>
          <w:rStyle w:val="Strong"/>
          <w:rFonts w:ascii="Calibri" w:hAnsi="Calibri" w:cs="Calibri"/>
          <w:sz w:val="20"/>
          <w:szCs w:val="20"/>
          <w:lang w:val="en-GB"/>
        </w:rPr>
        <w:t>Supplementary Figure 4: MSC-associated effects on peripheral immune cell composition</w:t>
      </w:r>
      <w:r w:rsidRPr="00E401A5">
        <w:rPr>
          <w:lang w:val="en-GB"/>
        </w:rPr>
        <w:t xml:space="preserve">. </w:t>
      </w:r>
      <w:r w:rsidRPr="00E401A5">
        <w:rPr>
          <w:rFonts w:ascii="Calibri" w:hAnsi="Calibri" w:cs="Calibri"/>
          <w:sz w:val="20"/>
          <w:szCs w:val="20"/>
          <w:lang w:val="en-GB"/>
        </w:rPr>
        <w:t>Volcano plot showing MSC-associated effects on peripheral immune cell composition. Effect estimates from mixed-effects models comparing MSC versus control periods are plotted against −log10 p-values. Each point represents one immune phenotype, with positive values indicating relative enrichment during MSC exposure.</w:t>
      </w:r>
    </w:p>
    <w:p w14:paraId="392A3CD4" w14:textId="77777777" w:rsidR="00FD567D" w:rsidRPr="00E401A5" w:rsidRDefault="00FD567D" w:rsidP="00FD567D">
      <w:pPr>
        <w:jc w:val="both"/>
        <w:rPr>
          <w:rFonts w:ascii="Calibri" w:hAnsi="Calibri" w:cs="Calibri"/>
          <w:b/>
          <w:bCs/>
          <w:lang w:val="en-GB"/>
        </w:rPr>
      </w:pPr>
    </w:p>
    <w:p w14:paraId="246C7100"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2B82379C" wp14:editId="3D9C2746">
            <wp:extent cx="3607594" cy="3607594"/>
            <wp:effectExtent l="0" t="0" r="0" b="0"/>
            <wp:docPr id="20925060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06082" name="Picture 2092506082"/>
                    <pic:cNvPicPr/>
                  </pic:nvPicPr>
                  <pic:blipFill>
                    <a:blip r:embed="rId9"/>
                    <a:stretch>
                      <a:fillRect/>
                    </a:stretch>
                  </pic:blipFill>
                  <pic:spPr>
                    <a:xfrm>
                      <a:off x="0" y="0"/>
                      <a:ext cx="3626707" cy="3626707"/>
                    </a:xfrm>
                    <a:prstGeom prst="rect">
                      <a:avLst/>
                    </a:prstGeom>
                  </pic:spPr>
                </pic:pic>
              </a:graphicData>
            </a:graphic>
          </wp:inline>
        </w:drawing>
      </w:r>
    </w:p>
    <w:p w14:paraId="6F37DAA0" w14:textId="77777777" w:rsidR="00FD567D" w:rsidRPr="00E401A5" w:rsidRDefault="00FD567D" w:rsidP="00FD567D">
      <w:pPr>
        <w:jc w:val="both"/>
        <w:rPr>
          <w:rFonts w:ascii="Calibri" w:hAnsi="Calibri" w:cs="Calibri"/>
          <w:b/>
          <w:bCs/>
          <w:lang w:val="en-GB"/>
        </w:rPr>
      </w:pPr>
    </w:p>
    <w:p w14:paraId="4CCB0CDB" w14:textId="77777777" w:rsidR="00FD567D" w:rsidRPr="00E401A5" w:rsidRDefault="00FD567D" w:rsidP="00FD567D">
      <w:pPr>
        <w:jc w:val="both"/>
        <w:rPr>
          <w:rFonts w:ascii="Calibri" w:hAnsi="Calibri" w:cs="Calibri"/>
          <w:b/>
          <w:bCs/>
          <w:lang w:val="en-GB"/>
        </w:rPr>
      </w:pPr>
    </w:p>
    <w:p w14:paraId="24B91A95" w14:textId="77777777" w:rsidR="00FD567D" w:rsidRPr="00E401A5" w:rsidRDefault="00FD567D" w:rsidP="00FD567D">
      <w:pPr>
        <w:jc w:val="both"/>
        <w:rPr>
          <w:rFonts w:ascii="Calibri" w:hAnsi="Calibri" w:cs="Calibri"/>
          <w:b/>
          <w:bCs/>
          <w:lang w:val="en-GB"/>
        </w:rPr>
      </w:pPr>
    </w:p>
    <w:p w14:paraId="6C3D849E" w14:textId="77777777" w:rsidR="00FD567D" w:rsidRPr="00E401A5" w:rsidRDefault="00FD567D" w:rsidP="00FD567D">
      <w:pPr>
        <w:jc w:val="both"/>
        <w:rPr>
          <w:rFonts w:ascii="Calibri" w:hAnsi="Calibri" w:cs="Calibri"/>
          <w:color w:val="222222"/>
          <w:sz w:val="20"/>
          <w:szCs w:val="20"/>
          <w:shd w:val="clear" w:color="auto" w:fill="FFFFFF"/>
          <w:lang w:val="en-GB"/>
        </w:rPr>
      </w:pPr>
      <w:r w:rsidRPr="00E401A5">
        <w:rPr>
          <w:rStyle w:val="Strong"/>
          <w:rFonts w:ascii="Calibri" w:hAnsi="Calibri" w:cs="Calibri"/>
          <w:sz w:val="20"/>
          <w:szCs w:val="20"/>
          <w:lang w:val="en-GB"/>
        </w:rPr>
        <w:lastRenderedPageBreak/>
        <w:t>Supplementary Figure 5: Baseline distribution of blood-based functional program scores</w:t>
      </w:r>
      <w:r w:rsidRPr="00E401A5">
        <w:rPr>
          <w:lang w:val="en-GB"/>
        </w:rPr>
        <w:t xml:space="preserve">. </w:t>
      </w:r>
      <w:r w:rsidRPr="00E401A5">
        <w:rPr>
          <w:rFonts w:ascii="Calibri" w:hAnsi="Calibri" w:cs="Calibri"/>
          <w:color w:val="222222"/>
          <w:sz w:val="20"/>
          <w:szCs w:val="20"/>
          <w:shd w:val="clear" w:color="auto" w:fill="FFFFFF"/>
          <w:lang w:val="en-GB"/>
        </w:rPr>
        <w:t xml:space="preserve">Baseline distributions of composite functional program scores across all 25 immune phenotypes. Jittered </w:t>
      </w:r>
      <w:proofErr w:type="spellStart"/>
      <w:r w:rsidRPr="00E401A5">
        <w:rPr>
          <w:rFonts w:ascii="Calibri" w:hAnsi="Calibri" w:cs="Calibri"/>
          <w:color w:val="222222"/>
          <w:sz w:val="20"/>
          <w:szCs w:val="20"/>
          <w:shd w:val="clear" w:color="auto" w:fill="FFFFFF"/>
          <w:lang w:val="en-GB"/>
        </w:rPr>
        <w:t>gray</w:t>
      </w:r>
      <w:proofErr w:type="spellEnd"/>
      <w:r w:rsidRPr="00E401A5">
        <w:rPr>
          <w:rFonts w:ascii="Calibri" w:hAnsi="Calibri" w:cs="Calibri"/>
          <w:color w:val="222222"/>
          <w:sz w:val="20"/>
          <w:szCs w:val="20"/>
          <w:shd w:val="clear" w:color="auto" w:fill="FFFFFF"/>
          <w:lang w:val="en-GB"/>
        </w:rPr>
        <w:t xml:space="preserve"> points represent patient-level values, while </w:t>
      </w:r>
      <w:proofErr w:type="gramStart"/>
      <w:r w:rsidRPr="00E401A5">
        <w:rPr>
          <w:rFonts w:ascii="Calibri" w:hAnsi="Calibri" w:cs="Calibri"/>
          <w:color w:val="222222"/>
          <w:sz w:val="20"/>
          <w:szCs w:val="20"/>
          <w:shd w:val="clear" w:color="auto" w:fill="FFFFFF"/>
          <w:lang w:val="en-GB"/>
        </w:rPr>
        <w:t xml:space="preserve">solid </w:t>
      </w:r>
      <w:proofErr w:type="spellStart"/>
      <w:r w:rsidRPr="00E401A5">
        <w:rPr>
          <w:rFonts w:ascii="Calibri" w:hAnsi="Calibri" w:cs="Calibri"/>
          <w:color w:val="222222"/>
          <w:sz w:val="20"/>
          <w:szCs w:val="20"/>
          <w:shd w:val="clear" w:color="auto" w:fill="FFFFFF"/>
          <w:lang w:val="en-GB"/>
        </w:rPr>
        <w:t>colored</w:t>
      </w:r>
      <w:proofErr w:type="spellEnd"/>
      <w:proofErr w:type="gramEnd"/>
      <w:r w:rsidRPr="00E401A5">
        <w:rPr>
          <w:rFonts w:ascii="Calibri" w:hAnsi="Calibri" w:cs="Calibri"/>
          <w:color w:val="222222"/>
          <w:sz w:val="20"/>
          <w:szCs w:val="20"/>
          <w:shd w:val="clear" w:color="auto" w:fill="FFFFFF"/>
          <w:lang w:val="en-GB"/>
        </w:rPr>
        <w:t xml:space="preserve"> points indicate the cohort median ± standard error of the mean.</w:t>
      </w:r>
    </w:p>
    <w:p w14:paraId="0F158DF9" w14:textId="77777777" w:rsidR="00FD567D" w:rsidRPr="00E401A5" w:rsidRDefault="00FD567D" w:rsidP="00FD567D">
      <w:pPr>
        <w:jc w:val="both"/>
        <w:rPr>
          <w:rStyle w:val="Strong"/>
          <w:rFonts w:ascii="Calibri" w:hAnsi="Calibri" w:cs="Calibri"/>
          <w:sz w:val="20"/>
          <w:szCs w:val="20"/>
          <w:lang w:val="en-GB"/>
        </w:rPr>
      </w:pPr>
    </w:p>
    <w:p w14:paraId="48F44493"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2A9B8CD6" wp14:editId="2C76B081">
            <wp:extent cx="5727700" cy="8018780"/>
            <wp:effectExtent l="0" t="0" r="0" b="0"/>
            <wp:docPr id="11976554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55480" name="Picture 1197655480"/>
                    <pic:cNvPicPr/>
                  </pic:nvPicPr>
                  <pic:blipFill>
                    <a:blip r:embed="rId10"/>
                    <a:stretch>
                      <a:fillRect/>
                    </a:stretch>
                  </pic:blipFill>
                  <pic:spPr>
                    <a:xfrm>
                      <a:off x="0" y="0"/>
                      <a:ext cx="5727700" cy="8018780"/>
                    </a:xfrm>
                    <a:prstGeom prst="rect">
                      <a:avLst/>
                    </a:prstGeom>
                  </pic:spPr>
                </pic:pic>
              </a:graphicData>
            </a:graphic>
          </wp:inline>
        </w:drawing>
      </w:r>
    </w:p>
    <w:p w14:paraId="5DF7A14E" w14:textId="77777777" w:rsidR="00FD567D" w:rsidRPr="00E401A5" w:rsidRDefault="00FD567D" w:rsidP="00FD567D">
      <w:pPr>
        <w:jc w:val="both"/>
        <w:rPr>
          <w:rFonts w:ascii="Calibri" w:hAnsi="Calibri" w:cs="Calibri"/>
          <w:b/>
          <w:bCs/>
          <w:lang w:val="en-GB"/>
        </w:rPr>
      </w:pPr>
    </w:p>
    <w:p w14:paraId="7FF4085F"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sz w:val="20"/>
          <w:szCs w:val="20"/>
          <w:lang w:val="en-GB"/>
        </w:rPr>
        <w:lastRenderedPageBreak/>
        <w:t>Supplementary Figure 6: Lineage-level separation of functional programs at baseline</w:t>
      </w:r>
      <w:r w:rsidRPr="00E401A5">
        <w:rPr>
          <w:lang w:val="en-GB"/>
        </w:rPr>
        <w:t xml:space="preserve">. </w:t>
      </w:r>
      <w:r w:rsidRPr="00E401A5">
        <w:rPr>
          <w:rStyle w:val="Strong"/>
          <w:rFonts w:ascii="Calibri" w:hAnsi="Calibri" w:cs="Calibri"/>
          <w:b w:val="0"/>
          <w:bCs w:val="0"/>
          <w:sz w:val="20"/>
          <w:szCs w:val="20"/>
          <w:lang w:val="en-GB"/>
        </w:rPr>
        <w:t xml:space="preserve">Principal component analysis (PCA) of baseline functional program profiles across immune phenotypes. Each point represents a distinct immune cell population and is </w:t>
      </w:r>
      <w:proofErr w:type="spellStart"/>
      <w:r w:rsidRPr="00E401A5">
        <w:rPr>
          <w:rStyle w:val="Strong"/>
          <w:rFonts w:ascii="Calibri" w:hAnsi="Calibri" w:cs="Calibri"/>
          <w:b w:val="0"/>
          <w:bCs w:val="0"/>
          <w:sz w:val="20"/>
          <w:szCs w:val="20"/>
          <w:lang w:val="en-GB"/>
        </w:rPr>
        <w:t>colored</w:t>
      </w:r>
      <w:proofErr w:type="spellEnd"/>
      <w:r w:rsidRPr="00E401A5">
        <w:rPr>
          <w:rStyle w:val="Strong"/>
          <w:rFonts w:ascii="Calibri" w:hAnsi="Calibri" w:cs="Calibri"/>
          <w:b w:val="0"/>
          <w:bCs w:val="0"/>
          <w:sz w:val="20"/>
          <w:szCs w:val="20"/>
          <w:lang w:val="en-GB"/>
        </w:rPr>
        <w:t xml:space="preserve"> according to its major lineage.</w:t>
      </w:r>
    </w:p>
    <w:p w14:paraId="4FF218F3" w14:textId="77777777" w:rsidR="00FD567D" w:rsidRPr="00E401A5" w:rsidRDefault="00FD567D" w:rsidP="00FD567D">
      <w:pPr>
        <w:jc w:val="both"/>
        <w:rPr>
          <w:rFonts w:ascii="Calibri" w:hAnsi="Calibri" w:cs="Calibri"/>
          <w:b/>
          <w:bCs/>
          <w:lang w:val="en-GB"/>
        </w:rPr>
      </w:pPr>
    </w:p>
    <w:p w14:paraId="15B40676"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605E18A2" wp14:editId="14E3DB8A">
            <wp:extent cx="3650456" cy="3650456"/>
            <wp:effectExtent l="0" t="0" r="0" b="0"/>
            <wp:docPr id="6642243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24323" name="Picture 664224323"/>
                    <pic:cNvPicPr/>
                  </pic:nvPicPr>
                  <pic:blipFill>
                    <a:blip r:embed="rId11"/>
                    <a:stretch>
                      <a:fillRect/>
                    </a:stretch>
                  </pic:blipFill>
                  <pic:spPr>
                    <a:xfrm>
                      <a:off x="0" y="0"/>
                      <a:ext cx="3671275" cy="3671275"/>
                    </a:xfrm>
                    <a:prstGeom prst="rect">
                      <a:avLst/>
                    </a:prstGeom>
                  </pic:spPr>
                </pic:pic>
              </a:graphicData>
            </a:graphic>
          </wp:inline>
        </w:drawing>
      </w:r>
    </w:p>
    <w:p w14:paraId="36688AB9" w14:textId="77777777" w:rsidR="00FD567D" w:rsidRPr="00E401A5" w:rsidRDefault="00FD567D" w:rsidP="00FD567D">
      <w:pPr>
        <w:jc w:val="both"/>
        <w:rPr>
          <w:rFonts w:ascii="Calibri" w:hAnsi="Calibri" w:cs="Calibri"/>
          <w:b/>
          <w:bCs/>
          <w:lang w:val="en-GB"/>
        </w:rPr>
      </w:pPr>
    </w:p>
    <w:p w14:paraId="639EBB57" w14:textId="77777777" w:rsidR="00FD567D" w:rsidRPr="00E401A5" w:rsidRDefault="00FD567D" w:rsidP="00FD567D">
      <w:pPr>
        <w:jc w:val="both"/>
        <w:rPr>
          <w:rFonts w:ascii="Calibri" w:hAnsi="Calibri" w:cs="Calibri"/>
          <w:b/>
          <w:bCs/>
          <w:lang w:val="en-GB"/>
        </w:rPr>
      </w:pPr>
    </w:p>
    <w:p w14:paraId="5B85D42B" w14:textId="77777777" w:rsidR="00FD567D" w:rsidRPr="00E401A5" w:rsidRDefault="00FD567D" w:rsidP="00FD567D">
      <w:pPr>
        <w:jc w:val="both"/>
        <w:rPr>
          <w:rFonts w:ascii="Calibri" w:hAnsi="Calibri" w:cs="Calibri"/>
          <w:b/>
          <w:bCs/>
          <w:lang w:val="en-GB"/>
        </w:rPr>
      </w:pPr>
    </w:p>
    <w:p w14:paraId="38294E1D" w14:textId="77777777" w:rsidR="00FD567D" w:rsidRPr="00E401A5" w:rsidRDefault="00FD567D" w:rsidP="00FD567D">
      <w:pPr>
        <w:jc w:val="both"/>
        <w:rPr>
          <w:rFonts w:ascii="Calibri" w:hAnsi="Calibri" w:cs="Calibri"/>
          <w:b/>
          <w:bCs/>
          <w:lang w:val="en-GB"/>
        </w:rPr>
      </w:pPr>
    </w:p>
    <w:p w14:paraId="23A675DE" w14:textId="77777777" w:rsidR="00FD567D" w:rsidRPr="00E401A5" w:rsidRDefault="00FD567D" w:rsidP="00FD567D">
      <w:pPr>
        <w:jc w:val="both"/>
        <w:rPr>
          <w:rFonts w:ascii="Calibri" w:hAnsi="Calibri" w:cs="Calibri"/>
          <w:b/>
          <w:bCs/>
          <w:lang w:val="en-GB"/>
        </w:rPr>
      </w:pPr>
    </w:p>
    <w:p w14:paraId="44049C7E" w14:textId="77777777" w:rsidR="00FD567D" w:rsidRPr="00E401A5" w:rsidRDefault="00FD567D" w:rsidP="00FD567D">
      <w:pPr>
        <w:jc w:val="both"/>
        <w:rPr>
          <w:rFonts w:ascii="Calibri" w:hAnsi="Calibri" w:cs="Calibri"/>
          <w:b/>
          <w:bCs/>
          <w:lang w:val="en-GB"/>
        </w:rPr>
      </w:pPr>
    </w:p>
    <w:p w14:paraId="7FF45540" w14:textId="77777777" w:rsidR="00FD567D" w:rsidRPr="00E401A5" w:rsidRDefault="00FD567D" w:rsidP="00FD567D">
      <w:pPr>
        <w:jc w:val="both"/>
        <w:rPr>
          <w:rFonts w:ascii="Calibri" w:hAnsi="Calibri" w:cs="Calibri"/>
          <w:b/>
          <w:bCs/>
          <w:lang w:val="en-GB"/>
        </w:rPr>
      </w:pPr>
    </w:p>
    <w:p w14:paraId="5B778364" w14:textId="77777777" w:rsidR="00FD567D" w:rsidRPr="00E401A5" w:rsidRDefault="00FD567D" w:rsidP="00FD567D">
      <w:pPr>
        <w:jc w:val="both"/>
        <w:rPr>
          <w:rFonts w:ascii="Calibri" w:hAnsi="Calibri" w:cs="Calibri"/>
          <w:b/>
          <w:bCs/>
          <w:lang w:val="en-GB"/>
        </w:rPr>
      </w:pPr>
    </w:p>
    <w:p w14:paraId="12F87902" w14:textId="77777777" w:rsidR="00FD567D" w:rsidRPr="00E401A5" w:rsidRDefault="00FD567D" w:rsidP="00FD567D">
      <w:pPr>
        <w:jc w:val="both"/>
        <w:rPr>
          <w:rFonts w:ascii="Calibri" w:hAnsi="Calibri" w:cs="Calibri"/>
          <w:b/>
          <w:bCs/>
          <w:lang w:val="en-GB"/>
        </w:rPr>
      </w:pPr>
    </w:p>
    <w:p w14:paraId="614707DC" w14:textId="77777777" w:rsidR="00FD567D" w:rsidRPr="00E401A5" w:rsidRDefault="00FD567D" w:rsidP="00FD567D">
      <w:pPr>
        <w:jc w:val="both"/>
        <w:rPr>
          <w:rFonts w:ascii="Calibri" w:hAnsi="Calibri" w:cs="Calibri"/>
          <w:b/>
          <w:bCs/>
          <w:lang w:val="en-GB"/>
        </w:rPr>
      </w:pPr>
    </w:p>
    <w:p w14:paraId="7D055D5B" w14:textId="77777777" w:rsidR="00FD567D" w:rsidRPr="00E401A5" w:rsidRDefault="00FD567D" w:rsidP="00FD567D">
      <w:pPr>
        <w:jc w:val="both"/>
        <w:rPr>
          <w:rFonts w:ascii="Calibri" w:hAnsi="Calibri" w:cs="Calibri"/>
          <w:b/>
          <w:bCs/>
          <w:lang w:val="en-GB"/>
        </w:rPr>
      </w:pPr>
    </w:p>
    <w:p w14:paraId="51DB757A" w14:textId="77777777" w:rsidR="00FD567D" w:rsidRPr="00E401A5" w:rsidRDefault="00FD567D" w:rsidP="00FD567D">
      <w:pPr>
        <w:jc w:val="both"/>
        <w:rPr>
          <w:rFonts w:ascii="Calibri" w:hAnsi="Calibri" w:cs="Calibri"/>
          <w:b/>
          <w:bCs/>
          <w:lang w:val="en-GB"/>
        </w:rPr>
      </w:pPr>
    </w:p>
    <w:p w14:paraId="6B36A81A" w14:textId="77777777" w:rsidR="00FD567D" w:rsidRPr="00E401A5" w:rsidRDefault="00FD567D" w:rsidP="00FD567D">
      <w:pPr>
        <w:jc w:val="both"/>
        <w:rPr>
          <w:rFonts w:ascii="Calibri" w:hAnsi="Calibri" w:cs="Calibri"/>
          <w:b/>
          <w:bCs/>
          <w:lang w:val="en-GB"/>
        </w:rPr>
      </w:pPr>
    </w:p>
    <w:p w14:paraId="2ADBE508" w14:textId="77777777" w:rsidR="00FD567D" w:rsidRPr="00E401A5" w:rsidRDefault="00FD567D" w:rsidP="00FD567D">
      <w:pPr>
        <w:jc w:val="both"/>
        <w:rPr>
          <w:rFonts w:ascii="Calibri" w:hAnsi="Calibri" w:cs="Calibri"/>
          <w:b/>
          <w:bCs/>
          <w:lang w:val="en-GB"/>
        </w:rPr>
      </w:pPr>
    </w:p>
    <w:p w14:paraId="50EE39D9" w14:textId="77777777" w:rsidR="00FD567D" w:rsidRPr="00E401A5" w:rsidRDefault="00FD567D" w:rsidP="00FD567D">
      <w:pPr>
        <w:jc w:val="both"/>
        <w:rPr>
          <w:rFonts w:ascii="Calibri" w:hAnsi="Calibri" w:cs="Calibri"/>
          <w:b/>
          <w:bCs/>
          <w:lang w:val="en-GB"/>
        </w:rPr>
      </w:pPr>
    </w:p>
    <w:p w14:paraId="5E2E20C8" w14:textId="77777777" w:rsidR="00FD567D" w:rsidRPr="00E401A5" w:rsidRDefault="00FD567D" w:rsidP="00FD567D">
      <w:pPr>
        <w:jc w:val="both"/>
        <w:rPr>
          <w:rFonts w:ascii="Calibri" w:hAnsi="Calibri" w:cs="Calibri"/>
          <w:b/>
          <w:bCs/>
          <w:lang w:val="en-GB"/>
        </w:rPr>
      </w:pPr>
    </w:p>
    <w:p w14:paraId="2AAC8887" w14:textId="77777777" w:rsidR="00FD567D" w:rsidRPr="00E401A5" w:rsidRDefault="00FD567D" w:rsidP="00FD567D">
      <w:pPr>
        <w:jc w:val="both"/>
        <w:rPr>
          <w:rFonts w:ascii="Calibri" w:hAnsi="Calibri" w:cs="Calibri"/>
          <w:b/>
          <w:bCs/>
          <w:lang w:val="en-GB"/>
        </w:rPr>
      </w:pPr>
    </w:p>
    <w:p w14:paraId="37FE5DCA" w14:textId="77777777" w:rsidR="00FD567D" w:rsidRPr="00E401A5" w:rsidRDefault="00FD567D" w:rsidP="00FD567D">
      <w:pPr>
        <w:jc w:val="both"/>
        <w:rPr>
          <w:rFonts w:ascii="Calibri" w:hAnsi="Calibri" w:cs="Calibri"/>
          <w:b/>
          <w:bCs/>
          <w:lang w:val="en-GB"/>
        </w:rPr>
      </w:pPr>
    </w:p>
    <w:p w14:paraId="3460D172" w14:textId="77777777" w:rsidR="00FD567D" w:rsidRPr="00E401A5" w:rsidRDefault="00FD567D" w:rsidP="00FD567D">
      <w:pPr>
        <w:jc w:val="both"/>
        <w:rPr>
          <w:rFonts w:ascii="Calibri" w:hAnsi="Calibri" w:cs="Calibri"/>
          <w:b/>
          <w:bCs/>
          <w:lang w:val="en-GB"/>
        </w:rPr>
      </w:pPr>
    </w:p>
    <w:p w14:paraId="014FCBB3" w14:textId="77777777" w:rsidR="00FD567D" w:rsidRPr="00E401A5" w:rsidRDefault="00FD567D" w:rsidP="00FD567D">
      <w:pPr>
        <w:jc w:val="both"/>
        <w:rPr>
          <w:rFonts w:ascii="Calibri" w:hAnsi="Calibri" w:cs="Calibri"/>
          <w:b/>
          <w:bCs/>
          <w:lang w:val="en-GB"/>
        </w:rPr>
      </w:pPr>
    </w:p>
    <w:p w14:paraId="6D4637DD" w14:textId="77777777" w:rsidR="00FD567D" w:rsidRPr="00E401A5" w:rsidRDefault="00FD567D" w:rsidP="00FD567D">
      <w:pPr>
        <w:jc w:val="both"/>
        <w:rPr>
          <w:rFonts w:ascii="Calibri" w:hAnsi="Calibri" w:cs="Calibri"/>
          <w:b/>
          <w:bCs/>
          <w:lang w:val="en-GB"/>
        </w:rPr>
      </w:pPr>
    </w:p>
    <w:p w14:paraId="39DA0F13" w14:textId="77777777" w:rsidR="00FD567D" w:rsidRPr="00E401A5" w:rsidRDefault="00FD567D" w:rsidP="00FD567D">
      <w:pPr>
        <w:jc w:val="both"/>
        <w:rPr>
          <w:rFonts w:ascii="Calibri" w:hAnsi="Calibri" w:cs="Calibri"/>
          <w:b/>
          <w:bCs/>
          <w:lang w:val="en-GB"/>
        </w:rPr>
      </w:pPr>
    </w:p>
    <w:p w14:paraId="7D811F98" w14:textId="77777777" w:rsidR="00FD567D" w:rsidRPr="00E401A5" w:rsidRDefault="00FD567D" w:rsidP="00FD567D">
      <w:pPr>
        <w:jc w:val="both"/>
        <w:rPr>
          <w:rFonts w:ascii="Calibri" w:hAnsi="Calibri" w:cs="Calibri"/>
          <w:b/>
          <w:bCs/>
          <w:lang w:val="en-GB"/>
        </w:rPr>
      </w:pPr>
    </w:p>
    <w:p w14:paraId="5DA6064C" w14:textId="77777777" w:rsidR="00FD567D" w:rsidRPr="00E401A5" w:rsidRDefault="00FD567D" w:rsidP="00FD567D">
      <w:pPr>
        <w:jc w:val="both"/>
        <w:rPr>
          <w:rFonts w:ascii="Calibri" w:hAnsi="Calibri" w:cs="Calibri"/>
          <w:b/>
          <w:bCs/>
          <w:lang w:val="en-GB"/>
        </w:rPr>
      </w:pPr>
    </w:p>
    <w:p w14:paraId="454C8A05" w14:textId="77777777" w:rsidR="00FD567D" w:rsidRPr="00E401A5" w:rsidRDefault="00FD567D" w:rsidP="00FD567D">
      <w:pPr>
        <w:jc w:val="both"/>
        <w:rPr>
          <w:rStyle w:val="Strong"/>
          <w:rFonts w:ascii="Calibri" w:hAnsi="Calibri" w:cs="Calibri"/>
          <w:sz w:val="20"/>
          <w:szCs w:val="20"/>
          <w:lang w:val="en-GB"/>
        </w:rPr>
      </w:pPr>
      <w:r w:rsidRPr="00E401A5">
        <w:rPr>
          <w:rStyle w:val="Strong"/>
          <w:rFonts w:ascii="Calibri" w:hAnsi="Calibri" w:cs="Calibri"/>
          <w:sz w:val="20"/>
          <w:szCs w:val="20"/>
          <w:lang w:val="en-GB"/>
        </w:rPr>
        <w:lastRenderedPageBreak/>
        <w:t>Supplementary Figure 7: Baseline functional landscape and longitudinal stability of CNS-homing programs.</w:t>
      </w:r>
    </w:p>
    <w:p w14:paraId="2457B7B0"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sz w:val="20"/>
          <w:szCs w:val="20"/>
          <w:lang w:val="en-GB"/>
        </w:rPr>
        <w:t xml:space="preserve">(A) </w:t>
      </w:r>
      <w:r w:rsidRPr="00E401A5">
        <w:rPr>
          <w:rStyle w:val="Strong"/>
          <w:rFonts w:ascii="Calibri" w:hAnsi="Calibri" w:cs="Calibri"/>
          <w:b w:val="0"/>
          <w:bCs w:val="0"/>
          <w:sz w:val="20"/>
          <w:szCs w:val="20"/>
          <w:lang w:val="en-GB"/>
        </w:rPr>
        <w:t>Heatmap summarizing median baseline functional program scores across the 25 immune phenotypes included in the study.</w:t>
      </w:r>
    </w:p>
    <w:p w14:paraId="542E948E"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sz w:val="20"/>
          <w:szCs w:val="20"/>
          <w:lang w:val="en-GB"/>
        </w:rPr>
        <w:t>(B)</w:t>
      </w:r>
      <w:r w:rsidRPr="00E401A5">
        <w:rPr>
          <w:rStyle w:val="Strong"/>
          <w:rFonts w:ascii="Calibri" w:hAnsi="Calibri" w:cs="Calibri"/>
          <w:b w:val="0"/>
          <w:bCs w:val="0"/>
          <w:sz w:val="20"/>
          <w:szCs w:val="20"/>
          <w:lang w:val="en-GB"/>
        </w:rPr>
        <w:t xml:space="preserve"> Scatter plots showing the relationship between baseline CNS-homing scores and post-treatment values measured after MSC exposure (6 or 12 months, depending on treatment sequence). Each point represents an individual patient, illustrating preservation of relative CNS-homing signatures over time.</w:t>
      </w:r>
    </w:p>
    <w:p w14:paraId="1A05FF94" w14:textId="77777777" w:rsidR="00FD567D" w:rsidRPr="00E401A5" w:rsidRDefault="00FD567D" w:rsidP="00FD567D">
      <w:pPr>
        <w:jc w:val="both"/>
        <w:rPr>
          <w:rFonts w:ascii="Calibri" w:hAnsi="Calibri" w:cs="Calibri"/>
          <w:b/>
          <w:bCs/>
          <w:lang w:val="en-GB"/>
        </w:rPr>
      </w:pPr>
    </w:p>
    <w:p w14:paraId="732A8B22" w14:textId="77777777" w:rsidR="00FD567D" w:rsidRPr="00E401A5" w:rsidRDefault="00FD567D" w:rsidP="00FD567D">
      <w:pPr>
        <w:jc w:val="both"/>
        <w:rPr>
          <w:rFonts w:ascii="Calibri" w:hAnsi="Calibri" w:cs="Calibri"/>
          <w:b/>
          <w:bCs/>
          <w:lang w:val="en-GB"/>
        </w:rPr>
      </w:pPr>
    </w:p>
    <w:p w14:paraId="4228844C"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046A0B10" wp14:editId="61A21D2D">
            <wp:extent cx="5727700" cy="4816475"/>
            <wp:effectExtent l="0" t="0" r="0" b="0"/>
            <wp:docPr id="1391430742" name="Picture 7"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30742" name="Picture 7" descr="A screenshot of a graph&#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4816475"/>
                    </a:xfrm>
                    <a:prstGeom prst="rect">
                      <a:avLst/>
                    </a:prstGeom>
                  </pic:spPr>
                </pic:pic>
              </a:graphicData>
            </a:graphic>
          </wp:inline>
        </w:drawing>
      </w:r>
    </w:p>
    <w:p w14:paraId="2768357F" w14:textId="77777777" w:rsidR="00FD567D" w:rsidRPr="00E401A5" w:rsidRDefault="00FD567D" w:rsidP="00FD567D">
      <w:pPr>
        <w:jc w:val="both"/>
        <w:rPr>
          <w:rFonts w:ascii="Calibri" w:hAnsi="Calibri" w:cs="Calibri"/>
          <w:b/>
          <w:bCs/>
          <w:lang w:val="en-GB"/>
        </w:rPr>
      </w:pPr>
    </w:p>
    <w:p w14:paraId="63D91377" w14:textId="77777777" w:rsidR="00FD567D" w:rsidRPr="00E401A5" w:rsidRDefault="00FD567D" w:rsidP="00FD567D">
      <w:pPr>
        <w:jc w:val="both"/>
        <w:rPr>
          <w:rFonts w:ascii="Calibri" w:hAnsi="Calibri" w:cs="Calibri"/>
          <w:b/>
          <w:bCs/>
          <w:lang w:val="en-GB"/>
        </w:rPr>
      </w:pPr>
    </w:p>
    <w:p w14:paraId="19CC9D44" w14:textId="77777777" w:rsidR="00FD567D" w:rsidRPr="00E401A5" w:rsidRDefault="00FD567D" w:rsidP="00FD567D">
      <w:pPr>
        <w:jc w:val="both"/>
        <w:rPr>
          <w:rFonts w:ascii="Calibri" w:hAnsi="Calibri" w:cs="Calibri"/>
          <w:b/>
          <w:bCs/>
          <w:lang w:val="en-GB"/>
        </w:rPr>
      </w:pPr>
    </w:p>
    <w:p w14:paraId="59B9F5CB" w14:textId="77777777" w:rsidR="00FD567D" w:rsidRPr="00E401A5" w:rsidRDefault="00FD567D" w:rsidP="00FD567D">
      <w:pPr>
        <w:jc w:val="both"/>
        <w:rPr>
          <w:rFonts w:ascii="Calibri" w:hAnsi="Calibri" w:cs="Calibri"/>
          <w:b/>
          <w:bCs/>
          <w:lang w:val="en-GB"/>
        </w:rPr>
      </w:pPr>
    </w:p>
    <w:p w14:paraId="4E176083" w14:textId="77777777" w:rsidR="00FD567D" w:rsidRPr="00E401A5" w:rsidRDefault="00FD567D" w:rsidP="00FD567D">
      <w:pPr>
        <w:jc w:val="both"/>
        <w:rPr>
          <w:rFonts w:ascii="Calibri" w:hAnsi="Calibri" w:cs="Calibri"/>
          <w:b/>
          <w:bCs/>
          <w:lang w:val="en-GB"/>
        </w:rPr>
      </w:pPr>
    </w:p>
    <w:p w14:paraId="71DE4D6A" w14:textId="77777777" w:rsidR="00FD567D" w:rsidRPr="00E401A5" w:rsidRDefault="00FD567D" w:rsidP="00FD567D">
      <w:pPr>
        <w:jc w:val="both"/>
        <w:rPr>
          <w:rFonts w:ascii="Calibri" w:hAnsi="Calibri" w:cs="Calibri"/>
          <w:b/>
          <w:bCs/>
          <w:lang w:val="en-GB"/>
        </w:rPr>
      </w:pPr>
    </w:p>
    <w:p w14:paraId="784CD4D0" w14:textId="77777777" w:rsidR="00FD567D" w:rsidRPr="00E401A5" w:rsidRDefault="00FD567D" w:rsidP="00FD567D">
      <w:pPr>
        <w:jc w:val="both"/>
        <w:rPr>
          <w:rFonts w:ascii="Calibri" w:hAnsi="Calibri" w:cs="Calibri"/>
          <w:b/>
          <w:bCs/>
          <w:lang w:val="en-GB"/>
        </w:rPr>
      </w:pPr>
    </w:p>
    <w:p w14:paraId="368D32C3" w14:textId="77777777" w:rsidR="00FD567D" w:rsidRPr="00E401A5" w:rsidRDefault="00FD567D" w:rsidP="00FD567D">
      <w:pPr>
        <w:jc w:val="both"/>
        <w:rPr>
          <w:rFonts w:ascii="Calibri" w:hAnsi="Calibri" w:cs="Calibri"/>
          <w:b/>
          <w:bCs/>
          <w:lang w:val="en-GB"/>
        </w:rPr>
      </w:pPr>
    </w:p>
    <w:p w14:paraId="61E13EC6" w14:textId="77777777" w:rsidR="00FD567D" w:rsidRPr="00E401A5" w:rsidRDefault="00FD567D" w:rsidP="00FD567D">
      <w:pPr>
        <w:jc w:val="both"/>
        <w:rPr>
          <w:rFonts w:ascii="Calibri" w:hAnsi="Calibri" w:cs="Calibri"/>
          <w:b/>
          <w:bCs/>
          <w:lang w:val="en-GB"/>
        </w:rPr>
      </w:pPr>
    </w:p>
    <w:p w14:paraId="19322D44" w14:textId="77777777" w:rsidR="00FD567D" w:rsidRPr="00E401A5" w:rsidRDefault="00FD567D" w:rsidP="00FD567D">
      <w:pPr>
        <w:jc w:val="both"/>
        <w:rPr>
          <w:rFonts w:ascii="Calibri" w:hAnsi="Calibri" w:cs="Calibri"/>
          <w:b/>
          <w:bCs/>
          <w:lang w:val="en-GB"/>
        </w:rPr>
      </w:pPr>
    </w:p>
    <w:p w14:paraId="34FF3C6E" w14:textId="77777777" w:rsidR="00FD567D" w:rsidRPr="00E401A5" w:rsidRDefault="00FD567D" w:rsidP="00FD567D">
      <w:pPr>
        <w:jc w:val="both"/>
        <w:rPr>
          <w:rFonts w:ascii="Calibri" w:hAnsi="Calibri" w:cs="Calibri"/>
          <w:b/>
          <w:bCs/>
          <w:lang w:val="en-GB"/>
        </w:rPr>
      </w:pPr>
    </w:p>
    <w:p w14:paraId="3EBE20AD" w14:textId="77777777" w:rsidR="00FD567D" w:rsidRPr="00E401A5" w:rsidRDefault="00FD567D" w:rsidP="00FD567D">
      <w:pPr>
        <w:jc w:val="both"/>
        <w:rPr>
          <w:rFonts w:ascii="Calibri" w:hAnsi="Calibri" w:cs="Calibri"/>
          <w:b/>
          <w:bCs/>
          <w:lang w:val="en-GB"/>
        </w:rPr>
      </w:pPr>
    </w:p>
    <w:p w14:paraId="1EF86916" w14:textId="77777777" w:rsidR="00FD567D" w:rsidRPr="00E401A5" w:rsidRDefault="00FD567D" w:rsidP="00FD567D">
      <w:pPr>
        <w:jc w:val="both"/>
        <w:rPr>
          <w:rFonts w:ascii="Calibri" w:hAnsi="Calibri" w:cs="Calibri"/>
          <w:b/>
          <w:bCs/>
          <w:lang w:val="en-GB"/>
        </w:rPr>
      </w:pPr>
    </w:p>
    <w:p w14:paraId="3AE43B79" w14:textId="77777777" w:rsidR="00FD567D" w:rsidRPr="00E401A5" w:rsidRDefault="00FD567D" w:rsidP="00FD567D">
      <w:pPr>
        <w:jc w:val="both"/>
        <w:rPr>
          <w:rFonts w:ascii="Calibri" w:hAnsi="Calibri" w:cs="Calibri"/>
          <w:b/>
          <w:bCs/>
          <w:lang w:val="en-GB"/>
        </w:rPr>
      </w:pPr>
    </w:p>
    <w:p w14:paraId="60CA5990" w14:textId="77777777" w:rsidR="00FD567D" w:rsidRPr="00E401A5" w:rsidRDefault="00FD567D" w:rsidP="00FD567D">
      <w:pPr>
        <w:jc w:val="both"/>
        <w:rPr>
          <w:rStyle w:val="Strong"/>
          <w:rFonts w:ascii="Calibri" w:hAnsi="Calibri" w:cs="Calibri"/>
          <w:sz w:val="20"/>
          <w:szCs w:val="20"/>
          <w:lang w:val="en-GB"/>
        </w:rPr>
      </w:pPr>
      <w:r w:rsidRPr="00E401A5">
        <w:rPr>
          <w:rStyle w:val="Strong"/>
          <w:rFonts w:ascii="Calibri" w:hAnsi="Calibri" w:cs="Calibri"/>
          <w:sz w:val="20"/>
          <w:szCs w:val="20"/>
          <w:lang w:val="en-GB"/>
        </w:rPr>
        <w:lastRenderedPageBreak/>
        <w:t>Supplementary Figure 8: Global structure of the CSF proteomic landscape across time and treatment.</w:t>
      </w:r>
    </w:p>
    <w:p w14:paraId="4DDAC387"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b w:val="0"/>
          <w:bCs w:val="0"/>
          <w:sz w:val="20"/>
          <w:szCs w:val="20"/>
          <w:lang w:val="en-GB"/>
        </w:rPr>
        <w:t xml:space="preserve">Dimensionality reduction of normalized CSF proteomic profiles using </w:t>
      </w:r>
      <w:r w:rsidRPr="00E401A5">
        <w:rPr>
          <w:rStyle w:val="Strong"/>
          <w:rFonts w:ascii="Calibri" w:hAnsi="Calibri" w:cs="Calibri"/>
          <w:sz w:val="20"/>
          <w:szCs w:val="20"/>
          <w:lang w:val="en-GB"/>
        </w:rPr>
        <w:t>(A)</w:t>
      </w:r>
      <w:r w:rsidRPr="00E401A5">
        <w:rPr>
          <w:rStyle w:val="Strong"/>
          <w:rFonts w:ascii="Calibri" w:hAnsi="Calibri" w:cs="Calibri"/>
          <w:b w:val="0"/>
          <w:bCs w:val="0"/>
          <w:sz w:val="20"/>
          <w:szCs w:val="20"/>
          <w:lang w:val="en-GB"/>
        </w:rPr>
        <w:t xml:space="preserve"> multidimensional scaling, </w:t>
      </w:r>
      <w:r w:rsidRPr="00E401A5">
        <w:rPr>
          <w:rStyle w:val="Strong"/>
          <w:rFonts w:ascii="Calibri" w:hAnsi="Calibri" w:cs="Calibri"/>
          <w:sz w:val="20"/>
          <w:szCs w:val="20"/>
          <w:lang w:val="en-GB"/>
        </w:rPr>
        <w:t>(B)</w:t>
      </w:r>
      <w:r w:rsidRPr="00E401A5">
        <w:rPr>
          <w:rStyle w:val="Strong"/>
          <w:rFonts w:ascii="Calibri" w:hAnsi="Calibri" w:cs="Calibri"/>
          <w:b w:val="0"/>
          <w:bCs w:val="0"/>
          <w:sz w:val="20"/>
          <w:szCs w:val="20"/>
          <w:lang w:val="en-GB"/>
        </w:rPr>
        <w:t xml:space="preserve"> uniform manifold approximation and projection (UMAP), and </w:t>
      </w:r>
      <w:r w:rsidRPr="00E401A5">
        <w:rPr>
          <w:rStyle w:val="Strong"/>
          <w:rFonts w:ascii="Calibri" w:hAnsi="Calibri" w:cs="Calibri"/>
          <w:sz w:val="20"/>
          <w:szCs w:val="20"/>
          <w:lang w:val="en-GB"/>
        </w:rPr>
        <w:t>(C)</w:t>
      </w:r>
      <w:r w:rsidRPr="00E401A5">
        <w:rPr>
          <w:rStyle w:val="Strong"/>
          <w:rFonts w:ascii="Calibri" w:hAnsi="Calibri" w:cs="Calibri"/>
          <w:b w:val="0"/>
          <w:bCs w:val="0"/>
          <w:sz w:val="20"/>
          <w:szCs w:val="20"/>
          <w:lang w:val="en-GB"/>
        </w:rPr>
        <w:t xml:space="preserve"> principal component analysis (PCA). Each point represents an individual CSF sample collected at baseline or after treatment. Points are </w:t>
      </w:r>
      <w:proofErr w:type="spellStart"/>
      <w:r w:rsidRPr="00E401A5">
        <w:rPr>
          <w:rStyle w:val="Strong"/>
          <w:rFonts w:ascii="Calibri" w:hAnsi="Calibri" w:cs="Calibri"/>
          <w:b w:val="0"/>
          <w:bCs w:val="0"/>
          <w:sz w:val="20"/>
          <w:szCs w:val="20"/>
          <w:lang w:val="en-GB"/>
        </w:rPr>
        <w:t>colored</w:t>
      </w:r>
      <w:proofErr w:type="spellEnd"/>
      <w:r w:rsidRPr="00E401A5">
        <w:rPr>
          <w:rStyle w:val="Strong"/>
          <w:rFonts w:ascii="Calibri" w:hAnsi="Calibri" w:cs="Calibri"/>
          <w:b w:val="0"/>
          <w:bCs w:val="0"/>
          <w:sz w:val="20"/>
          <w:szCs w:val="20"/>
          <w:lang w:val="en-GB"/>
        </w:rPr>
        <w:t xml:space="preserve"> by condition (baseline, control, MSC), and lines connect longitudinal samples from the same individual, illustrating within-patient trajectories over time.</w:t>
      </w:r>
    </w:p>
    <w:p w14:paraId="5C8BE031" w14:textId="77777777" w:rsidR="00FD567D" w:rsidRPr="00E401A5" w:rsidRDefault="00FD567D" w:rsidP="00FD567D">
      <w:pPr>
        <w:jc w:val="both"/>
        <w:rPr>
          <w:rStyle w:val="Strong"/>
          <w:rFonts w:ascii="Calibri" w:hAnsi="Calibri" w:cs="Calibri"/>
          <w:sz w:val="20"/>
          <w:szCs w:val="20"/>
          <w:lang w:val="en-GB"/>
        </w:rPr>
      </w:pPr>
    </w:p>
    <w:p w14:paraId="7D24A2F2" w14:textId="77777777" w:rsidR="00FD567D" w:rsidRPr="00E401A5" w:rsidRDefault="00FD567D" w:rsidP="00FD567D">
      <w:pPr>
        <w:jc w:val="both"/>
        <w:rPr>
          <w:rStyle w:val="Strong"/>
          <w:rFonts w:ascii="Calibri" w:hAnsi="Calibri" w:cs="Calibri"/>
          <w:sz w:val="20"/>
          <w:szCs w:val="20"/>
          <w:lang w:val="en-GB"/>
        </w:rPr>
      </w:pPr>
    </w:p>
    <w:p w14:paraId="018C1461"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2321A6C4" wp14:editId="5D076639">
            <wp:extent cx="5143500" cy="4694726"/>
            <wp:effectExtent l="0" t="0" r="0" b="4445"/>
            <wp:docPr id="15844058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405839" name="Picture 158440583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70728" cy="4719578"/>
                    </a:xfrm>
                    <a:prstGeom prst="rect">
                      <a:avLst/>
                    </a:prstGeom>
                  </pic:spPr>
                </pic:pic>
              </a:graphicData>
            </a:graphic>
          </wp:inline>
        </w:drawing>
      </w:r>
    </w:p>
    <w:p w14:paraId="75F68774" w14:textId="77777777" w:rsidR="00FD567D" w:rsidRPr="00E401A5" w:rsidRDefault="00FD567D" w:rsidP="00FD567D">
      <w:pPr>
        <w:jc w:val="both"/>
        <w:rPr>
          <w:rFonts w:ascii="Calibri" w:hAnsi="Calibri" w:cs="Calibri"/>
          <w:b/>
          <w:bCs/>
          <w:lang w:val="en-GB"/>
        </w:rPr>
      </w:pPr>
    </w:p>
    <w:p w14:paraId="0DB77284" w14:textId="77777777" w:rsidR="00FD567D" w:rsidRPr="00E401A5" w:rsidRDefault="00FD567D" w:rsidP="00FD567D">
      <w:pPr>
        <w:jc w:val="both"/>
        <w:rPr>
          <w:rFonts w:ascii="Calibri" w:hAnsi="Calibri" w:cs="Calibri"/>
          <w:b/>
          <w:bCs/>
          <w:lang w:val="en-GB"/>
        </w:rPr>
      </w:pPr>
    </w:p>
    <w:p w14:paraId="51B0FD41" w14:textId="77777777" w:rsidR="00FD567D" w:rsidRPr="00E401A5" w:rsidRDefault="00FD567D" w:rsidP="00FD567D">
      <w:pPr>
        <w:jc w:val="both"/>
        <w:rPr>
          <w:rFonts w:ascii="Calibri" w:hAnsi="Calibri" w:cs="Calibri"/>
          <w:b/>
          <w:bCs/>
          <w:lang w:val="en-GB"/>
        </w:rPr>
      </w:pPr>
    </w:p>
    <w:p w14:paraId="0DF09583" w14:textId="77777777" w:rsidR="00FD567D" w:rsidRPr="00E401A5" w:rsidRDefault="00FD567D" w:rsidP="00FD567D">
      <w:pPr>
        <w:jc w:val="both"/>
        <w:rPr>
          <w:rFonts w:ascii="Calibri" w:hAnsi="Calibri" w:cs="Calibri"/>
          <w:b/>
          <w:bCs/>
          <w:lang w:val="en-GB"/>
        </w:rPr>
      </w:pPr>
    </w:p>
    <w:p w14:paraId="61A46F78" w14:textId="77777777" w:rsidR="00FD567D" w:rsidRPr="00E401A5" w:rsidRDefault="00FD567D" w:rsidP="00FD567D">
      <w:pPr>
        <w:jc w:val="both"/>
        <w:rPr>
          <w:rFonts w:ascii="Calibri" w:hAnsi="Calibri" w:cs="Calibri"/>
          <w:b/>
          <w:bCs/>
          <w:lang w:val="en-GB"/>
        </w:rPr>
      </w:pPr>
    </w:p>
    <w:p w14:paraId="7C55473A" w14:textId="77777777" w:rsidR="00FD567D" w:rsidRPr="00E401A5" w:rsidRDefault="00FD567D" w:rsidP="00FD567D">
      <w:pPr>
        <w:jc w:val="both"/>
        <w:rPr>
          <w:rFonts w:ascii="Calibri" w:hAnsi="Calibri" w:cs="Calibri"/>
          <w:b/>
          <w:bCs/>
          <w:lang w:val="en-GB"/>
        </w:rPr>
      </w:pPr>
    </w:p>
    <w:p w14:paraId="6E9A66D7" w14:textId="77777777" w:rsidR="00FD567D" w:rsidRPr="00E401A5" w:rsidRDefault="00FD567D" w:rsidP="00FD567D">
      <w:pPr>
        <w:jc w:val="both"/>
        <w:rPr>
          <w:rFonts w:ascii="Calibri" w:hAnsi="Calibri" w:cs="Calibri"/>
          <w:b/>
          <w:bCs/>
          <w:lang w:val="en-GB"/>
        </w:rPr>
      </w:pPr>
    </w:p>
    <w:p w14:paraId="3468402A" w14:textId="77777777" w:rsidR="00FD567D" w:rsidRPr="00E401A5" w:rsidRDefault="00FD567D" w:rsidP="00FD567D">
      <w:pPr>
        <w:jc w:val="both"/>
        <w:rPr>
          <w:rFonts w:ascii="Calibri" w:hAnsi="Calibri" w:cs="Calibri"/>
          <w:b/>
          <w:bCs/>
          <w:lang w:val="en-GB"/>
        </w:rPr>
      </w:pPr>
    </w:p>
    <w:p w14:paraId="1E72610E" w14:textId="77777777" w:rsidR="00FD567D" w:rsidRPr="00E401A5" w:rsidRDefault="00FD567D" w:rsidP="00FD567D">
      <w:pPr>
        <w:jc w:val="both"/>
        <w:rPr>
          <w:rFonts w:ascii="Calibri" w:hAnsi="Calibri" w:cs="Calibri"/>
          <w:b/>
          <w:bCs/>
          <w:lang w:val="en-GB"/>
        </w:rPr>
      </w:pPr>
    </w:p>
    <w:p w14:paraId="250208BD" w14:textId="77777777" w:rsidR="00FD567D" w:rsidRPr="00E401A5" w:rsidRDefault="00FD567D" w:rsidP="00FD567D">
      <w:pPr>
        <w:jc w:val="both"/>
        <w:rPr>
          <w:rFonts w:ascii="Calibri" w:hAnsi="Calibri" w:cs="Calibri"/>
          <w:b/>
          <w:bCs/>
          <w:lang w:val="en-GB"/>
        </w:rPr>
      </w:pPr>
    </w:p>
    <w:p w14:paraId="5A160C68" w14:textId="77777777" w:rsidR="00FD567D" w:rsidRPr="00E401A5" w:rsidRDefault="00FD567D" w:rsidP="00FD567D">
      <w:pPr>
        <w:jc w:val="both"/>
        <w:rPr>
          <w:rFonts w:ascii="Calibri" w:hAnsi="Calibri" w:cs="Calibri"/>
          <w:b/>
          <w:bCs/>
          <w:lang w:val="en-GB"/>
        </w:rPr>
      </w:pPr>
    </w:p>
    <w:p w14:paraId="1AE6D224" w14:textId="77777777" w:rsidR="00FD567D" w:rsidRPr="00E401A5" w:rsidRDefault="00FD567D" w:rsidP="00FD567D">
      <w:pPr>
        <w:jc w:val="both"/>
        <w:rPr>
          <w:rFonts w:ascii="Calibri" w:hAnsi="Calibri" w:cs="Calibri"/>
          <w:b/>
          <w:bCs/>
          <w:lang w:val="en-GB"/>
        </w:rPr>
      </w:pPr>
    </w:p>
    <w:p w14:paraId="2418792F" w14:textId="77777777" w:rsidR="00FD567D" w:rsidRPr="00E401A5" w:rsidRDefault="00FD567D" w:rsidP="00FD567D">
      <w:pPr>
        <w:jc w:val="both"/>
        <w:rPr>
          <w:rFonts w:ascii="Calibri" w:hAnsi="Calibri" w:cs="Calibri"/>
          <w:b/>
          <w:bCs/>
          <w:lang w:val="en-GB"/>
        </w:rPr>
      </w:pPr>
    </w:p>
    <w:p w14:paraId="59EDCC33" w14:textId="77777777" w:rsidR="00FD567D" w:rsidRPr="00E401A5" w:rsidRDefault="00FD567D" w:rsidP="00FD567D">
      <w:pPr>
        <w:jc w:val="both"/>
        <w:rPr>
          <w:rFonts w:ascii="Calibri" w:hAnsi="Calibri" w:cs="Calibri"/>
          <w:b/>
          <w:bCs/>
          <w:lang w:val="en-GB"/>
        </w:rPr>
      </w:pPr>
    </w:p>
    <w:p w14:paraId="12BFAF59" w14:textId="77777777" w:rsidR="00FD567D" w:rsidRPr="00E401A5" w:rsidRDefault="00FD567D" w:rsidP="00FD567D">
      <w:pPr>
        <w:jc w:val="both"/>
        <w:rPr>
          <w:rFonts w:ascii="Calibri" w:hAnsi="Calibri" w:cs="Calibri"/>
          <w:b/>
          <w:bCs/>
          <w:lang w:val="en-GB"/>
        </w:rPr>
      </w:pPr>
    </w:p>
    <w:p w14:paraId="5EB6B59C"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sz w:val="20"/>
          <w:szCs w:val="20"/>
          <w:lang w:val="en-GB"/>
        </w:rPr>
        <w:lastRenderedPageBreak/>
        <w:t>Supplementary Figure 9:</w:t>
      </w:r>
      <w:r w:rsidRPr="00E401A5">
        <w:rPr>
          <w:rFonts w:ascii="Calibri" w:hAnsi="Calibri" w:cs="Calibri"/>
          <w:sz w:val="20"/>
          <w:szCs w:val="20"/>
          <w:lang w:val="en-GB"/>
        </w:rPr>
        <w:t xml:space="preserve"> </w:t>
      </w:r>
      <w:r w:rsidRPr="00E401A5">
        <w:rPr>
          <w:rStyle w:val="Strong"/>
          <w:rFonts w:ascii="Calibri" w:hAnsi="Calibri" w:cs="Calibri"/>
          <w:sz w:val="20"/>
          <w:szCs w:val="20"/>
          <w:lang w:val="en-GB"/>
        </w:rPr>
        <w:t>GSEA of MSC-associated CSF programs.</w:t>
      </w:r>
      <w:r w:rsidRPr="00E401A5">
        <w:rPr>
          <w:rStyle w:val="Strong"/>
          <w:lang w:val="en-GB"/>
        </w:rPr>
        <w:t xml:space="preserve"> </w:t>
      </w:r>
      <w:r w:rsidRPr="00E401A5">
        <w:rPr>
          <w:rStyle w:val="Strong"/>
          <w:rFonts w:ascii="Calibri" w:hAnsi="Calibri" w:cs="Calibri"/>
          <w:b w:val="0"/>
          <w:bCs w:val="0"/>
          <w:sz w:val="20"/>
          <w:szCs w:val="20"/>
          <w:lang w:val="en-GB"/>
        </w:rPr>
        <w:t xml:space="preserve">Dot plot summarizing GO gene set enrichment analysis of MSC-associated CSF proteomic changes using the full protein dataset. Pathways are ranked by normalized enrichment score (NES), with dot size indicating the leading-edge gene ratio and </w:t>
      </w:r>
      <w:proofErr w:type="spellStart"/>
      <w:r w:rsidRPr="00E401A5">
        <w:rPr>
          <w:rStyle w:val="Strong"/>
          <w:rFonts w:ascii="Calibri" w:hAnsi="Calibri" w:cs="Calibri"/>
          <w:b w:val="0"/>
          <w:bCs w:val="0"/>
          <w:sz w:val="20"/>
          <w:szCs w:val="20"/>
          <w:lang w:val="en-GB"/>
        </w:rPr>
        <w:t>color</w:t>
      </w:r>
      <w:proofErr w:type="spellEnd"/>
      <w:r w:rsidRPr="00E401A5">
        <w:rPr>
          <w:rStyle w:val="Strong"/>
          <w:rFonts w:ascii="Calibri" w:hAnsi="Calibri" w:cs="Calibri"/>
          <w:b w:val="0"/>
          <w:bCs w:val="0"/>
          <w:sz w:val="20"/>
          <w:szCs w:val="20"/>
          <w:lang w:val="en-GB"/>
        </w:rPr>
        <w:t xml:space="preserve"> representing FDR-adjusted significance.</w:t>
      </w:r>
    </w:p>
    <w:p w14:paraId="2261F811" w14:textId="77777777" w:rsidR="00FD567D" w:rsidRPr="00E401A5" w:rsidRDefault="00FD567D" w:rsidP="00FD567D">
      <w:pPr>
        <w:jc w:val="both"/>
        <w:rPr>
          <w:rStyle w:val="Strong"/>
          <w:rFonts w:ascii="Calibri" w:hAnsi="Calibri" w:cs="Calibri"/>
          <w:sz w:val="20"/>
          <w:szCs w:val="20"/>
          <w:lang w:val="en-GB"/>
        </w:rPr>
      </w:pPr>
    </w:p>
    <w:p w14:paraId="23766836"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7FE97B4F" wp14:editId="3B2C8767">
            <wp:extent cx="4707731" cy="4079337"/>
            <wp:effectExtent l="0" t="0" r="0" b="0"/>
            <wp:docPr id="12469052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905200" name="Picture 1246905200"/>
                    <pic:cNvPicPr/>
                  </pic:nvPicPr>
                  <pic:blipFill>
                    <a:blip r:embed="rId14"/>
                    <a:stretch>
                      <a:fillRect/>
                    </a:stretch>
                  </pic:blipFill>
                  <pic:spPr>
                    <a:xfrm>
                      <a:off x="0" y="0"/>
                      <a:ext cx="4717211" cy="4087552"/>
                    </a:xfrm>
                    <a:prstGeom prst="rect">
                      <a:avLst/>
                    </a:prstGeom>
                  </pic:spPr>
                </pic:pic>
              </a:graphicData>
            </a:graphic>
          </wp:inline>
        </w:drawing>
      </w:r>
    </w:p>
    <w:p w14:paraId="1088B6C3" w14:textId="77777777" w:rsidR="00FD567D" w:rsidRPr="00E401A5" w:rsidRDefault="00FD567D" w:rsidP="00FD567D">
      <w:pPr>
        <w:jc w:val="both"/>
        <w:rPr>
          <w:rFonts w:ascii="Calibri" w:hAnsi="Calibri" w:cs="Calibri"/>
          <w:b/>
          <w:bCs/>
          <w:lang w:val="en-GB"/>
        </w:rPr>
      </w:pPr>
    </w:p>
    <w:p w14:paraId="67D813D4" w14:textId="77777777" w:rsidR="00FD567D" w:rsidRPr="00E401A5" w:rsidRDefault="00FD567D" w:rsidP="00FD567D">
      <w:pPr>
        <w:jc w:val="both"/>
        <w:rPr>
          <w:rFonts w:ascii="Calibri" w:hAnsi="Calibri" w:cs="Calibri"/>
          <w:b/>
          <w:bCs/>
          <w:lang w:val="en-GB"/>
        </w:rPr>
      </w:pPr>
    </w:p>
    <w:p w14:paraId="677DA6AC" w14:textId="77777777" w:rsidR="00FD567D" w:rsidRPr="00E401A5" w:rsidRDefault="00FD567D" w:rsidP="00FD567D">
      <w:pPr>
        <w:jc w:val="both"/>
        <w:rPr>
          <w:rFonts w:ascii="Calibri" w:hAnsi="Calibri" w:cs="Calibri"/>
          <w:b/>
          <w:bCs/>
          <w:lang w:val="en-GB"/>
        </w:rPr>
      </w:pPr>
    </w:p>
    <w:p w14:paraId="5A6FFB96" w14:textId="77777777" w:rsidR="00FD567D" w:rsidRPr="00E401A5" w:rsidRDefault="00FD567D" w:rsidP="00FD567D">
      <w:pPr>
        <w:jc w:val="both"/>
        <w:rPr>
          <w:rFonts w:ascii="Calibri" w:hAnsi="Calibri" w:cs="Calibri"/>
          <w:b/>
          <w:bCs/>
          <w:lang w:val="en-GB"/>
        </w:rPr>
      </w:pPr>
    </w:p>
    <w:p w14:paraId="151380F0" w14:textId="77777777" w:rsidR="00FD567D" w:rsidRPr="00E401A5" w:rsidRDefault="00FD567D" w:rsidP="00FD567D">
      <w:pPr>
        <w:jc w:val="both"/>
        <w:rPr>
          <w:rFonts w:ascii="Calibri" w:hAnsi="Calibri" w:cs="Calibri"/>
          <w:b/>
          <w:bCs/>
          <w:lang w:val="en-GB"/>
        </w:rPr>
      </w:pPr>
    </w:p>
    <w:p w14:paraId="284629B1" w14:textId="77777777" w:rsidR="00FD567D" w:rsidRPr="00E401A5" w:rsidRDefault="00FD567D" w:rsidP="00FD567D">
      <w:pPr>
        <w:jc w:val="both"/>
        <w:rPr>
          <w:rFonts w:ascii="Calibri" w:hAnsi="Calibri" w:cs="Calibri"/>
          <w:b/>
          <w:bCs/>
          <w:lang w:val="en-GB"/>
        </w:rPr>
      </w:pPr>
    </w:p>
    <w:p w14:paraId="26BA2F1D" w14:textId="77777777" w:rsidR="00FD567D" w:rsidRPr="00E401A5" w:rsidRDefault="00FD567D" w:rsidP="00FD567D">
      <w:pPr>
        <w:jc w:val="both"/>
        <w:rPr>
          <w:rFonts w:ascii="Calibri" w:hAnsi="Calibri" w:cs="Calibri"/>
          <w:b/>
          <w:bCs/>
          <w:lang w:val="en-GB"/>
        </w:rPr>
      </w:pPr>
    </w:p>
    <w:p w14:paraId="4FAE2DC5" w14:textId="77777777" w:rsidR="00FD567D" w:rsidRPr="00E401A5" w:rsidRDefault="00FD567D" w:rsidP="00FD567D">
      <w:pPr>
        <w:jc w:val="both"/>
        <w:rPr>
          <w:rFonts w:ascii="Calibri" w:hAnsi="Calibri" w:cs="Calibri"/>
          <w:b/>
          <w:bCs/>
          <w:lang w:val="en-GB"/>
        </w:rPr>
      </w:pPr>
    </w:p>
    <w:p w14:paraId="681ECE48" w14:textId="77777777" w:rsidR="00FD567D" w:rsidRPr="00E401A5" w:rsidRDefault="00FD567D" w:rsidP="00FD567D">
      <w:pPr>
        <w:jc w:val="both"/>
        <w:rPr>
          <w:rFonts w:ascii="Calibri" w:hAnsi="Calibri" w:cs="Calibri"/>
          <w:b/>
          <w:bCs/>
          <w:lang w:val="en-GB"/>
        </w:rPr>
      </w:pPr>
    </w:p>
    <w:p w14:paraId="00DC99B2" w14:textId="77777777" w:rsidR="00FD567D" w:rsidRPr="00E401A5" w:rsidRDefault="00FD567D" w:rsidP="00FD567D">
      <w:pPr>
        <w:jc w:val="both"/>
        <w:rPr>
          <w:rFonts w:ascii="Calibri" w:hAnsi="Calibri" w:cs="Calibri"/>
          <w:b/>
          <w:bCs/>
          <w:lang w:val="en-GB"/>
        </w:rPr>
      </w:pPr>
    </w:p>
    <w:p w14:paraId="2A00E69B" w14:textId="77777777" w:rsidR="00FD567D" w:rsidRPr="00E401A5" w:rsidRDefault="00FD567D" w:rsidP="00FD567D">
      <w:pPr>
        <w:jc w:val="both"/>
        <w:rPr>
          <w:rFonts w:ascii="Calibri" w:hAnsi="Calibri" w:cs="Calibri"/>
          <w:b/>
          <w:bCs/>
          <w:lang w:val="en-GB"/>
        </w:rPr>
      </w:pPr>
    </w:p>
    <w:p w14:paraId="7F9B90D6" w14:textId="77777777" w:rsidR="00FD567D" w:rsidRPr="00E401A5" w:rsidRDefault="00FD567D" w:rsidP="00FD567D">
      <w:pPr>
        <w:jc w:val="both"/>
        <w:rPr>
          <w:rFonts w:ascii="Calibri" w:hAnsi="Calibri" w:cs="Calibri"/>
          <w:b/>
          <w:bCs/>
          <w:lang w:val="en-GB"/>
        </w:rPr>
      </w:pPr>
    </w:p>
    <w:p w14:paraId="0E1066DB" w14:textId="77777777" w:rsidR="00FD567D" w:rsidRPr="00E401A5" w:rsidRDefault="00FD567D" w:rsidP="00FD567D">
      <w:pPr>
        <w:jc w:val="both"/>
        <w:rPr>
          <w:rFonts w:ascii="Calibri" w:hAnsi="Calibri" w:cs="Calibri"/>
          <w:b/>
          <w:bCs/>
          <w:lang w:val="en-GB"/>
        </w:rPr>
      </w:pPr>
    </w:p>
    <w:p w14:paraId="26469A14" w14:textId="77777777" w:rsidR="00FD567D" w:rsidRPr="00E401A5" w:rsidRDefault="00FD567D" w:rsidP="00FD567D">
      <w:pPr>
        <w:jc w:val="both"/>
        <w:rPr>
          <w:rFonts w:ascii="Calibri" w:hAnsi="Calibri" w:cs="Calibri"/>
          <w:b/>
          <w:bCs/>
          <w:lang w:val="en-GB"/>
        </w:rPr>
      </w:pPr>
    </w:p>
    <w:p w14:paraId="7D91C5C8" w14:textId="77777777" w:rsidR="00FD567D" w:rsidRPr="00E401A5" w:rsidRDefault="00FD567D" w:rsidP="00FD567D">
      <w:pPr>
        <w:jc w:val="both"/>
        <w:rPr>
          <w:rFonts w:ascii="Calibri" w:hAnsi="Calibri" w:cs="Calibri"/>
          <w:b/>
          <w:bCs/>
          <w:lang w:val="en-GB"/>
        </w:rPr>
      </w:pPr>
    </w:p>
    <w:p w14:paraId="5C5D85A9" w14:textId="77777777" w:rsidR="00FD567D" w:rsidRPr="00E401A5" w:rsidRDefault="00FD567D" w:rsidP="00FD567D">
      <w:pPr>
        <w:jc w:val="both"/>
        <w:rPr>
          <w:rFonts w:ascii="Calibri" w:hAnsi="Calibri" w:cs="Calibri"/>
          <w:b/>
          <w:bCs/>
          <w:lang w:val="en-GB"/>
        </w:rPr>
      </w:pPr>
    </w:p>
    <w:p w14:paraId="0ADD95EA" w14:textId="77777777" w:rsidR="00FD567D" w:rsidRPr="00E401A5" w:rsidRDefault="00FD567D" w:rsidP="00FD567D">
      <w:pPr>
        <w:jc w:val="both"/>
        <w:rPr>
          <w:rFonts w:ascii="Calibri" w:hAnsi="Calibri" w:cs="Calibri"/>
          <w:b/>
          <w:bCs/>
          <w:lang w:val="en-GB"/>
        </w:rPr>
      </w:pPr>
    </w:p>
    <w:p w14:paraId="71CCEC99" w14:textId="77777777" w:rsidR="00FD567D" w:rsidRPr="00E401A5" w:rsidRDefault="00FD567D" w:rsidP="00FD567D">
      <w:pPr>
        <w:jc w:val="both"/>
        <w:rPr>
          <w:rFonts w:ascii="Calibri" w:hAnsi="Calibri" w:cs="Calibri"/>
          <w:b/>
          <w:bCs/>
          <w:lang w:val="en-GB"/>
        </w:rPr>
      </w:pPr>
    </w:p>
    <w:p w14:paraId="5D9DAB6E" w14:textId="77777777" w:rsidR="00FD567D" w:rsidRPr="00E401A5" w:rsidRDefault="00FD567D" w:rsidP="00FD567D">
      <w:pPr>
        <w:jc w:val="both"/>
        <w:rPr>
          <w:rFonts w:ascii="Calibri" w:hAnsi="Calibri" w:cs="Calibri"/>
          <w:b/>
          <w:bCs/>
          <w:lang w:val="en-GB"/>
        </w:rPr>
      </w:pPr>
    </w:p>
    <w:p w14:paraId="04C692ED" w14:textId="77777777" w:rsidR="00FD567D" w:rsidRPr="00E401A5" w:rsidRDefault="00FD567D" w:rsidP="00FD567D">
      <w:pPr>
        <w:jc w:val="both"/>
        <w:rPr>
          <w:rFonts w:ascii="Calibri" w:hAnsi="Calibri" w:cs="Calibri"/>
          <w:b/>
          <w:bCs/>
          <w:lang w:val="en-GB"/>
        </w:rPr>
      </w:pPr>
    </w:p>
    <w:p w14:paraId="50FF3A28" w14:textId="77777777" w:rsidR="00FD567D" w:rsidRPr="00E401A5" w:rsidRDefault="00FD567D" w:rsidP="00FD567D">
      <w:pPr>
        <w:jc w:val="both"/>
        <w:rPr>
          <w:rFonts w:ascii="Calibri" w:hAnsi="Calibri" w:cs="Calibri"/>
          <w:b/>
          <w:bCs/>
          <w:lang w:val="en-GB"/>
        </w:rPr>
      </w:pPr>
    </w:p>
    <w:p w14:paraId="6A66E2E0"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sz w:val="20"/>
          <w:szCs w:val="20"/>
          <w:lang w:val="en-GB"/>
        </w:rPr>
        <w:lastRenderedPageBreak/>
        <w:t xml:space="preserve">Supplementary Figure 10: GSEA enrichment plots for selected GO biological processes. </w:t>
      </w:r>
      <w:r w:rsidRPr="00E401A5">
        <w:rPr>
          <w:rStyle w:val="Strong"/>
          <w:rFonts w:ascii="Calibri" w:hAnsi="Calibri" w:cs="Calibri"/>
          <w:b w:val="0"/>
          <w:bCs w:val="0"/>
          <w:sz w:val="20"/>
          <w:szCs w:val="20"/>
          <w:lang w:val="en-GB"/>
        </w:rPr>
        <w:t>Proteins are ranked by MSC-associated effect size derived from longitudinal CSF proteomic analysis (6 months minus baseline). Enrichment curves indicate the cumulative distribution of pathway members along the ranked protein list, with positive normalized enrichment scores (NES) reflecting relative enrichment during MSC exposure. Vertical tick marks denote the positions of individual pathway proteins in the ranked list, and shaded regions highlight the leading-edge subset driving pathway enrichment.</w:t>
      </w:r>
    </w:p>
    <w:p w14:paraId="081A9D1F" w14:textId="77777777" w:rsidR="00FD567D" w:rsidRPr="00E401A5" w:rsidRDefault="00FD567D" w:rsidP="00FD567D">
      <w:pPr>
        <w:jc w:val="both"/>
        <w:rPr>
          <w:rStyle w:val="Strong"/>
          <w:rFonts w:ascii="Calibri" w:hAnsi="Calibri" w:cs="Calibri"/>
          <w:sz w:val="20"/>
          <w:szCs w:val="20"/>
          <w:lang w:val="en-GB"/>
        </w:rPr>
      </w:pPr>
    </w:p>
    <w:p w14:paraId="000A5767" w14:textId="77777777" w:rsidR="00FD567D" w:rsidRPr="00E401A5" w:rsidRDefault="00FD567D" w:rsidP="00FD567D">
      <w:pPr>
        <w:jc w:val="both"/>
        <w:rPr>
          <w:rStyle w:val="Strong"/>
          <w:rFonts w:ascii="Calibri" w:hAnsi="Calibri" w:cs="Calibri"/>
          <w:sz w:val="20"/>
          <w:szCs w:val="20"/>
          <w:lang w:val="en-GB"/>
        </w:rPr>
      </w:pPr>
      <w:r w:rsidRPr="00E401A5">
        <w:rPr>
          <w:rFonts w:ascii="Calibri" w:hAnsi="Calibri" w:cs="Calibri"/>
          <w:sz w:val="20"/>
          <w:szCs w:val="20"/>
          <w:lang w:val="en-GB"/>
        </w:rPr>
        <w:t xml:space="preserve"> </w:t>
      </w:r>
    </w:p>
    <w:p w14:paraId="27C7B32E"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36533E14" wp14:editId="32815FEE">
            <wp:extent cx="5072063" cy="7453458"/>
            <wp:effectExtent l="0" t="0" r="0" b="1905"/>
            <wp:docPr id="4942353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35369" name="Picture 49423536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98622" cy="7492486"/>
                    </a:xfrm>
                    <a:prstGeom prst="rect">
                      <a:avLst/>
                    </a:prstGeom>
                  </pic:spPr>
                </pic:pic>
              </a:graphicData>
            </a:graphic>
          </wp:inline>
        </w:drawing>
      </w:r>
    </w:p>
    <w:p w14:paraId="3331BE5C" w14:textId="77777777" w:rsidR="00FD567D" w:rsidRPr="00E401A5" w:rsidRDefault="00FD567D" w:rsidP="00FD567D">
      <w:pPr>
        <w:jc w:val="both"/>
        <w:rPr>
          <w:rFonts w:ascii="Calibri" w:hAnsi="Calibri" w:cs="Calibri"/>
          <w:b/>
          <w:bCs/>
          <w:lang w:val="en-GB"/>
        </w:rPr>
      </w:pPr>
    </w:p>
    <w:p w14:paraId="16609DF3" w14:textId="77777777" w:rsidR="00FD567D" w:rsidRPr="00E401A5" w:rsidRDefault="00FD567D" w:rsidP="00FD567D">
      <w:pPr>
        <w:jc w:val="both"/>
        <w:rPr>
          <w:rFonts w:ascii="Calibri" w:hAnsi="Calibri" w:cs="Calibri"/>
          <w:b/>
          <w:bCs/>
          <w:lang w:val="en-GB"/>
        </w:rPr>
      </w:pPr>
      <w:r w:rsidRPr="00E401A5">
        <w:rPr>
          <w:rStyle w:val="Strong"/>
          <w:rFonts w:ascii="Calibri" w:hAnsi="Calibri" w:cs="Calibri"/>
          <w:sz w:val="20"/>
          <w:szCs w:val="20"/>
          <w:lang w:val="en-GB"/>
        </w:rPr>
        <w:t xml:space="preserve">Supplementary Figure 11: Blood–CSF coupling between circulating immune functional programs and CSF proteomic programs. </w:t>
      </w:r>
      <w:r w:rsidRPr="00E401A5">
        <w:rPr>
          <w:rStyle w:val="Strong"/>
          <w:rFonts w:ascii="Calibri" w:hAnsi="Calibri" w:cs="Calibri"/>
          <w:b w:val="0"/>
          <w:bCs w:val="0"/>
          <w:sz w:val="20"/>
          <w:szCs w:val="20"/>
          <w:lang w:val="en-GB"/>
        </w:rPr>
        <w:t>Scatter plots show the relationship between longitudinal changes in blood-derived functional program scores (</w:t>
      </w:r>
      <w:proofErr w:type="spellStart"/>
      <w:r w:rsidRPr="00E401A5">
        <w:rPr>
          <w:rStyle w:val="Strong"/>
          <w:rFonts w:ascii="Calibri" w:hAnsi="Calibri" w:cs="Calibri"/>
          <w:b w:val="0"/>
          <w:bCs w:val="0"/>
          <w:sz w:val="20"/>
          <w:szCs w:val="20"/>
          <w:lang w:val="en-GB"/>
        </w:rPr>
        <w:t>CyTOF</w:t>
      </w:r>
      <w:proofErr w:type="spellEnd"/>
      <w:r w:rsidRPr="00E401A5">
        <w:rPr>
          <w:rStyle w:val="Strong"/>
          <w:rFonts w:ascii="Calibri" w:hAnsi="Calibri" w:cs="Calibri"/>
          <w:b w:val="0"/>
          <w:bCs w:val="0"/>
          <w:sz w:val="20"/>
          <w:szCs w:val="20"/>
          <w:lang w:val="en-GB"/>
        </w:rPr>
        <w:t>) and corresponding CSF functional program scores across selected immune cell populations. Each point represents an individual patient, and solid lines indicate linear regression fits stratified by treatment period (MSC vs. control). Shaded areas denote 95% confidence intervals. Analyses focus on mechanistically compatible program pairs to assess whether MSC-associated CSF remodelling aligns with specific peripheral immune functional states.</w:t>
      </w:r>
    </w:p>
    <w:p w14:paraId="1398348B" w14:textId="77777777" w:rsidR="00FD567D" w:rsidRPr="00E401A5" w:rsidRDefault="00FD567D" w:rsidP="00FD567D">
      <w:pPr>
        <w:jc w:val="both"/>
        <w:rPr>
          <w:rFonts w:ascii="Calibri" w:hAnsi="Calibri" w:cs="Calibri"/>
          <w:b/>
          <w:bCs/>
          <w:lang w:val="en-GB"/>
        </w:rPr>
      </w:pPr>
    </w:p>
    <w:p w14:paraId="512473FD"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2849FF0F" wp14:editId="72988E90">
            <wp:extent cx="5727700" cy="5292090"/>
            <wp:effectExtent l="0" t="0" r="0" b="3810"/>
            <wp:docPr id="318748481" name="Picture 8"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48481" name="Picture 8" descr="A screenshot of a graph&#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7700" cy="5292090"/>
                    </a:xfrm>
                    <a:prstGeom prst="rect">
                      <a:avLst/>
                    </a:prstGeom>
                  </pic:spPr>
                </pic:pic>
              </a:graphicData>
            </a:graphic>
          </wp:inline>
        </w:drawing>
      </w:r>
    </w:p>
    <w:p w14:paraId="7E82934A" w14:textId="77777777" w:rsidR="00FD567D" w:rsidRPr="00E401A5" w:rsidRDefault="00FD567D" w:rsidP="00FD567D">
      <w:pPr>
        <w:jc w:val="both"/>
        <w:rPr>
          <w:rFonts w:ascii="Calibri" w:hAnsi="Calibri" w:cs="Calibri"/>
          <w:b/>
          <w:bCs/>
          <w:lang w:val="en-GB"/>
        </w:rPr>
      </w:pPr>
    </w:p>
    <w:p w14:paraId="72596AAD" w14:textId="77777777" w:rsidR="00FD567D" w:rsidRPr="00E401A5" w:rsidRDefault="00FD567D" w:rsidP="00FD567D">
      <w:pPr>
        <w:jc w:val="both"/>
        <w:rPr>
          <w:rFonts w:ascii="Calibri" w:hAnsi="Calibri" w:cs="Calibri"/>
          <w:b/>
          <w:bCs/>
          <w:lang w:val="en-GB"/>
        </w:rPr>
      </w:pPr>
    </w:p>
    <w:p w14:paraId="6B5E6528" w14:textId="77777777" w:rsidR="00FD567D" w:rsidRPr="00E401A5" w:rsidRDefault="00FD567D" w:rsidP="00FD567D">
      <w:pPr>
        <w:jc w:val="both"/>
        <w:rPr>
          <w:rFonts w:ascii="Calibri" w:hAnsi="Calibri" w:cs="Calibri"/>
          <w:b/>
          <w:bCs/>
          <w:lang w:val="en-GB"/>
        </w:rPr>
      </w:pPr>
    </w:p>
    <w:p w14:paraId="1F5BA88B" w14:textId="77777777" w:rsidR="00FD567D" w:rsidRPr="00E401A5" w:rsidRDefault="00FD567D" w:rsidP="00FD567D">
      <w:pPr>
        <w:jc w:val="both"/>
        <w:rPr>
          <w:rFonts w:ascii="Calibri" w:hAnsi="Calibri" w:cs="Calibri"/>
          <w:b/>
          <w:bCs/>
          <w:lang w:val="en-GB"/>
        </w:rPr>
      </w:pPr>
    </w:p>
    <w:p w14:paraId="1A5D9D76" w14:textId="77777777" w:rsidR="00FD567D" w:rsidRPr="00E401A5" w:rsidRDefault="00FD567D" w:rsidP="00FD567D">
      <w:pPr>
        <w:jc w:val="both"/>
        <w:rPr>
          <w:rFonts w:ascii="Calibri" w:hAnsi="Calibri" w:cs="Calibri"/>
          <w:b/>
          <w:bCs/>
          <w:lang w:val="en-GB"/>
        </w:rPr>
      </w:pPr>
    </w:p>
    <w:p w14:paraId="146E7DDA" w14:textId="77777777" w:rsidR="00FD567D" w:rsidRPr="00E401A5" w:rsidRDefault="00FD567D" w:rsidP="00FD567D">
      <w:pPr>
        <w:jc w:val="both"/>
        <w:rPr>
          <w:rFonts w:ascii="Calibri" w:hAnsi="Calibri" w:cs="Calibri"/>
          <w:b/>
          <w:bCs/>
          <w:lang w:val="en-GB"/>
        </w:rPr>
      </w:pPr>
    </w:p>
    <w:p w14:paraId="6DDEE0B2" w14:textId="77777777" w:rsidR="00FD567D" w:rsidRPr="00E401A5" w:rsidRDefault="00FD567D" w:rsidP="00FD567D">
      <w:pPr>
        <w:jc w:val="both"/>
        <w:rPr>
          <w:rFonts w:ascii="Calibri" w:hAnsi="Calibri" w:cs="Calibri"/>
          <w:b/>
          <w:bCs/>
          <w:lang w:val="en-GB"/>
        </w:rPr>
      </w:pPr>
    </w:p>
    <w:p w14:paraId="1A5EF7F7" w14:textId="77777777" w:rsidR="00FD567D" w:rsidRPr="00E401A5" w:rsidRDefault="00FD567D" w:rsidP="00FD567D">
      <w:pPr>
        <w:jc w:val="both"/>
        <w:rPr>
          <w:rFonts w:ascii="Calibri" w:hAnsi="Calibri" w:cs="Calibri"/>
          <w:b/>
          <w:bCs/>
          <w:lang w:val="en-GB"/>
        </w:rPr>
      </w:pPr>
    </w:p>
    <w:p w14:paraId="485B7667" w14:textId="77777777" w:rsidR="00FD567D" w:rsidRPr="00E401A5" w:rsidRDefault="00FD567D" w:rsidP="00FD567D">
      <w:pPr>
        <w:jc w:val="both"/>
        <w:rPr>
          <w:rFonts w:ascii="Calibri" w:hAnsi="Calibri" w:cs="Calibri"/>
          <w:b/>
          <w:bCs/>
          <w:lang w:val="en-GB"/>
        </w:rPr>
      </w:pPr>
    </w:p>
    <w:p w14:paraId="77DA25AE" w14:textId="77777777" w:rsidR="00FD567D" w:rsidRPr="00E401A5" w:rsidRDefault="00FD567D" w:rsidP="00FD567D">
      <w:pPr>
        <w:jc w:val="both"/>
        <w:rPr>
          <w:rFonts w:ascii="Calibri" w:hAnsi="Calibri" w:cs="Calibri"/>
          <w:b/>
          <w:bCs/>
          <w:lang w:val="en-GB"/>
        </w:rPr>
      </w:pPr>
    </w:p>
    <w:p w14:paraId="06E4835E"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sz w:val="20"/>
          <w:szCs w:val="20"/>
          <w:lang w:val="en-GB"/>
        </w:rPr>
        <w:lastRenderedPageBreak/>
        <w:t>Supplementary Figure 12:</w:t>
      </w:r>
      <w:r w:rsidRPr="00E401A5">
        <w:rPr>
          <w:lang w:val="en-GB"/>
        </w:rPr>
        <w:t xml:space="preserve"> </w:t>
      </w:r>
      <w:r w:rsidRPr="00E401A5">
        <w:rPr>
          <w:rStyle w:val="Strong"/>
          <w:rFonts w:ascii="Calibri" w:hAnsi="Calibri" w:cs="Calibri"/>
          <w:sz w:val="20"/>
          <w:szCs w:val="20"/>
          <w:lang w:val="en-GB"/>
        </w:rPr>
        <w:t xml:space="preserve">Longitudinal peripheral immune composition during MSC and control periods. </w:t>
      </w:r>
      <w:r w:rsidRPr="00E401A5">
        <w:rPr>
          <w:rStyle w:val="Strong"/>
          <w:rFonts w:ascii="Calibri" w:hAnsi="Calibri" w:cs="Calibri"/>
          <w:b w:val="0"/>
          <w:bCs w:val="0"/>
          <w:sz w:val="20"/>
          <w:szCs w:val="20"/>
          <w:lang w:val="en-GB"/>
        </w:rPr>
        <w:t>Line plots show relative cell frequencies (percentage of total CD45⁺ cells; untransformed values) for selected immune phenotypes at baseline, 6 months, and 12 months. Individual patient trajectories are shown, with points connected across time to illustrate within-patient stability and variability during MSC and control treatment periods.</w:t>
      </w:r>
    </w:p>
    <w:p w14:paraId="07906A12" w14:textId="77777777" w:rsidR="00FD567D" w:rsidRPr="00E401A5" w:rsidRDefault="00FD567D" w:rsidP="00FD567D">
      <w:pPr>
        <w:jc w:val="both"/>
        <w:rPr>
          <w:rStyle w:val="Strong"/>
          <w:rFonts w:ascii="Calibri" w:hAnsi="Calibri" w:cs="Calibri"/>
          <w:sz w:val="20"/>
          <w:szCs w:val="20"/>
          <w:lang w:val="en-GB"/>
        </w:rPr>
      </w:pPr>
    </w:p>
    <w:p w14:paraId="4A41DB80"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3089A15C" wp14:editId="2B0011CD">
            <wp:extent cx="5493544" cy="5654940"/>
            <wp:effectExtent l="0" t="0" r="5715" b="0"/>
            <wp:docPr id="181394792" name="Picture 12" descr="A chart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4792" name="Picture 12" descr="A chart of different types of data&#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20493" cy="5682680"/>
                    </a:xfrm>
                    <a:prstGeom prst="rect">
                      <a:avLst/>
                    </a:prstGeom>
                  </pic:spPr>
                </pic:pic>
              </a:graphicData>
            </a:graphic>
          </wp:inline>
        </w:drawing>
      </w:r>
    </w:p>
    <w:p w14:paraId="5B8EA8B9" w14:textId="77777777" w:rsidR="00FD567D" w:rsidRPr="00E401A5" w:rsidRDefault="00FD567D" w:rsidP="00FD567D">
      <w:pPr>
        <w:jc w:val="both"/>
        <w:rPr>
          <w:rFonts w:ascii="Calibri" w:hAnsi="Calibri" w:cs="Calibri"/>
          <w:b/>
          <w:bCs/>
          <w:lang w:val="en-GB"/>
        </w:rPr>
      </w:pPr>
    </w:p>
    <w:p w14:paraId="0AEB9847" w14:textId="77777777" w:rsidR="00FD567D" w:rsidRPr="00E401A5" w:rsidRDefault="00FD567D" w:rsidP="00FD567D">
      <w:pPr>
        <w:jc w:val="both"/>
        <w:rPr>
          <w:rFonts w:ascii="Calibri" w:hAnsi="Calibri" w:cs="Calibri"/>
          <w:b/>
          <w:bCs/>
          <w:lang w:val="en-GB"/>
        </w:rPr>
      </w:pPr>
    </w:p>
    <w:p w14:paraId="0B3D91D2" w14:textId="77777777" w:rsidR="00FD567D" w:rsidRPr="00E401A5" w:rsidRDefault="00FD567D" w:rsidP="00FD567D">
      <w:pPr>
        <w:jc w:val="both"/>
        <w:rPr>
          <w:rFonts w:ascii="Calibri" w:hAnsi="Calibri" w:cs="Calibri"/>
          <w:b/>
          <w:bCs/>
          <w:lang w:val="en-GB"/>
        </w:rPr>
      </w:pPr>
    </w:p>
    <w:p w14:paraId="540FD757" w14:textId="77777777" w:rsidR="00FD567D" w:rsidRPr="00E401A5" w:rsidRDefault="00FD567D" w:rsidP="00FD567D">
      <w:pPr>
        <w:jc w:val="both"/>
        <w:rPr>
          <w:rFonts w:ascii="Calibri" w:hAnsi="Calibri" w:cs="Calibri"/>
          <w:b/>
          <w:bCs/>
          <w:lang w:val="en-GB"/>
        </w:rPr>
      </w:pPr>
    </w:p>
    <w:p w14:paraId="7EC50B54" w14:textId="77777777" w:rsidR="00FD567D" w:rsidRPr="00E401A5" w:rsidRDefault="00FD567D" w:rsidP="00FD567D">
      <w:pPr>
        <w:jc w:val="both"/>
        <w:rPr>
          <w:rFonts w:ascii="Calibri" w:hAnsi="Calibri" w:cs="Calibri"/>
          <w:b/>
          <w:bCs/>
          <w:lang w:val="en-GB"/>
        </w:rPr>
      </w:pPr>
    </w:p>
    <w:p w14:paraId="685096D7" w14:textId="77777777" w:rsidR="00FD567D" w:rsidRPr="00E401A5" w:rsidRDefault="00FD567D" w:rsidP="00FD567D">
      <w:pPr>
        <w:jc w:val="both"/>
        <w:rPr>
          <w:rFonts w:ascii="Calibri" w:hAnsi="Calibri" w:cs="Calibri"/>
          <w:b/>
          <w:bCs/>
          <w:lang w:val="en-GB"/>
        </w:rPr>
      </w:pPr>
    </w:p>
    <w:p w14:paraId="76B7A393" w14:textId="77777777" w:rsidR="00FD567D" w:rsidRPr="00E401A5" w:rsidRDefault="00FD567D" w:rsidP="00FD567D">
      <w:pPr>
        <w:jc w:val="both"/>
        <w:rPr>
          <w:rFonts w:ascii="Calibri" w:hAnsi="Calibri" w:cs="Calibri"/>
          <w:b/>
          <w:bCs/>
          <w:lang w:val="en-GB"/>
        </w:rPr>
      </w:pPr>
    </w:p>
    <w:p w14:paraId="7E0B26B3" w14:textId="77777777" w:rsidR="00FD567D" w:rsidRPr="00E401A5" w:rsidRDefault="00FD567D" w:rsidP="00FD567D">
      <w:pPr>
        <w:jc w:val="both"/>
        <w:rPr>
          <w:rFonts w:ascii="Calibri" w:hAnsi="Calibri" w:cs="Calibri"/>
          <w:b/>
          <w:bCs/>
          <w:lang w:val="en-GB"/>
        </w:rPr>
      </w:pPr>
    </w:p>
    <w:p w14:paraId="0CD89B3D" w14:textId="77777777" w:rsidR="00FD567D" w:rsidRPr="00E401A5" w:rsidRDefault="00FD567D" w:rsidP="00FD567D">
      <w:pPr>
        <w:jc w:val="both"/>
        <w:rPr>
          <w:rFonts w:ascii="Calibri" w:hAnsi="Calibri" w:cs="Calibri"/>
          <w:b/>
          <w:bCs/>
          <w:lang w:val="en-GB"/>
        </w:rPr>
      </w:pPr>
    </w:p>
    <w:p w14:paraId="6CC83086" w14:textId="77777777" w:rsidR="00FD567D" w:rsidRPr="00E401A5" w:rsidRDefault="00FD567D" w:rsidP="00FD567D">
      <w:pPr>
        <w:jc w:val="both"/>
        <w:rPr>
          <w:rFonts w:ascii="Calibri" w:hAnsi="Calibri" w:cs="Calibri"/>
          <w:b/>
          <w:bCs/>
          <w:lang w:val="en-GB"/>
        </w:rPr>
      </w:pPr>
    </w:p>
    <w:p w14:paraId="56FA7BD1" w14:textId="77777777" w:rsidR="00FD567D" w:rsidRPr="00E401A5" w:rsidRDefault="00FD567D" w:rsidP="00FD567D">
      <w:pPr>
        <w:jc w:val="both"/>
        <w:rPr>
          <w:rFonts w:ascii="Calibri" w:hAnsi="Calibri" w:cs="Calibri"/>
          <w:b/>
          <w:bCs/>
          <w:lang w:val="en-GB"/>
        </w:rPr>
      </w:pPr>
    </w:p>
    <w:p w14:paraId="626CD36C" w14:textId="77777777" w:rsidR="00FD567D" w:rsidRPr="00E401A5" w:rsidRDefault="00FD567D" w:rsidP="00FD567D">
      <w:pPr>
        <w:jc w:val="both"/>
        <w:rPr>
          <w:rFonts w:ascii="Calibri" w:hAnsi="Calibri" w:cs="Calibri"/>
          <w:b/>
          <w:bCs/>
          <w:lang w:val="en-GB"/>
        </w:rPr>
      </w:pPr>
    </w:p>
    <w:p w14:paraId="03F7AF8E"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sz w:val="20"/>
          <w:szCs w:val="20"/>
          <w:lang w:val="en-GB"/>
        </w:rPr>
        <w:lastRenderedPageBreak/>
        <w:t xml:space="preserve">Supplementary Figure 13: Representative diagnostic plots for linear mixed-effects models used in the immune composition analysis. </w:t>
      </w:r>
      <w:r w:rsidRPr="00E401A5">
        <w:rPr>
          <w:rStyle w:val="Strong"/>
          <w:rFonts w:ascii="Calibri" w:hAnsi="Calibri" w:cs="Calibri"/>
          <w:b w:val="0"/>
          <w:bCs w:val="0"/>
          <w:sz w:val="20"/>
          <w:szCs w:val="20"/>
          <w:lang w:val="en-GB"/>
        </w:rPr>
        <w:t>For selected immune phenotypes, scatter plots display residuals versus fitted values (top), assessing homoscedasticity and model fit, while quantile–quantile (QQ) plots of residuals (bottom) evaluate departures from normality.</w:t>
      </w:r>
    </w:p>
    <w:p w14:paraId="50167B7B" w14:textId="77777777" w:rsidR="00FD567D" w:rsidRPr="00E401A5" w:rsidRDefault="00FD567D" w:rsidP="00FD567D">
      <w:pPr>
        <w:jc w:val="both"/>
        <w:rPr>
          <w:rFonts w:ascii="Calibri" w:hAnsi="Calibri" w:cs="Calibri"/>
          <w:b/>
          <w:bCs/>
          <w:lang w:val="en-GB"/>
        </w:rPr>
      </w:pPr>
    </w:p>
    <w:p w14:paraId="098BED90"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3CB7B4F9" wp14:editId="6EA68394">
            <wp:extent cx="5727700" cy="2640965"/>
            <wp:effectExtent l="0" t="0" r="0" b="635"/>
            <wp:docPr id="1072190282" name="Picture 13" descr="A graph of a graph of a number of individu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90282" name="Picture 13" descr="A graph of a graph of a number of individual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27700" cy="2640965"/>
                    </a:xfrm>
                    <a:prstGeom prst="rect">
                      <a:avLst/>
                    </a:prstGeom>
                  </pic:spPr>
                </pic:pic>
              </a:graphicData>
            </a:graphic>
          </wp:inline>
        </w:drawing>
      </w:r>
    </w:p>
    <w:p w14:paraId="5825528D" w14:textId="77777777" w:rsidR="00FD567D" w:rsidRPr="00E401A5" w:rsidRDefault="00FD567D" w:rsidP="00FD567D">
      <w:pPr>
        <w:jc w:val="both"/>
        <w:rPr>
          <w:rFonts w:ascii="Calibri" w:hAnsi="Calibri" w:cs="Calibri"/>
          <w:b/>
          <w:bCs/>
          <w:lang w:val="en-GB"/>
        </w:rPr>
      </w:pPr>
    </w:p>
    <w:p w14:paraId="2ADCCFA1" w14:textId="77777777" w:rsidR="00FD567D" w:rsidRPr="00E401A5" w:rsidRDefault="00FD567D" w:rsidP="00FD567D">
      <w:pPr>
        <w:jc w:val="both"/>
        <w:rPr>
          <w:rFonts w:ascii="Calibri" w:hAnsi="Calibri" w:cs="Calibri"/>
          <w:b/>
          <w:bCs/>
          <w:lang w:val="en-GB"/>
        </w:rPr>
      </w:pPr>
    </w:p>
    <w:p w14:paraId="7416163F"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sz w:val="20"/>
          <w:szCs w:val="20"/>
          <w:lang w:val="en-GB"/>
        </w:rPr>
        <w:t xml:space="preserve">Supplementary Figure 14: Sensitivity analysis of MSC effects on immune composition. </w:t>
      </w:r>
      <w:r w:rsidRPr="00E401A5">
        <w:rPr>
          <w:rStyle w:val="Strong"/>
          <w:rFonts w:ascii="Calibri" w:hAnsi="Calibri" w:cs="Calibri"/>
          <w:b w:val="0"/>
          <w:bCs w:val="0"/>
          <w:sz w:val="20"/>
          <w:szCs w:val="20"/>
          <w:lang w:val="en-GB"/>
        </w:rPr>
        <w:t>Forest plot showing MSC treatment effect estimates from an alternative linear mixed-effects modelling strategy applied to CLR-transformed frequencies of all 25 immune phenotypes. Points represent estimated fixed-effect coefficients for MSC exposure, and horizontal bars denote 95% confidence intervals. This alternative formulation serves as a sensitivity analysis to assess the robustness of the primary compositional findings shown in the main results.</w:t>
      </w:r>
    </w:p>
    <w:p w14:paraId="0E606906" w14:textId="77777777" w:rsidR="00FD567D" w:rsidRPr="00E401A5" w:rsidRDefault="00FD567D" w:rsidP="00FD567D">
      <w:pPr>
        <w:jc w:val="both"/>
        <w:rPr>
          <w:rStyle w:val="Strong"/>
          <w:rFonts w:ascii="Calibri" w:hAnsi="Calibri" w:cs="Calibri"/>
          <w:sz w:val="20"/>
          <w:szCs w:val="20"/>
          <w:lang w:val="en-GB"/>
        </w:rPr>
      </w:pPr>
    </w:p>
    <w:p w14:paraId="23A9C181"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0512BDC7" wp14:editId="3B073C42">
            <wp:extent cx="3822877" cy="3527049"/>
            <wp:effectExtent l="0" t="0" r="0" b="0"/>
            <wp:docPr id="1385758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75876" name="Picture 138575876"/>
                    <pic:cNvPicPr/>
                  </pic:nvPicPr>
                  <pic:blipFill>
                    <a:blip r:embed="rId19"/>
                    <a:stretch>
                      <a:fillRect/>
                    </a:stretch>
                  </pic:blipFill>
                  <pic:spPr>
                    <a:xfrm>
                      <a:off x="0" y="0"/>
                      <a:ext cx="3854751" cy="3556456"/>
                    </a:xfrm>
                    <a:prstGeom prst="rect">
                      <a:avLst/>
                    </a:prstGeom>
                  </pic:spPr>
                </pic:pic>
              </a:graphicData>
            </a:graphic>
          </wp:inline>
        </w:drawing>
      </w:r>
    </w:p>
    <w:p w14:paraId="42713FCA" w14:textId="77777777" w:rsidR="00FD567D" w:rsidRPr="00E401A5" w:rsidRDefault="00FD567D" w:rsidP="00FD567D">
      <w:pPr>
        <w:jc w:val="both"/>
        <w:rPr>
          <w:rFonts w:ascii="Calibri" w:hAnsi="Calibri" w:cs="Calibri"/>
          <w:b/>
          <w:bCs/>
          <w:lang w:val="en-GB"/>
        </w:rPr>
      </w:pPr>
    </w:p>
    <w:p w14:paraId="0DA8FEA1" w14:textId="77777777" w:rsidR="00FD567D" w:rsidRPr="00E401A5" w:rsidRDefault="00FD567D" w:rsidP="00FD567D">
      <w:pPr>
        <w:jc w:val="both"/>
        <w:rPr>
          <w:rFonts w:ascii="Calibri" w:hAnsi="Calibri" w:cs="Calibri"/>
          <w:b/>
          <w:bCs/>
          <w:lang w:val="en-GB"/>
        </w:rPr>
      </w:pPr>
    </w:p>
    <w:p w14:paraId="273D1C97"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sz w:val="20"/>
          <w:szCs w:val="20"/>
          <w:lang w:val="en-GB"/>
        </w:rPr>
        <w:lastRenderedPageBreak/>
        <w:t xml:space="preserve">Supplementary Figure 15: Targeted visualization of differentially enriched CSF proteins stratified by clinical reactivity. </w:t>
      </w:r>
      <w:r w:rsidRPr="00E401A5">
        <w:rPr>
          <w:rStyle w:val="Strong"/>
          <w:rFonts w:ascii="Calibri" w:hAnsi="Calibri" w:cs="Calibri"/>
          <w:b w:val="0"/>
          <w:bCs w:val="0"/>
          <w:sz w:val="20"/>
          <w:szCs w:val="20"/>
          <w:lang w:val="en-GB"/>
        </w:rPr>
        <w:t>Boxplots showing longitudinal protein changes (Δ = 6 months − baseline) for differentially enriched CSF proteins identified in the differential abundance analysis. Samples are stratified by clinical subgroup, including control, MSC without adverse events or MRI findings, MSC with adverse events only, and MSC with both adverse events and MRI findings. Individual patient values are displayed as overlaid points to illustrate inter-individual variability.</w:t>
      </w:r>
    </w:p>
    <w:p w14:paraId="6E7E85E0" w14:textId="77777777" w:rsidR="00FD567D" w:rsidRPr="00E401A5" w:rsidRDefault="00FD567D" w:rsidP="00FD567D">
      <w:pPr>
        <w:jc w:val="both"/>
        <w:rPr>
          <w:rFonts w:ascii="Calibri" w:hAnsi="Calibri" w:cs="Calibri"/>
          <w:b/>
          <w:bCs/>
          <w:lang w:val="en-GB"/>
        </w:rPr>
      </w:pPr>
    </w:p>
    <w:p w14:paraId="06E2C4FC"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1F9F75F6" wp14:editId="437D2ADE">
            <wp:extent cx="5727518" cy="4243387"/>
            <wp:effectExtent l="0" t="0" r="635" b="0"/>
            <wp:docPr id="490192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92966" name="Picture 490192966"/>
                    <pic:cNvPicPr/>
                  </pic:nvPicPr>
                  <pic:blipFill rotWithShape="1">
                    <a:blip r:embed="rId20"/>
                    <a:srcRect t="12846" b="13065"/>
                    <a:stretch>
                      <a:fillRect/>
                    </a:stretch>
                  </pic:blipFill>
                  <pic:spPr bwMode="auto">
                    <a:xfrm>
                      <a:off x="0" y="0"/>
                      <a:ext cx="5727700" cy="4243522"/>
                    </a:xfrm>
                    <a:prstGeom prst="rect">
                      <a:avLst/>
                    </a:prstGeom>
                    <a:ln>
                      <a:noFill/>
                    </a:ln>
                    <a:extLst>
                      <a:ext uri="{53640926-AAD7-44D8-BBD7-CCE9431645EC}">
                        <a14:shadowObscured xmlns:a14="http://schemas.microsoft.com/office/drawing/2010/main"/>
                      </a:ext>
                    </a:extLst>
                  </pic:spPr>
                </pic:pic>
              </a:graphicData>
            </a:graphic>
          </wp:inline>
        </w:drawing>
      </w:r>
    </w:p>
    <w:p w14:paraId="44ABAC85" w14:textId="77777777" w:rsidR="00FD567D" w:rsidRPr="00E401A5" w:rsidRDefault="00FD567D" w:rsidP="00FD567D">
      <w:pPr>
        <w:jc w:val="both"/>
        <w:rPr>
          <w:rFonts w:ascii="Calibri" w:hAnsi="Calibri" w:cs="Calibri"/>
          <w:b/>
          <w:bCs/>
          <w:lang w:val="en-GB"/>
        </w:rPr>
      </w:pPr>
    </w:p>
    <w:p w14:paraId="09065445" w14:textId="77777777" w:rsidR="00FD567D" w:rsidRPr="00E401A5" w:rsidRDefault="00FD567D" w:rsidP="00FD567D">
      <w:pPr>
        <w:jc w:val="both"/>
        <w:rPr>
          <w:rFonts w:ascii="Calibri" w:hAnsi="Calibri" w:cs="Calibri"/>
          <w:b/>
          <w:bCs/>
          <w:lang w:val="en-GB"/>
        </w:rPr>
      </w:pPr>
    </w:p>
    <w:p w14:paraId="52DB8866" w14:textId="77777777" w:rsidR="00FD567D" w:rsidRPr="00E401A5" w:rsidRDefault="00FD567D" w:rsidP="00FD567D">
      <w:pPr>
        <w:jc w:val="both"/>
        <w:rPr>
          <w:rFonts w:ascii="Calibri" w:hAnsi="Calibri" w:cs="Calibri"/>
          <w:b/>
          <w:bCs/>
          <w:lang w:val="en-GB"/>
        </w:rPr>
      </w:pPr>
    </w:p>
    <w:p w14:paraId="4B0C86C6" w14:textId="77777777" w:rsidR="00FD567D" w:rsidRPr="00E401A5" w:rsidRDefault="00FD567D" w:rsidP="00FD567D">
      <w:pPr>
        <w:jc w:val="both"/>
        <w:rPr>
          <w:rFonts w:ascii="Calibri" w:hAnsi="Calibri" w:cs="Calibri"/>
          <w:b/>
          <w:bCs/>
          <w:lang w:val="en-GB"/>
        </w:rPr>
      </w:pPr>
    </w:p>
    <w:p w14:paraId="3A9B2BFA" w14:textId="77777777" w:rsidR="00FD567D" w:rsidRPr="00E401A5" w:rsidRDefault="00FD567D" w:rsidP="00FD567D">
      <w:pPr>
        <w:jc w:val="both"/>
        <w:rPr>
          <w:rFonts w:ascii="Calibri" w:hAnsi="Calibri" w:cs="Calibri"/>
          <w:b/>
          <w:bCs/>
          <w:lang w:val="en-GB"/>
        </w:rPr>
      </w:pPr>
    </w:p>
    <w:p w14:paraId="6DF2EBB0" w14:textId="77777777" w:rsidR="00FD567D" w:rsidRPr="00E401A5" w:rsidRDefault="00FD567D" w:rsidP="00FD567D">
      <w:pPr>
        <w:jc w:val="both"/>
        <w:rPr>
          <w:rFonts w:ascii="Calibri" w:hAnsi="Calibri" w:cs="Calibri"/>
          <w:b/>
          <w:bCs/>
          <w:lang w:val="en-GB"/>
        </w:rPr>
      </w:pPr>
    </w:p>
    <w:p w14:paraId="1B489EEC" w14:textId="77777777" w:rsidR="00FD567D" w:rsidRPr="00E401A5" w:rsidRDefault="00FD567D" w:rsidP="00FD567D">
      <w:pPr>
        <w:jc w:val="both"/>
        <w:rPr>
          <w:rFonts w:ascii="Calibri" w:hAnsi="Calibri" w:cs="Calibri"/>
          <w:b/>
          <w:bCs/>
          <w:lang w:val="en-GB"/>
        </w:rPr>
      </w:pPr>
    </w:p>
    <w:p w14:paraId="4C05916F" w14:textId="77777777" w:rsidR="00FD567D" w:rsidRPr="00E401A5" w:rsidRDefault="00FD567D" w:rsidP="00FD567D">
      <w:pPr>
        <w:jc w:val="both"/>
        <w:rPr>
          <w:rFonts w:ascii="Calibri" w:hAnsi="Calibri" w:cs="Calibri"/>
          <w:b/>
          <w:bCs/>
          <w:lang w:val="en-GB"/>
        </w:rPr>
      </w:pPr>
    </w:p>
    <w:p w14:paraId="0CA93707" w14:textId="77777777" w:rsidR="00FD567D" w:rsidRPr="00E401A5" w:rsidRDefault="00FD567D" w:rsidP="00FD567D">
      <w:pPr>
        <w:jc w:val="both"/>
        <w:rPr>
          <w:rFonts w:ascii="Calibri" w:hAnsi="Calibri" w:cs="Calibri"/>
          <w:b/>
          <w:bCs/>
          <w:lang w:val="en-GB"/>
        </w:rPr>
      </w:pPr>
    </w:p>
    <w:p w14:paraId="52B0CA01" w14:textId="77777777" w:rsidR="00FD567D" w:rsidRPr="00E401A5" w:rsidRDefault="00FD567D" w:rsidP="00FD567D">
      <w:pPr>
        <w:jc w:val="both"/>
        <w:rPr>
          <w:rFonts w:ascii="Calibri" w:hAnsi="Calibri" w:cs="Calibri"/>
          <w:b/>
          <w:bCs/>
          <w:lang w:val="en-GB"/>
        </w:rPr>
      </w:pPr>
    </w:p>
    <w:p w14:paraId="6342669F" w14:textId="77777777" w:rsidR="00FD567D" w:rsidRPr="00E401A5" w:rsidRDefault="00FD567D" w:rsidP="00FD567D">
      <w:pPr>
        <w:jc w:val="both"/>
        <w:rPr>
          <w:rFonts w:ascii="Calibri" w:hAnsi="Calibri" w:cs="Calibri"/>
          <w:b/>
          <w:bCs/>
          <w:lang w:val="en-GB"/>
        </w:rPr>
      </w:pPr>
    </w:p>
    <w:p w14:paraId="0567CEF0" w14:textId="77777777" w:rsidR="00FD567D" w:rsidRPr="00E401A5" w:rsidRDefault="00FD567D" w:rsidP="00FD567D">
      <w:pPr>
        <w:jc w:val="both"/>
        <w:rPr>
          <w:rFonts w:ascii="Calibri" w:hAnsi="Calibri" w:cs="Calibri"/>
          <w:b/>
          <w:bCs/>
          <w:lang w:val="en-GB"/>
        </w:rPr>
      </w:pPr>
    </w:p>
    <w:p w14:paraId="7A7A733F" w14:textId="77777777" w:rsidR="00FD567D" w:rsidRPr="00E401A5" w:rsidRDefault="00FD567D" w:rsidP="00FD567D">
      <w:pPr>
        <w:jc w:val="both"/>
        <w:rPr>
          <w:rFonts w:ascii="Calibri" w:hAnsi="Calibri" w:cs="Calibri"/>
          <w:b/>
          <w:bCs/>
          <w:lang w:val="en-GB"/>
        </w:rPr>
      </w:pPr>
    </w:p>
    <w:p w14:paraId="46A44294" w14:textId="77777777" w:rsidR="00FD567D" w:rsidRPr="00E401A5" w:rsidRDefault="00FD567D" w:rsidP="00FD567D">
      <w:pPr>
        <w:jc w:val="both"/>
        <w:rPr>
          <w:rFonts w:ascii="Calibri" w:hAnsi="Calibri" w:cs="Calibri"/>
          <w:b/>
          <w:bCs/>
          <w:lang w:val="en-GB"/>
        </w:rPr>
      </w:pPr>
    </w:p>
    <w:p w14:paraId="269B0A00" w14:textId="77777777" w:rsidR="00FD567D" w:rsidRPr="00E401A5" w:rsidRDefault="00FD567D" w:rsidP="00FD567D">
      <w:pPr>
        <w:jc w:val="both"/>
        <w:rPr>
          <w:rFonts w:ascii="Calibri" w:hAnsi="Calibri" w:cs="Calibri"/>
          <w:b/>
          <w:bCs/>
          <w:lang w:val="en-GB"/>
        </w:rPr>
      </w:pPr>
    </w:p>
    <w:p w14:paraId="24DB5A7F" w14:textId="77777777" w:rsidR="00FD567D" w:rsidRPr="00E401A5" w:rsidRDefault="00FD567D" w:rsidP="00FD567D">
      <w:pPr>
        <w:jc w:val="both"/>
        <w:rPr>
          <w:rFonts w:ascii="Calibri" w:hAnsi="Calibri" w:cs="Calibri"/>
          <w:b/>
          <w:bCs/>
          <w:lang w:val="en-GB"/>
        </w:rPr>
      </w:pPr>
    </w:p>
    <w:p w14:paraId="0E2B9255" w14:textId="77777777" w:rsidR="00FD567D" w:rsidRPr="00E401A5" w:rsidRDefault="00FD567D" w:rsidP="00FD567D">
      <w:pPr>
        <w:jc w:val="both"/>
        <w:rPr>
          <w:rFonts w:ascii="Calibri" w:hAnsi="Calibri" w:cs="Calibri"/>
          <w:b/>
          <w:bCs/>
          <w:lang w:val="en-GB"/>
        </w:rPr>
      </w:pPr>
    </w:p>
    <w:p w14:paraId="38997257" w14:textId="77777777" w:rsidR="00FD567D" w:rsidRPr="00E401A5" w:rsidRDefault="00FD567D" w:rsidP="00FD567D">
      <w:pPr>
        <w:jc w:val="both"/>
        <w:rPr>
          <w:rFonts w:ascii="Calibri" w:hAnsi="Calibri" w:cs="Calibri"/>
          <w:b/>
          <w:bCs/>
          <w:lang w:val="en-GB"/>
        </w:rPr>
      </w:pPr>
    </w:p>
    <w:p w14:paraId="71C43491" w14:textId="77777777" w:rsidR="00FD567D" w:rsidRPr="00E401A5" w:rsidRDefault="00FD567D" w:rsidP="00FD567D">
      <w:pPr>
        <w:jc w:val="both"/>
        <w:rPr>
          <w:rFonts w:ascii="Calibri" w:hAnsi="Calibri" w:cs="Calibri"/>
          <w:b/>
          <w:bCs/>
          <w:lang w:val="en-GB"/>
        </w:rPr>
      </w:pPr>
    </w:p>
    <w:p w14:paraId="0F218B07"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sz w:val="20"/>
          <w:szCs w:val="20"/>
          <w:lang w:val="en-GB"/>
        </w:rPr>
        <w:t xml:space="preserve">Supplementary Figure 16: Targeted visualization of selected contamination related CSF proteins stratified by clinical reactivity. </w:t>
      </w:r>
      <w:r w:rsidRPr="00E401A5">
        <w:rPr>
          <w:rStyle w:val="Strong"/>
          <w:rFonts w:ascii="Calibri" w:hAnsi="Calibri" w:cs="Calibri"/>
          <w:b w:val="0"/>
          <w:bCs w:val="0"/>
          <w:sz w:val="20"/>
          <w:szCs w:val="20"/>
          <w:lang w:val="en-GB"/>
        </w:rPr>
        <w:t>Boxplots showing longitudinal protein changes (Δ = 6 months − baseline) for selected CSF proteins commonly associated with contamination and other procedural causes. Samples are stratified by clinical subgroup, including control, MSC without adverse events or MRI findings, MSC with adverse events only, and MSC with both adverse events and MRI findings. Individual patient values are displayed as overlaid points to illustrate inter-individual variability.</w:t>
      </w:r>
    </w:p>
    <w:p w14:paraId="14DF31AF" w14:textId="77777777" w:rsidR="00FD567D" w:rsidRPr="00E401A5" w:rsidRDefault="00FD567D" w:rsidP="00FD567D">
      <w:pPr>
        <w:jc w:val="both"/>
        <w:rPr>
          <w:rStyle w:val="Strong"/>
          <w:rFonts w:ascii="Calibri" w:hAnsi="Calibri" w:cs="Calibri"/>
          <w:sz w:val="20"/>
          <w:szCs w:val="20"/>
          <w:lang w:val="en-GB"/>
        </w:rPr>
      </w:pPr>
    </w:p>
    <w:p w14:paraId="5181CB82"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33E271F2" wp14:editId="113A2EF4">
            <wp:extent cx="5727700" cy="5727700"/>
            <wp:effectExtent l="0" t="0" r="0" b="0"/>
            <wp:docPr id="54992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201" name="Picture 5499201"/>
                    <pic:cNvPicPr/>
                  </pic:nvPicPr>
                  <pic:blipFill>
                    <a:blip r:embed="rId21"/>
                    <a:stretch>
                      <a:fillRect/>
                    </a:stretch>
                  </pic:blipFill>
                  <pic:spPr>
                    <a:xfrm>
                      <a:off x="0" y="0"/>
                      <a:ext cx="5727700" cy="5727700"/>
                    </a:xfrm>
                    <a:prstGeom prst="rect">
                      <a:avLst/>
                    </a:prstGeom>
                  </pic:spPr>
                </pic:pic>
              </a:graphicData>
            </a:graphic>
          </wp:inline>
        </w:drawing>
      </w:r>
    </w:p>
    <w:p w14:paraId="7B691842" w14:textId="77777777" w:rsidR="00FD567D" w:rsidRPr="00E401A5" w:rsidRDefault="00FD567D" w:rsidP="00FD567D">
      <w:pPr>
        <w:jc w:val="both"/>
        <w:rPr>
          <w:rFonts w:ascii="Calibri" w:hAnsi="Calibri" w:cs="Calibri"/>
          <w:b/>
          <w:bCs/>
          <w:lang w:val="en-GB"/>
        </w:rPr>
      </w:pPr>
    </w:p>
    <w:p w14:paraId="09D49A9C" w14:textId="77777777" w:rsidR="00FD567D" w:rsidRPr="00E401A5" w:rsidRDefault="00FD567D" w:rsidP="00FD567D">
      <w:pPr>
        <w:jc w:val="both"/>
        <w:rPr>
          <w:rFonts w:ascii="Calibri" w:hAnsi="Calibri" w:cs="Calibri"/>
          <w:b/>
          <w:bCs/>
          <w:lang w:val="en-GB"/>
        </w:rPr>
      </w:pPr>
    </w:p>
    <w:p w14:paraId="3C3C0519" w14:textId="77777777" w:rsidR="00FD567D" w:rsidRPr="00E401A5" w:rsidRDefault="00FD567D" w:rsidP="00FD567D">
      <w:pPr>
        <w:jc w:val="both"/>
        <w:rPr>
          <w:rFonts w:ascii="Calibri" w:hAnsi="Calibri" w:cs="Calibri"/>
          <w:b/>
          <w:bCs/>
          <w:lang w:val="en-GB"/>
        </w:rPr>
      </w:pPr>
    </w:p>
    <w:p w14:paraId="659C7349" w14:textId="77777777" w:rsidR="00FD567D" w:rsidRPr="00E401A5" w:rsidRDefault="00FD567D" w:rsidP="00FD567D">
      <w:pPr>
        <w:jc w:val="both"/>
        <w:rPr>
          <w:rFonts w:ascii="Calibri" w:hAnsi="Calibri" w:cs="Calibri"/>
          <w:b/>
          <w:bCs/>
          <w:lang w:val="en-GB"/>
        </w:rPr>
      </w:pPr>
    </w:p>
    <w:p w14:paraId="3DFFA43E" w14:textId="77777777" w:rsidR="00FD567D" w:rsidRPr="00E401A5" w:rsidRDefault="00FD567D" w:rsidP="00FD567D">
      <w:pPr>
        <w:jc w:val="both"/>
        <w:rPr>
          <w:rFonts w:ascii="Calibri" w:hAnsi="Calibri" w:cs="Calibri"/>
          <w:b/>
          <w:bCs/>
          <w:lang w:val="en-GB"/>
        </w:rPr>
      </w:pPr>
    </w:p>
    <w:p w14:paraId="134CA782" w14:textId="77777777" w:rsidR="00FD567D" w:rsidRPr="00E401A5" w:rsidRDefault="00FD567D" w:rsidP="00FD567D">
      <w:pPr>
        <w:jc w:val="both"/>
        <w:rPr>
          <w:rFonts w:ascii="Calibri" w:hAnsi="Calibri" w:cs="Calibri"/>
          <w:b/>
          <w:bCs/>
          <w:lang w:val="en-GB"/>
        </w:rPr>
      </w:pPr>
    </w:p>
    <w:p w14:paraId="7EC2D68D" w14:textId="77777777" w:rsidR="00FD567D" w:rsidRPr="00E401A5" w:rsidRDefault="00FD567D" w:rsidP="00FD567D">
      <w:pPr>
        <w:jc w:val="both"/>
        <w:rPr>
          <w:rFonts w:ascii="Calibri" w:hAnsi="Calibri" w:cs="Calibri"/>
          <w:b/>
          <w:bCs/>
          <w:lang w:val="en-GB"/>
        </w:rPr>
      </w:pPr>
    </w:p>
    <w:p w14:paraId="13ADE57F" w14:textId="77777777" w:rsidR="00FD567D" w:rsidRPr="00E401A5" w:rsidRDefault="00FD567D" w:rsidP="00FD567D">
      <w:pPr>
        <w:jc w:val="both"/>
        <w:rPr>
          <w:rFonts w:ascii="Calibri" w:hAnsi="Calibri" w:cs="Calibri"/>
          <w:b/>
          <w:bCs/>
          <w:lang w:val="en-GB"/>
        </w:rPr>
      </w:pPr>
    </w:p>
    <w:p w14:paraId="1149FFCC" w14:textId="77777777" w:rsidR="00FD567D" w:rsidRPr="00E401A5" w:rsidRDefault="00FD567D" w:rsidP="00FD567D">
      <w:pPr>
        <w:jc w:val="both"/>
        <w:rPr>
          <w:rFonts w:ascii="Calibri" w:hAnsi="Calibri" w:cs="Calibri"/>
          <w:b/>
          <w:bCs/>
          <w:lang w:val="en-GB"/>
        </w:rPr>
      </w:pPr>
    </w:p>
    <w:p w14:paraId="5EE6F399" w14:textId="77777777" w:rsidR="00FD567D" w:rsidRPr="00E401A5" w:rsidRDefault="00FD567D" w:rsidP="00FD567D">
      <w:pPr>
        <w:jc w:val="both"/>
        <w:rPr>
          <w:rFonts w:ascii="Calibri" w:hAnsi="Calibri" w:cs="Calibri"/>
          <w:b/>
          <w:bCs/>
          <w:lang w:val="en-GB"/>
        </w:rPr>
      </w:pPr>
    </w:p>
    <w:p w14:paraId="5D1C2127"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sz w:val="20"/>
          <w:szCs w:val="20"/>
          <w:lang w:val="en-GB"/>
        </w:rPr>
        <w:lastRenderedPageBreak/>
        <w:t xml:space="preserve">Supplementary Figure 17: Targeted visualization of selected inflammation related CSF proteins stratified by clinical reactivity. </w:t>
      </w:r>
      <w:r w:rsidRPr="00E401A5">
        <w:rPr>
          <w:rStyle w:val="Strong"/>
          <w:rFonts w:ascii="Calibri" w:hAnsi="Calibri" w:cs="Calibri"/>
          <w:b w:val="0"/>
          <w:bCs w:val="0"/>
          <w:sz w:val="20"/>
          <w:szCs w:val="20"/>
          <w:lang w:val="en-GB"/>
        </w:rPr>
        <w:t>Boxplots showing longitudinal protein changes (Δ = 6 months − baseline) for selected CSF proteins commonly associated with inflammatory processes. Samples are stratified by clinical subgroup, including control, MSC without adverse events or MRI findings, MSC with adverse events only, and MSC with both adverse events and MRI findings. Individual patient values are displayed as overlaid points to illustrate inter-individual variability.</w:t>
      </w:r>
    </w:p>
    <w:p w14:paraId="1B30B694" w14:textId="77777777" w:rsidR="00FD567D" w:rsidRPr="00E401A5" w:rsidRDefault="00FD567D" w:rsidP="00FD567D">
      <w:pPr>
        <w:jc w:val="both"/>
        <w:rPr>
          <w:rStyle w:val="Strong"/>
          <w:rFonts w:ascii="Calibri" w:hAnsi="Calibri" w:cs="Calibri"/>
          <w:sz w:val="20"/>
          <w:szCs w:val="20"/>
          <w:lang w:val="en-GB"/>
        </w:rPr>
      </w:pPr>
    </w:p>
    <w:p w14:paraId="36D90456" w14:textId="77777777" w:rsidR="00FD567D" w:rsidRPr="00E401A5" w:rsidRDefault="00FD567D" w:rsidP="00FD567D">
      <w:pPr>
        <w:jc w:val="both"/>
        <w:rPr>
          <w:rFonts w:ascii="Calibri" w:hAnsi="Calibri" w:cs="Calibri"/>
          <w:b/>
          <w:bCs/>
          <w:lang w:val="en-GB"/>
        </w:rPr>
      </w:pPr>
      <w:r w:rsidRPr="00E401A5">
        <w:rPr>
          <w:noProof/>
          <w:lang w:val="en-GB"/>
        </w:rPr>
        <w:drawing>
          <wp:inline distT="0" distB="0" distL="0" distR="0" wp14:anchorId="0027F88C" wp14:editId="1876C54A">
            <wp:extent cx="5727700" cy="5727700"/>
            <wp:effectExtent l="0" t="0" r="0" b="0"/>
            <wp:docPr id="19917261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726131" name="Picture 1991726131"/>
                    <pic:cNvPicPr/>
                  </pic:nvPicPr>
                  <pic:blipFill>
                    <a:blip r:embed="rId22"/>
                    <a:stretch>
                      <a:fillRect/>
                    </a:stretch>
                  </pic:blipFill>
                  <pic:spPr>
                    <a:xfrm>
                      <a:off x="0" y="0"/>
                      <a:ext cx="5727700" cy="5727700"/>
                    </a:xfrm>
                    <a:prstGeom prst="rect">
                      <a:avLst/>
                    </a:prstGeom>
                  </pic:spPr>
                </pic:pic>
              </a:graphicData>
            </a:graphic>
          </wp:inline>
        </w:drawing>
      </w:r>
    </w:p>
    <w:p w14:paraId="3E883667" w14:textId="77777777" w:rsidR="00FD567D" w:rsidRPr="00E401A5" w:rsidRDefault="00FD567D" w:rsidP="00FD567D">
      <w:pPr>
        <w:jc w:val="both"/>
        <w:rPr>
          <w:rFonts w:ascii="Calibri" w:hAnsi="Calibri" w:cs="Calibri"/>
          <w:b/>
          <w:bCs/>
          <w:lang w:val="en-GB"/>
        </w:rPr>
      </w:pPr>
    </w:p>
    <w:p w14:paraId="0A9BDB1F" w14:textId="77777777" w:rsidR="00FD567D" w:rsidRPr="00E401A5" w:rsidRDefault="00FD567D" w:rsidP="00FD567D">
      <w:pPr>
        <w:jc w:val="both"/>
        <w:rPr>
          <w:rFonts w:ascii="Calibri" w:hAnsi="Calibri" w:cs="Calibri"/>
          <w:b/>
          <w:bCs/>
          <w:lang w:val="en-GB"/>
        </w:rPr>
      </w:pPr>
    </w:p>
    <w:p w14:paraId="1831F59A" w14:textId="77777777" w:rsidR="00FD567D" w:rsidRPr="00E401A5" w:rsidRDefault="00FD567D" w:rsidP="00FD567D">
      <w:pPr>
        <w:jc w:val="both"/>
        <w:rPr>
          <w:rFonts w:ascii="Calibri" w:hAnsi="Calibri" w:cs="Calibri"/>
          <w:b/>
          <w:bCs/>
          <w:lang w:val="en-GB"/>
        </w:rPr>
      </w:pPr>
    </w:p>
    <w:p w14:paraId="4FA7D768" w14:textId="77777777" w:rsidR="00FD567D" w:rsidRPr="00E401A5" w:rsidRDefault="00FD567D" w:rsidP="00FD567D">
      <w:pPr>
        <w:jc w:val="both"/>
        <w:rPr>
          <w:rFonts w:ascii="Calibri" w:hAnsi="Calibri" w:cs="Calibri"/>
          <w:b/>
          <w:bCs/>
          <w:lang w:val="en-GB"/>
        </w:rPr>
      </w:pPr>
    </w:p>
    <w:p w14:paraId="74FF8F0A" w14:textId="77777777" w:rsidR="00FD567D" w:rsidRPr="00E401A5" w:rsidRDefault="00FD567D" w:rsidP="00FD567D">
      <w:pPr>
        <w:jc w:val="both"/>
        <w:rPr>
          <w:rFonts w:ascii="Calibri" w:hAnsi="Calibri" w:cs="Calibri"/>
          <w:b/>
          <w:bCs/>
          <w:lang w:val="en-GB"/>
        </w:rPr>
      </w:pPr>
    </w:p>
    <w:p w14:paraId="0B1F5FCF" w14:textId="77777777" w:rsidR="00FD567D" w:rsidRPr="00E401A5" w:rsidRDefault="00FD567D" w:rsidP="00FD567D">
      <w:pPr>
        <w:jc w:val="both"/>
        <w:rPr>
          <w:rFonts w:ascii="Calibri" w:hAnsi="Calibri" w:cs="Calibri"/>
          <w:b/>
          <w:bCs/>
          <w:lang w:val="en-GB"/>
        </w:rPr>
      </w:pPr>
    </w:p>
    <w:p w14:paraId="4DAB2E56" w14:textId="77777777" w:rsidR="00FD567D" w:rsidRPr="00E401A5" w:rsidRDefault="00FD567D" w:rsidP="00FD567D">
      <w:pPr>
        <w:jc w:val="both"/>
        <w:rPr>
          <w:rFonts w:ascii="Calibri" w:hAnsi="Calibri" w:cs="Calibri"/>
          <w:b/>
          <w:bCs/>
          <w:lang w:val="en-GB"/>
        </w:rPr>
      </w:pPr>
    </w:p>
    <w:p w14:paraId="3B1D848A" w14:textId="77777777" w:rsidR="00FD567D" w:rsidRPr="00E401A5" w:rsidRDefault="00FD567D" w:rsidP="00FD567D">
      <w:pPr>
        <w:jc w:val="both"/>
        <w:rPr>
          <w:rFonts w:ascii="Calibri" w:hAnsi="Calibri" w:cs="Calibri"/>
          <w:b/>
          <w:bCs/>
          <w:lang w:val="en-GB"/>
        </w:rPr>
      </w:pPr>
    </w:p>
    <w:p w14:paraId="7672802A" w14:textId="77777777" w:rsidR="00FD567D" w:rsidRPr="00E401A5" w:rsidRDefault="00FD567D" w:rsidP="00FD567D">
      <w:pPr>
        <w:jc w:val="both"/>
        <w:rPr>
          <w:rFonts w:ascii="Calibri" w:hAnsi="Calibri" w:cs="Calibri"/>
          <w:b/>
          <w:bCs/>
          <w:lang w:val="en-GB"/>
        </w:rPr>
      </w:pPr>
    </w:p>
    <w:p w14:paraId="21ABC9E4" w14:textId="77777777" w:rsidR="00FD567D" w:rsidRPr="00E401A5" w:rsidRDefault="00FD567D" w:rsidP="00FD567D">
      <w:pPr>
        <w:jc w:val="both"/>
        <w:rPr>
          <w:rFonts w:ascii="Calibri" w:hAnsi="Calibri" w:cs="Calibri"/>
          <w:b/>
          <w:bCs/>
          <w:lang w:val="en-GB"/>
        </w:rPr>
      </w:pPr>
    </w:p>
    <w:p w14:paraId="566CE241" w14:textId="77777777" w:rsidR="00FD567D" w:rsidRPr="00E401A5" w:rsidRDefault="00FD567D" w:rsidP="00FD567D">
      <w:pPr>
        <w:jc w:val="both"/>
        <w:rPr>
          <w:rFonts w:ascii="Calibri" w:hAnsi="Calibri" w:cs="Calibri"/>
          <w:b/>
          <w:bCs/>
          <w:lang w:val="en-GB"/>
        </w:rPr>
      </w:pPr>
    </w:p>
    <w:p w14:paraId="2A30BAD2"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sz w:val="20"/>
          <w:szCs w:val="20"/>
          <w:lang w:val="en-GB"/>
        </w:rPr>
        <w:lastRenderedPageBreak/>
        <w:t xml:space="preserve">Supplementary Figure 18: Relationships between CSF functional program scores and CSF reactivity </w:t>
      </w:r>
      <w:proofErr w:type="gramStart"/>
      <w:r w:rsidRPr="00E401A5">
        <w:rPr>
          <w:rStyle w:val="Strong"/>
          <w:rFonts w:ascii="Calibri" w:hAnsi="Calibri" w:cs="Calibri"/>
          <w:sz w:val="20"/>
          <w:szCs w:val="20"/>
          <w:lang w:val="en-GB"/>
        </w:rPr>
        <w:t>score</w:t>
      </w:r>
      <w:proofErr w:type="gramEnd"/>
      <w:r w:rsidRPr="00E401A5">
        <w:rPr>
          <w:rStyle w:val="Strong"/>
          <w:rFonts w:ascii="Calibri" w:hAnsi="Calibri" w:cs="Calibri"/>
          <w:sz w:val="20"/>
          <w:szCs w:val="20"/>
          <w:lang w:val="en-GB"/>
        </w:rPr>
        <w:t xml:space="preserve"> across clinical subgroups. </w:t>
      </w:r>
      <w:r w:rsidRPr="00E401A5">
        <w:rPr>
          <w:rStyle w:val="Strong"/>
          <w:rFonts w:ascii="Calibri" w:hAnsi="Calibri" w:cs="Calibri"/>
          <w:b w:val="0"/>
          <w:bCs w:val="0"/>
          <w:sz w:val="20"/>
          <w:szCs w:val="20"/>
          <w:lang w:val="en-GB"/>
        </w:rPr>
        <w:t>Scatter plots illustrating pairwise relationships between longitudinal CSF functional program scores derived from proteomic changes (Δ = 6 months − baseline).</w:t>
      </w:r>
    </w:p>
    <w:p w14:paraId="2A7BD0A6"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b w:val="0"/>
          <w:bCs w:val="0"/>
          <w:sz w:val="20"/>
          <w:szCs w:val="20"/>
          <w:lang w:val="en-GB"/>
        </w:rPr>
        <w:t>(A) Association between the CSF innate/vascular inflammatory program and the CSF ECM/interface remodelling program.</w:t>
      </w:r>
    </w:p>
    <w:p w14:paraId="6B003948"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b w:val="0"/>
          <w:bCs w:val="0"/>
          <w:sz w:val="20"/>
          <w:szCs w:val="20"/>
          <w:lang w:val="en-GB"/>
        </w:rPr>
        <w:t>(B) Association between the CSF innate/vascular inflammatory program and the CSF metabolic/cytoskeletal adaptation program.</w:t>
      </w:r>
    </w:p>
    <w:p w14:paraId="02A27C37" w14:textId="77777777" w:rsidR="00FD567D" w:rsidRPr="00E401A5" w:rsidRDefault="00FD567D" w:rsidP="00FD567D">
      <w:pPr>
        <w:jc w:val="both"/>
        <w:rPr>
          <w:rStyle w:val="Strong"/>
          <w:rFonts w:ascii="Calibri" w:hAnsi="Calibri" w:cs="Calibri"/>
          <w:b w:val="0"/>
          <w:bCs w:val="0"/>
          <w:sz w:val="20"/>
          <w:szCs w:val="20"/>
          <w:lang w:val="en-GB"/>
        </w:rPr>
      </w:pPr>
      <w:r w:rsidRPr="00E401A5">
        <w:rPr>
          <w:rStyle w:val="Strong"/>
          <w:rFonts w:ascii="Calibri" w:hAnsi="Calibri" w:cs="Calibri"/>
          <w:b w:val="0"/>
          <w:bCs w:val="0"/>
          <w:sz w:val="20"/>
          <w:szCs w:val="20"/>
          <w:lang w:val="en-GB"/>
        </w:rPr>
        <w:t>(C) Associations between the CSF reactivity score and each CSF functional program (metabolic/cytoskeletal, ECM/interface remodelling, and innate/vascular inflammatory). Each point represents an individual patient, coloured by clinical subgroup (Control, MSC without adverse events or MRI findings, MSC with adverse events only, MSC with adverse events and MRI findings). Dashed lines indicate zero-centred score values.</w:t>
      </w:r>
    </w:p>
    <w:p w14:paraId="2E84039A" w14:textId="37CF071B" w:rsidR="00FD567D" w:rsidRPr="00E401A5" w:rsidRDefault="00FD567D" w:rsidP="00FD567D">
      <w:pPr>
        <w:jc w:val="both"/>
        <w:rPr>
          <w:rStyle w:val="Strong"/>
          <w:rFonts w:ascii="Calibri" w:hAnsi="Calibri" w:cs="Calibri"/>
          <w:sz w:val="20"/>
          <w:szCs w:val="20"/>
          <w:lang w:val="en-GB"/>
        </w:rPr>
      </w:pPr>
      <w:r w:rsidRPr="00E401A5">
        <w:rPr>
          <w:noProof/>
          <w:lang w:val="en-GB"/>
        </w:rPr>
        <w:drawing>
          <wp:inline distT="0" distB="0" distL="0" distR="0" wp14:anchorId="1C505DFE" wp14:editId="6959C372">
            <wp:extent cx="5727700" cy="4462780"/>
            <wp:effectExtent l="0" t="0" r="0" b="0"/>
            <wp:docPr id="544913161" name="Picture 4" descr="A group of graphs showing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913161" name="Picture 4" descr="A group of graphs showing different colored dots&#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27700" cy="4462780"/>
                    </a:xfrm>
                    <a:prstGeom prst="rect">
                      <a:avLst/>
                    </a:prstGeom>
                  </pic:spPr>
                </pic:pic>
              </a:graphicData>
            </a:graphic>
          </wp:inline>
        </w:drawing>
      </w:r>
    </w:p>
    <w:p w14:paraId="198AF893" w14:textId="77777777" w:rsidR="00FD567D" w:rsidRPr="00E401A5" w:rsidRDefault="00FD567D" w:rsidP="00FD567D">
      <w:pPr>
        <w:jc w:val="center"/>
        <w:rPr>
          <w:rFonts w:ascii="Calibri" w:hAnsi="Calibri" w:cs="Calibri"/>
          <w:b/>
          <w:bCs/>
          <w:lang w:val="en-GB"/>
        </w:rPr>
      </w:pPr>
    </w:p>
    <w:p w14:paraId="484FDC2F" w14:textId="77777777" w:rsidR="004A0E6D" w:rsidRDefault="004A0E6D"/>
    <w:sectPr w:rsidR="004A0E6D" w:rsidSect="004A5621">
      <w:footerReference w:type="even" r:id="rId24"/>
      <w:footerReference w:type="default" r:id="rId2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079D6" w14:textId="77777777" w:rsidR="00AB3C3D" w:rsidRDefault="00AB3C3D" w:rsidP="00867868">
      <w:r>
        <w:separator/>
      </w:r>
    </w:p>
  </w:endnote>
  <w:endnote w:type="continuationSeparator" w:id="0">
    <w:p w14:paraId="4893A7F1" w14:textId="77777777" w:rsidR="00AB3C3D" w:rsidRDefault="00AB3C3D" w:rsidP="0086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9598406"/>
      <w:docPartObj>
        <w:docPartGallery w:val="Page Numbers (Bottom of Page)"/>
        <w:docPartUnique/>
      </w:docPartObj>
    </w:sdtPr>
    <w:sdtContent>
      <w:p w14:paraId="6F8C788F" w14:textId="627AB28E" w:rsidR="00867868" w:rsidRDefault="00867868" w:rsidP="003B04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2DD5180" w14:textId="77777777" w:rsidR="00867868" w:rsidRDefault="00867868" w:rsidP="008678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4969813"/>
      <w:docPartObj>
        <w:docPartGallery w:val="Page Numbers (Bottom of Page)"/>
        <w:docPartUnique/>
      </w:docPartObj>
    </w:sdtPr>
    <w:sdtContent>
      <w:p w14:paraId="5DD4CC83" w14:textId="1592621D" w:rsidR="00867868" w:rsidRDefault="00867868" w:rsidP="003B04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307D9BF5" w14:textId="77777777" w:rsidR="00867868" w:rsidRDefault="00867868" w:rsidP="0086786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7C436" w14:textId="77777777" w:rsidR="00AB3C3D" w:rsidRDefault="00AB3C3D" w:rsidP="00867868">
      <w:r>
        <w:separator/>
      </w:r>
    </w:p>
  </w:footnote>
  <w:footnote w:type="continuationSeparator" w:id="0">
    <w:p w14:paraId="634E8CEE" w14:textId="77777777" w:rsidR="00AB3C3D" w:rsidRDefault="00AB3C3D" w:rsidP="008678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67D"/>
    <w:rsid w:val="00016F38"/>
    <w:rsid w:val="00073CA6"/>
    <w:rsid w:val="000A0878"/>
    <w:rsid w:val="000B654D"/>
    <w:rsid w:val="002102DB"/>
    <w:rsid w:val="00263B30"/>
    <w:rsid w:val="003B4D41"/>
    <w:rsid w:val="003C4FD7"/>
    <w:rsid w:val="0045236D"/>
    <w:rsid w:val="004A0E6D"/>
    <w:rsid w:val="004A5621"/>
    <w:rsid w:val="005A3BF7"/>
    <w:rsid w:val="005A5D44"/>
    <w:rsid w:val="00616034"/>
    <w:rsid w:val="00636260"/>
    <w:rsid w:val="007C7866"/>
    <w:rsid w:val="00845B57"/>
    <w:rsid w:val="00867868"/>
    <w:rsid w:val="008D0D42"/>
    <w:rsid w:val="0096489A"/>
    <w:rsid w:val="009656F7"/>
    <w:rsid w:val="00A51D35"/>
    <w:rsid w:val="00AB3C3D"/>
    <w:rsid w:val="00AD27A3"/>
    <w:rsid w:val="00AD6C99"/>
    <w:rsid w:val="00AF1779"/>
    <w:rsid w:val="00AF28FE"/>
    <w:rsid w:val="00BE2440"/>
    <w:rsid w:val="00C74B6D"/>
    <w:rsid w:val="00C91F18"/>
    <w:rsid w:val="00D8542C"/>
    <w:rsid w:val="00D94293"/>
    <w:rsid w:val="00DA5104"/>
    <w:rsid w:val="00DB53D5"/>
    <w:rsid w:val="00DD68C4"/>
    <w:rsid w:val="00E56B23"/>
    <w:rsid w:val="00E60DE6"/>
    <w:rsid w:val="00FD5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5A2603A"/>
  <w15:chartTrackingRefBased/>
  <w15:docId w15:val="{936AD909-6EDC-F948-BD9E-BD32FABA5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FD567D"/>
    <w:rPr>
      <w:rFonts w:ascii="Times New Roman" w:eastAsia="Times New Roman" w:hAnsi="Times New Roman" w:cs="Times New Roman"/>
      <w:lang w:val="en-US" w:eastAsia="en-GB"/>
    </w:rPr>
  </w:style>
  <w:style w:type="paragraph" w:styleId="Heading1">
    <w:name w:val="heading 1"/>
    <w:basedOn w:val="Normal"/>
    <w:next w:val="Normal"/>
    <w:link w:val="Heading1Char"/>
    <w:uiPriority w:val="9"/>
    <w:qFormat/>
    <w:rsid w:val="00FD567D"/>
    <w:pPr>
      <w:keepNext/>
      <w:keepLines/>
      <w:spacing w:before="360" w:after="80"/>
      <w:outlineLvl w:val="0"/>
    </w:pPr>
    <w:rPr>
      <w:rFonts w:asciiTheme="majorHAnsi" w:eastAsiaTheme="majorEastAsia" w:hAnsiTheme="majorHAnsi" w:cstheme="majorBidi"/>
      <w:color w:val="2E74B5" w:themeColor="accent1" w:themeShade="BF"/>
      <w:sz w:val="40"/>
      <w:szCs w:val="40"/>
      <w:lang w:val="en-GB" w:eastAsia="en-US"/>
    </w:rPr>
  </w:style>
  <w:style w:type="paragraph" w:styleId="Heading2">
    <w:name w:val="heading 2"/>
    <w:basedOn w:val="Normal"/>
    <w:next w:val="Normal"/>
    <w:link w:val="Heading2Char"/>
    <w:uiPriority w:val="9"/>
    <w:semiHidden/>
    <w:unhideWhenUsed/>
    <w:qFormat/>
    <w:rsid w:val="00FD567D"/>
    <w:pPr>
      <w:keepNext/>
      <w:keepLines/>
      <w:spacing w:before="160" w:after="80"/>
      <w:outlineLvl w:val="1"/>
    </w:pPr>
    <w:rPr>
      <w:rFonts w:asciiTheme="majorHAnsi" w:eastAsiaTheme="majorEastAsia" w:hAnsiTheme="majorHAnsi" w:cstheme="majorBidi"/>
      <w:color w:val="2E74B5" w:themeColor="accent1" w:themeShade="BF"/>
      <w:sz w:val="32"/>
      <w:szCs w:val="32"/>
      <w:lang w:val="en-GB" w:eastAsia="en-US"/>
    </w:rPr>
  </w:style>
  <w:style w:type="paragraph" w:styleId="Heading3">
    <w:name w:val="heading 3"/>
    <w:basedOn w:val="Normal"/>
    <w:next w:val="Normal"/>
    <w:link w:val="Heading3Char"/>
    <w:uiPriority w:val="9"/>
    <w:semiHidden/>
    <w:unhideWhenUsed/>
    <w:qFormat/>
    <w:rsid w:val="00FD567D"/>
    <w:pPr>
      <w:keepNext/>
      <w:keepLines/>
      <w:spacing w:before="160" w:after="80"/>
      <w:outlineLvl w:val="2"/>
    </w:pPr>
    <w:rPr>
      <w:rFonts w:asciiTheme="minorHAnsi" w:eastAsiaTheme="majorEastAsia" w:hAnsiTheme="minorHAnsi" w:cstheme="majorBidi"/>
      <w:color w:val="2E74B5" w:themeColor="accent1" w:themeShade="BF"/>
      <w:sz w:val="28"/>
      <w:szCs w:val="28"/>
      <w:lang w:val="en-GB" w:eastAsia="en-US"/>
    </w:rPr>
  </w:style>
  <w:style w:type="paragraph" w:styleId="Heading4">
    <w:name w:val="heading 4"/>
    <w:basedOn w:val="Normal"/>
    <w:next w:val="Normal"/>
    <w:link w:val="Heading4Char"/>
    <w:uiPriority w:val="9"/>
    <w:semiHidden/>
    <w:unhideWhenUsed/>
    <w:qFormat/>
    <w:rsid w:val="00FD567D"/>
    <w:pPr>
      <w:keepNext/>
      <w:keepLines/>
      <w:spacing w:before="80" w:after="40"/>
      <w:outlineLvl w:val="3"/>
    </w:pPr>
    <w:rPr>
      <w:rFonts w:asciiTheme="minorHAnsi" w:eastAsiaTheme="majorEastAsia" w:hAnsiTheme="minorHAnsi" w:cstheme="majorBidi"/>
      <w:i/>
      <w:iCs/>
      <w:color w:val="2E74B5" w:themeColor="accent1" w:themeShade="BF"/>
      <w:lang w:val="en-GB" w:eastAsia="en-US"/>
    </w:rPr>
  </w:style>
  <w:style w:type="paragraph" w:styleId="Heading5">
    <w:name w:val="heading 5"/>
    <w:basedOn w:val="Normal"/>
    <w:next w:val="Normal"/>
    <w:link w:val="Heading5Char"/>
    <w:uiPriority w:val="9"/>
    <w:semiHidden/>
    <w:unhideWhenUsed/>
    <w:qFormat/>
    <w:rsid w:val="00FD567D"/>
    <w:pPr>
      <w:keepNext/>
      <w:keepLines/>
      <w:spacing w:before="80" w:after="40"/>
      <w:outlineLvl w:val="4"/>
    </w:pPr>
    <w:rPr>
      <w:rFonts w:asciiTheme="minorHAnsi" w:eastAsiaTheme="majorEastAsia" w:hAnsiTheme="minorHAnsi" w:cstheme="majorBidi"/>
      <w:color w:val="2E74B5" w:themeColor="accent1" w:themeShade="BF"/>
      <w:lang w:val="en-GB" w:eastAsia="en-US"/>
    </w:rPr>
  </w:style>
  <w:style w:type="paragraph" w:styleId="Heading6">
    <w:name w:val="heading 6"/>
    <w:basedOn w:val="Normal"/>
    <w:next w:val="Normal"/>
    <w:link w:val="Heading6Char"/>
    <w:uiPriority w:val="9"/>
    <w:semiHidden/>
    <w:unhideWhenUsed/>
    <w:qFormat/>
    <w:rsid w:val="00FD567D"/>
    <w:pPr>
      <w:keepNext/>
      <w:keepLines/>
      <w:spacing w:before="40"/>
      <w:outlineLvl w:val="5"/>
    </w:pPr>
    <w:rPr>
      <w:rFonts w:asciiTheme="minorHAnsi" w:eastAsiaTheme="majorEastAsia" w:hAnsiTheme="minorHAnsi" w:cstheme="majorBidi"/>
      <w:i/>
      <w:iCs/>
      <w:color w:val="595959" w:themeColor="text1" w:themeTint="A6"/>
      <w:lang w:val="en-GB" w:eastAsia="en-US"/>
    </w:rPr>
  </w:style>
  <w:style w:type="paragraph" w:styleId="Heading7">
    <w:name w:val="heading 7"/>
    <w:basedOn w:val="Normal"/>
    <w:next w:val="Normal"/>
    <w:link w:val="Heading7Char"/>
    <w:uiPriority w:val="9"/>
    <w:semiHidden/>
    <w:unhideWhenUsed/>
    <w:qFormat/>
    <w:rsid w:val="00FD567D"/>
    <w:pPr>
      <w:keepNext/>
      <w:keepLines/>
      <w:spacing w:before="40"/>
      <w:outlineLvl w:val="6"/>
    </w:pPr>
    <w:rPr>
      <w:rFonts w:asciiTheme="minorHAnsi" w:eastAsiaTheme="majorEastAsia" w:hAnsiTheme="minorHAnsi" w:cstheme="majorBidi"/>
      <w:color w:val="595959" w:themeColor="text1" w:themeTint="A6"/>
      <w:lang w:val="en-GB" w:eastAsia="en-US"/>
    </w:rPr>
  </w:style>
  <w:style w:type="paragraph" w:styleId="Heading8">
    <w:name w:val="heading 8"/>
    <w:basedOn w:val="Normal"/>
    <w:next w:val="Normal"/>
    <w:link w:val="Heading8Char"/>
    <w:uiPriority w:val="9"/>
    <w:semiHidden/>
    <w:unhideWhenUsed/>
    <w:qFormat/>
    <w:rsid w:val="00FD567D"/>
    <w:pPr>
      <w:keepNext/>
      <w:keepLines/>
      <w:outlineLvl w:val="7"/>
    </w:pPr>
    <w:rPr>
      <w:rFonts w:asciiTheme="minorHAnsi" w:eastAsiaTheme="majorEastAsia" w:hAnsiTheme="minorHAnsi" w:cstheme="majorBidi"/>
      <w:i/>
      <w:iCs/>
      <w:color w:val="272727" w:themeColor="text1" w:themeTint="D8"/>
      <w:lang w:val="en-GB" w:eastAsia="en-US"/>
    </w:rPr>
  </w:style>
  <w:style w:type="paragraph" w:styleId="Heading9">
    <w:name w:val="heading 9"/>
    <w:basedOn w:val="Normal"/>
    <w:next w:val="Normal"/>
    <w:link w:val="Heading9Char"/>
    <w:uiPriority w:val="9"/>
    <w:semiHidden/>
    <w:unhideWhenUsed/>
    <w:qFormat/>
    <w:rsid w:val="00FD567D"/>
    <w:pPr>
      <w:keepNext/>
      <w:keepLines/>
      <w:outlineLvl w:val="8"/>
    </w:pPr>
    <w:rPr>
      <w:rFonts w:asciiTheme="minorHAnsi" w:eastAsiaTheme="majorEastAsia" w:hAnsiTheme="minorHAnsi" w:cstheme="majorBidi"/>
      <w:color w:val="272727" w:themeColor="text1" w:themeTint="D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67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D567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D567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D567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D567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D56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56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56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567D"/>
    <w:rPr>
      <w:rFonts w:eastAsiaTheme="majorEastAsia" w:cstheme="majorBidi"/>
      <w:color w:val="272727" w:themeColor="text1" w:themeTint="D8"/>
    </w:rPr>
  </w:style>
  <w:style w:type="paragraph" w:styleId="Title">
    <w:name w:val="Title"/>
    <w:basedOn w:val="Normal"/>
    <w:next w:val="Normal"/>
    <w:link w:val="TitleChar"/>
    <w:uiPriority w:val="10"/>
    <w:qFormat/>
    <w:rsid w:val="00FD567D"/>
    <w:pPr>
      <w:spacing w:after="80"/>
      <w:contextualSpacing/>
    </w:pPr>
    <w:rPr>
      <w:rFonts w:asciiTheme="majorHAnsi" w:eastAsiaTheme="majorEastAsia" w:hAnsiTheme="majorHAnsi" w:cstheme="majorBidi"/>
      <w:spacing w:val="-10"/>
      <w:kern w:val="28"/>
      <w:sz w:val="56"/>
      <w:szCs w:val="56"/>
      <w:lang w:val="en-GB" w:eastAsia="en-US"/>
    </w:rPr>
  </w:style>
  <w:style w:type="character" w:customStyle="1" w:styleId="TitleChar">
    <w:name w:val="Title Char"/>
    <w:basedOn w:val="DefaultParagraphFont"/>
    <w:link w:val="Title"/>
    <w:uiPriority w:val="10"/>
    <w:rsid w:val="00FD56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567D"/>
    <w:pPr>
      <w:numPr>
        <w:ilvl w:val="1"/>
      </w:numPr>
      <w:spacing w:after="160"/>
    </w:pPr>
    <w:rPr>
      <w:rFonts w:asciiTheme="minorHAnsi" w:eastAsiaTheme="majorEastAsia" w:hAnsiTheme="minorHAnsi" w:cstheme="majorBidi"/>
      <w:color w:val="595959" w:themeColor="text1" w:themeTint="A6"/>
      <w:spacing w:val="15"/>
      <w:sz w:val="28"/>
      <w:szCs w:val="28"/>
      <w:lang w:val="en-GB" w:eastAsia="en-US"/>
    </w:rPr>
  </w:style>
  <w:style w:type="character" w:customStyle="1" w:styleId="SubtitleChar">
    <w:name w:val="Subtitle Char"/>
    <w:basedOn w:val="DefaultParagraphFont"/>
    <w:link w:val="Subtitle"/>
    <w:uiPriority w:val="11"/>
    <w:rsid w:val="00FD56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567D"/>
    <w:pPr>
      <w:spacing w:before="160" w:after="160"/>
      <w:jc w:val="center"/>
    </w:pPr>
    <w:rPr>
      <w:rFonts w:asciiTheme="minorHAnsi" w:eastAsiaTheme="minorHAnsi" w:hAnsiTheme="minorHAnsi" w:cstheme="minorBidi"/>
      <w:i/>
      <w:iCs/>
      <w:color w:val="404040" w:themeColor="text1" w:themeTint="BF"/>
      <w:lang w:val="en-GB" w:eastAsia="en-US"/>
    </w:rPr>
  </w:style>
  <w:style w:type="character" w:customStyle="1" w:styleId="QuoteChar">
    <w:name w:val="Quote Char"/>
    <w:basedOn w:val="DefaultParagraphFont"/>
    <w:link w:val="Quote"/>
    <w:uiPriority w:val="29"/>
    <w:rsid w:val="00FD567D"/>
    <w:rPr>
      <w:i/>
      <w:iCs/>
      <w:color w:val="404040" w:themeColor="text1" w:themeTint="BF"/>
    </w:rPr>
  </w:style>
  <w:style w:type="paragraph" w:styleId="ListParagraph">
    <w:name w:val="List Paragraph"/>
    <w:basedOn w:val="Normal"/>
    <w:uiPriority w:val="34"/>
    <w:qFormat/>
    <w:rsid w:val="00FD567D"/>
    <w:pPr>
      <w:ind w:left="720"/>
      <w:contextualSpacing/>
    </w:pPr>
    <w:rPr>
      <w:rFonts w:asciiTheme="minorHAnsi" w:eastAsiaTheme="minorHAnsi" w:hAnsiTheme="minorHAnsi" w:cstheme="minorBidi"/>
      <w:lang w:val="en-GB" w:eastAsia="en-US"/>
    </w:rPr>
  </w:style>
  <w:style w:type="character" w:styleId="IntenseEmphasis">
    <w:name w:val="Intense Emphasis"/>
    <w:basedOn w:val="DefaultParagraphFont"/>
    <w:uiPriority w:val="21"/>
    <w:qFormat/>
    <w:rsid w:val="00FD567D"/>
    <w:rPr>
      <w:i/>
      <w:iCs/>
      <w:color w:val="2E74B5" w:themeColor="accent1" w:themeShade="BF"/>
    </w:rPr>
  </w:style>
  <w:style w:type="paragraph" w:styleId="IntenseQuote">
    <w:name w:val="Intense Quote"/>
    <w:basedOn w:val="Normal"/>
    <w:next w:val="Normal"/>
    <w:link w:val="IntenseQuoteChar"/>
    <w:uiPriority w:val="30"/>
    <w:qFormat/>
    <w:rsid w:val="00FD567D"/>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HAnsi" w:hAnsiTheme="minorHAnsi" w:cstheme="minorBidi"/>
      <w:i/>
      <w:iCs/>
      <w:color w:val="2E74B5" w:themeColor="accent1" w:themeShade="BF"/>
      <w:lang w:val="en-GB" w:eastAsia="en-US"/>
    </w:rPr>
  </w:style>
  <w:style w:type="character" w:customStyle="1" w:styleId="IntenseQuoteChar">
    <w:name w:val="Intense Quote Char"/>
    <w:basedOn w:val="DefaultParagraphFont"/>
    <w:link w:val="IntenseQuote"/>
    <w:uiPriority w:val="30"/>
    <w:rsid w:val="00FD567D"/>
    <w:rPr>
      <w:i/>
      <w:iCs/>
      <w:color w:val="2E74B5" w:themeColor="accent1" w:themeShade="BF"/>
    </w:rPr>
  </w:style>
  <w:style w:type="character" w:styleId="IntenseReference">
    <w:name w:val="Intense Reference"/>
    <w:basedOn w:val="DefaultParagraphFont"/>
    <w:uiPriority w:val="32"/>
    <w:qFormat/>
    <w:rsid w:val="00FD567D"/>
    <w:rPr>
      <w:b/>
      <w:bCs/>
      <w:smallCaps/>
      <w:color w:val="2E74B5" w:themeColor="accent1" w:themeShade="BF"/>
      <w:spacing w:val="5"/>
    </w:rPr>
  </w:style>
  <w:style w:type="character" w:styleId="Strong">
    <w:name w:val="Strong"/>
    <w:basedOn w:val="DefaultParagraphFont"/>
    <w:uiPriority w:val="22"/>
    <w:qFormat/>
    <w:rsid w:val="00FD567D"/>
    <w:rPr>
      <w:b/>
      <w:bCs/>
    </w:rPr>
  </w:style>
  <w:style w:type="table" w:styleId="TableGrid">
    <w:name w:val="Table Grid"/>
    <w:basedOn w:val="TableNormal"/>
    <w:uiPriority w:val="39"/>
    <w:rsid w:val="00FD5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67868"/>
    <w:pPr>
      <w:tabs>
        <w:tab w:val="center" w:pos="4513"/>
        <w:tab w:val="right" w:pos="9026"/>
      </w:tabs>
    </w:pPr>
  </w:style>
  <w:style w:type="character" w:customStyle="1" w:styleId="FooterChar">
    <w:name w:val="Footer Char"/>
    <w:basedOn w:val="DefaultParagraphFont"/>
    <w:link w:val="Footer"/>
    <w:uiPriority w:val="99"/>
    <w:rsid w:val="00867868"/>
    <w:rPr>
      <w:rFonts w:ascii="Times New Roman" w:eastAsia="Times New Roman" w:hAnsi="Times New Roman" w:cs="Times New Roman"/>
      <w:lang w:val="en-US" w:eastAsia="en-GB"/>
    </w:rPr>
  </w:style>
  <w:style w:type="character" w:styleId="PageNumber">
    <w:name w:val="page number"/>
    <w:basedOn w:val="DefaultParagraphFont"/>
    <w:uiPriority w:val="99"/>
    <w:semiHidden/>
    <w:unhideWhenUsed/>
    <w:rsid w:val="00867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emf"/><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2738</Words>
  <Characters>15613</Characters>
  <Application>Microsoft Office Word</Application>
  <DocSecurity>0</DocSecurity>
  <Lines>130</Lines>
  <Paragraphs>36</Paragraphs>
  <ScaleCrop>false</ScaleCrop>
  <Company/>
  <LinksUpToDate>false</LinksUpToDate>
  <CharactersWithSpaces>18315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Kleftogiannis</dc:creator>
  <cp:keywords/>
  <dc:description/>
  <cp:lastModifiedBy>Dimitrios Kleftogiannis</cp:lastModifiedBy>
  <cp:revision>6</cp:revision>
  <dcterms:created xsi:type="dcterms:W3CDTF">2026-04-20T08:57:00Z</dcterms:created>
  <dcterms:modified xsi:type="dcterms:W3CDTF">2026-05-07T08:11:00Z</dcterms:modified>
</cp:coreProperties>
</file>