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B59B" w14:textId="35C99518" w:rsidR="001C3B19" w:rsidRPr="00776911" w:rsidRDefault="001C3B19" w:rsidP="001C3B19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bookmarkStart w:id="0" w:name="_Hlk226041541"/>
      <w:r w:rsidRPr="00776911">
        <w:rPr>
          <w:rFonts w:ascii="Times New Roman" w:hAnsi="Times New Roman" w:cs="Times New Roman"/>
          <w:b/>
          <w:bCs/>
          <w:sz w:val="28"/>
          <w:szCs w:val="28"/>
        </w:rPr>
        <w:t>Clinical Application Abstract</w:t>
      </w:r>
    </w:p>
    <w:bookmarkEnd w:id="0"/>
    <w:p w14:paraId="05295F5D" w14:textId="42D0F90D" w:rsidR="00776911" w:rsidRPr="00776911" w:rsidRDefault="00776911" w:rsidP="00776911">
      <w:pPr>
        <w:rPr>
          <w:rFonts w:ascii="Times New Roman" w:eastAsiaTheme="minorEastAsia" w:hAnsi="Times New Roman" w:cs="Times New Roman"/>
          <w:sz w:val="28"/>
          <w:szCs w:val="28"/>
        </w:rPr>
      </w:pPr>
      <w:r w:rsidRPr="00776911">
        <w:rPr>
          <w:rFonts w:ascii="Times New Roman" w:eastAsiaTheme="minorEastAsia" w:hAnsi="Times New Roman" w:cs="Times New Roman"/>
          <w:sz w:val="28"/>
          <w:szCs w:val="28"/>
        </w:rPr>
        <w:t xml:space="preserve">This 13-variable Clinical Risk Score (CRS) was developed to predict early in-hospital mortality in critically ill patients with severe community-acquired pneumonia (SCAP) requiring invasive mechanical ventilation upon first ICU admission. Using only routinely available objective variables (e.g., lactate-to-albumin ratio [LAR], P/F ratio, and age), the CRS can be rapidly calculated at the bedside via a simple nomogram </w:t>
      </w:r>
      <w:r w:rsidRPr="00776911">
        <w:rPr>
          <w:rFonts w:ascii="Times New Roman" w:eastAsiaTheme="minorEastAsia" w:hAnsi="Times New Roman" w:cs="Times New Roman"/>
          <w:b/>
          <w:bCs/>
          <w:sz w:val="28"/>
          <w:szCs w:val="28"/>
        </w:rPr>
        <w:t>(Figure 7</w:t>
      </w:r>
      <w:r w:rsidRPr="00776911">
        <w:rPr>
          <w:rFonts w:ascii="Times New Roman" w:eastAsiaTheme="minorEastAsia" w:hAnsi="Times New Roman" w:cs="Times New Roman"/>
          <w:sz w:val="28"/>
          <w:szCs w:val="28"/>
        </w:rPr>
        <w:t>) without any complex software or computations. In the external validation cohort, it stratified patients into three clinically meaningful risk categories: low (</w:t>
      </w:r>
      <w:r>
        <w:rPr>
          <w:rFonts w:ascii="Times New Roman" w:eastAsiaTheme="minorEastAsia" w:hAnsi="Times New Roman" w:cs="Times New Roman" w:hint="eastAsia"/>
          <w:sz w:val="28"/>
          <w:szCs w:val="28"/>
        </w:rPr>
        <w:t>≤</w:t>
      </w:r>
      <w:r w:rsidRPr="00776911">
        <w:rPr>
          <w:rFonts w:ascii="Times New Roman" w:eastAsiaTheme="minorEastAsia" w:hAnsi="Times New Roman" w:cs="Times New Roman"/>
          <w:sz w:val="28"/>
          <w:szCs w:val="28"/>
        </w:rPr>
        <w:t xml:space="preserve"> 5%), medium (5–20%), and high (&gt; 20%), with observed mortality rates of 0.0%, 11.0%, and 34.0%, respectively. Notably, the 0.0% mortality in the low-risk group was based on a small sample size (n=8) in this high-acuity cohort and should be interpreted with caution pending confirmation in larger prospective studies.</w:t>
      </w:r>
    </w:p>
    <w:p w14:paraId="1F3C32DA" w14:textId="77777777" w:rsidR="00776911" w:rsidRPr="00776911" w:rsidRDefault="00776911" w:rsidP="00776911">
      <w:pPr>
        <w:rPr>
          <w:rFonts w:ascii="Times New Roman" w:eastAsiaTheme="minorEastAsia" w:hAnsi="Times New Roman" w:cs="Times New Roman"/>
          <w:sz w:val="28"/>
          <w:szCs w:val="28"/>
        </w:rPr>
      </w:pPr>
      <w:r w:rsidRPr="00776911">
        <w:rPr>
          <w:rFonts w:ascii="Times New Roman" w:eastAsiaTheme="minorEastAsia" w:hAnsi="Times New Roman" w:cs="Times New Roman"/>
          <w:sz w:val="28"/>
          <w:szCs w:val="28"/>
        </w:rPr>
        <w:t xml:space="preserve">The CRS demonstrated superior discrimination compared with traditional severity scores and comparable performance to complex machine learning models, with excellent calibration and net clinical benefit. For bedside decision-making, low-risk patients may prioritize routine monitoring and early spontaneous breathing trial assessment; medium-risk patients require enhanced organ support surveillance and dynamic re-evaluation; high-risk patients should prompt immediate multidisciplinary review and consideration of aggressive interventions such as extracorporeal membrane </w:t>
      </w:r>
      <w:r w:rsidRPr="00776911">
        <w:rPr>
          <w:rFonts w:ascii="Times New Roman" w:eastAsiaTheme="minorEastAsia" w:hAnsi="Times New Roman" w:cs="Times New Roman"/>
          <w:sz w:val="28"/>
          <w:szCs w:val="28"/>
        </w:rPr>
        <w:lastRenderedPageBreak/>
        <w:t>oxygenation (ECMO) or continuous renal replacement therapy (CRRT). This parsimonious, interpretable, and actionable tool bridges advanced analytics with real-world ICU practice, facilitating early risk stratification and rational resource allocation in mechanically ventilated SCAP patients.</w:t>
      </w:r>
    </w:p>
    <w:p w14:paraId="52B9F510" w14:textId="63779448" w:rsidR="00AA40D4" w:rsidRPr="00776911" w:rsidRDefault="00AA40D4" w:rsidP="001C3B19">
      <w:pPr>
        <w:rPr>
          <w:rFonts w:ascii="Times New Roman" w:eastAsiaTheme="minorEastAsia" w:hAnsi="Times New Roman" w:cs="Times New Roman"/>
          <w:sz w:val="28"/>
          <w:szCs w:val="28"/>
        </w:rPr>
      </w:pPr>
    </w:p>
    <w:sectPr w:rsidR="00AA40D4" w:rsidRPr="00776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79EA" w14:textId="77777777" w:rsidR="00842D62" w:rsidRDefault="00842D62" w:rsidP="001C3B19">
      <w:pPr>
        <w:spacing w:line="240" w:lineRule="auto"/>
      </w:pPr>
      <w:r>
        <w:separator/>
      </w:r>
    </w:p>
  </w:endnote>
  <w:endnote w:type="continuationSeparator" w:id="0">
    <w:p w14:paraId="3B68B27B" w14:textId="77777777" w:rsidR="00842D62" w:rsidRDefault="00842D62" w:rsidP="001C3B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EA43" w14:textId="77777777" w:rsidR="00842D62" w:rsidRDefault="00842D62" w:rsidP="001C3B19">
      <w:pPr>
        <w:spacing w:line="240" w:lineRule="auto"/>
      </w:pPr>
      <w:r>
        <w:separator/>
      </w:r>
    </w:p>
  </w:footnote>
  <w:footnote w:type="continuationSeparator" w:id="0">
    <w:p w14:paraId="1B93BA8E" w14:textId="77777777" w:rsidR="00842D62" w:rsidRDefault="00842D62" w:rsidP="001C3B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1F"/>
    <w:rsid w:val="001C3B19"/>
    <w:rsid w:val="00211666"/>
    <w:rsid w:val="004A7D23"/>
    <w:rsid w:val="005D1EDE"/>
    <w:rsid w:val="006C0CD8"/>
    <w:rsid w:val="00776911"/>
    <w:rsid w:val="007C1A5B"/>
    <w:rsid w:val="00842D62"/>
    <w:rsid w:val="00952270"/>
    <w:rsid w:val="009A1D31"/>
    <w:rsid w:val="00AA40D4"/>
    <w:rsid w:val="00AC25EB"/>
    <w:rsid w:val="00E1731A"/>
    <w:rsid w:val="00E336CC"/>
    <w:rsid w:val="00EA17FC"/>
    <w:rsid w:val="00FA3C1F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4F78D"/>
  <w15:chartTrackingRefBased/>
  <w15:docId w15:val="{FBF40AC4-E4A4-4DFB-8660-C37A5186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A3C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C1F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C1F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C1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C1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C1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FA3C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3C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FA3C1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3C1F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A3C1F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A3C1F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A3C1F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FA3C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3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C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3C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C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3C1F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FA3C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C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C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3C1F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FA3C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3B1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C3B19"/>
    <w:rPr>
      <w:rFonts w:eastAsia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3B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C3B19"/>
    <w:rPr>
      <w:rFonts w:eastAsia="Times New Roman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77691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5</cp:revision>
  <dcterms:created xsi:type="dcterms:W3CDTF">2026-03-28T11:38:00Z</dcterms:created>
  <dcterms:modified xsi:type="dcterms:W3CDTF">2026-04-02T14:41:00Z</dcterms:modified>
</cp:coreProperties>
</file>