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9464E" w14:textId="77777777" w:rsidR="00DD61E8" w:rsidRPr="00D3341C" w:rsidRDefault="00DD61E8" w:rsidP="00DD61E8">
      <w:pPr>
        <w:rPr>
          <w:b/>
          <w:bCs/>
          <w:sz w:val="21"/>
          <w:szCs w:val="21"/>
          <w:lang w:eastAsia="zh-CN"/>
        </w:rPr>
      </w:pPr>
      <w:r w:rsidRPr="00D3341C">
        <w:rPr>
          <w:b/>
          <w:bCs/>
          <w:sz w:val="21"/>
          <w:szCs w:val="21"/>
          <w:lang w:eastAsia="zh-CN"/>
        </w:rPr>
        <w:t>Table S1. Comparative analysis of the current study versus recently published LAR-based prognostic models.</w:t>
      </w: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1486"/>
        <w:gridCol w:w="1445"/>
        <w:gridCol w:w="1631"/>
        <w:gridCol w:w="1434"/>
        <w:gridCol w:w="1250"/>
      </w:tblGrid>
      <w:tr w:rsidR="00DD61E8" w:rsidRPr="00D3341C" w14:paraId="4CF1C134" w14:textId="77777777" w:rsidTr="00DD61E8">
        <w:trPr>
          <w:tblHeader/>
          <w:tblCellSpacing w:w="15" w:type="dxa"/>
        </w:trPr>
        <w:tc>
          <w:tcPr>
            <w:tcW w:w="611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24FDCF3" w14:textId="77777777" w:rsidR="00DD61E8" w:rsidRPr="00D3341C" w:rsidRDefault="00DD61E8" w:rsidP="00433EF8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b/>
                <w:bCs/>
                <w:sz w:val="21"/>
                <w:szCs w:val="21"/>
                <w:lang w:eastAsia="zh-CN"/>
              </w:rPr>
              <w:t>Study</w:t>
            </w:r>
          </w:p>
        </w:tc>
        <w:tc>
          <w:tcPr>
            <w:tcW w:w="876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CDC0721" w14:textId="77777777" w:rsidR="00DD61E8" w:rsidRPr="00D3341C" w:rsidRDefault="00DD61E8" w:rsidP="00433EF8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b/>
                <w:bCs/>
                <w:sz w:val="21"/>
                <w:szCs w:val="21"/>
                <w:lang w:eastAsia="zh-CN"/>
              </w:rPr>
              <w:t>Population</w:t>
            </w:r>
          </w:p>
        </w:tc>
        <w:tc>
          <w:tcPr>
            <w:tcW w:w="852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00A6751" w14:textId="77777777" w:rsidR="00DD61E8" w:rsidRPr="00D3341C" w:rsidRDefault="00DD61E8" w:rsidP="00433EF8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b/>
                <w:bCs/>
                <w:sz w:val="21"/>
                <w:szCs w:val="21"/>
                <w:lang w:eastAsia="zh-CN"/>
              </w:rPr>
              <w:t>Predictor Timing</w:t>
            </w:r>
          </w:p>
        </w:tc>
        <w:tc>
          <w:tcPr>
            <w:tcW w:w="964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A2A4F3E" w14:textId="77777777" w:rsidR="00DD61E8" w:rsidRPr="00D3341C" w:rsidRDefault="00DD61E8" w:rsidP="00433EF8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b/>
                <w:bCs/>
                <w:sz w:val="21"/>
                <w:szCs w:val="21"/>
                <w:lang w:eastAsia="zh-CN"/>
              </w:rPr>
              <w:t>Model Type</w:t>
            </w:r>
          </w:p>
        </w:tc>
        <w:tc>
          <w:tcPr>
            <w:tcW w:w="845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42EB591" w14:textId="77777777" w:rsidR="00DD61E8" w:rsidRPr="00D3341C" w:rsidRDefault="00DD61E8" w:rsidP="00433EF8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b/>
                <w:bCs/>
                <w:sz w:val="21"/>
                <w:szCs w:val="21"/>
                <w:lang w:eastAsia="zh-CN"/>
              </w:rPr>
              <w:t>Practical Output</w:t>
            </w:r>
          </w:p>
        </w:tc>
        <w:tc>
          <w:tcPr>
            <w:tcW w:w="725" w:type="pct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6EF876C8" w14:textId="77777777" w:rsidR="00DD61E8" w:rsidRPr="00D3341C" w:rsidRDefault="00DD61E8" w:rsidP="00433EF8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b/>
                <w:bCs/>
                <w:sz w:val="21"/>
                <w:szCs w:val="21"/>
                <w:lang w:eastAsia="zh-CN"/>
              </w:rPr>
              <w:t>Clinical Focus</w:t>
            </w:r>
          </w:p>
        </w:tc>
      </w:tr>
      <w:tr w:rsidR="00DD61E8" w:rsidRPr="00D3341C" w14:paraId="3BCDA9B9" w14:textId="77777777" w:rsidTr="00DD61E8">
        <w:trPr>
          <w:tblCellSpacing w:w="15" w:type="dxa"/>
        </w:trPr>
        <w:tc>
          <w:tcPr>
            <w:tcW w:w="611" w:type="pct"/>
            <w:tcBorders>
              <w:top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18DCD1E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Hancı (2025)</w:t>
            </w:r>
          </w:p>
        </w:tc>
        <w:tc>
          <w:tcPr>
            <w:tcW w:w="876" w:type="pct"/>
            <w:tcBorders>
              <w:top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802E0F2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General CAP</w:t>
            </w:r>
          </w:p>
        </w:tc>
        <w:tc>
          <w:tcPr>
            <w:tcW w:w="852" w:type="pct"/>
            <w:tcBorders>
              <w:top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17C973A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Hospital Admission</w:t>
            </w:r>
          </w:p>
        </w:tc>
        <w:tc>
          <w:tcPr>
            <w:tcW w:w="964" w:type="pct"/>
            <w:tcBorders>
              <w:top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3C27AD1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Statistical (OR)</w:t>
            </w:r>
          </w:p>
        </w:tc>
        <w:tc>
          <w:tcPr>
            <w:tcW w:w="845" w:type="pct"/>
            <w:tcBorders>
              <w:top w:val="single" w:sz="4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EE693C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725" w:type="pct"/>
            <w:tcBorders>
              <w:top w:val="single" w:sz="4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347FD4F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General triage</w:t>
            </w:r>
          </w:p>
        </w:tc>
      </w:tr>
      <w:tr w:rsidR="00DD61E8" w:rsidRPr="00D3341C" w14:paraId="56AFAD02" w14:textId="77777777" w:rsidTr="00DD61E8">
        <w:trPr>
          <w:tblCellSpacing w:w="15" w:type="dxa"/>
        </w:trPr>
        <w:tc>
          <w:tcPr>
            <w:tcW w:w="611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BF4F8DE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Mu (2026)</w:t>
            </w:r>
          </w:p>
        </w:tc>
        <w:tc>
          <w:tcPr>
            <w:tcW w:w="876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FFC549B" w14:textId="635F9155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All</w:t>
            </w:r>
            <w:r w:rsidRPr="00D3341C">
              <w:rPr>
                <w:rFonts w:eastAsia="宋体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IMV patients</w:t>
            </w:r>
          </w:p>
        </w:tc>
        <w:tc>
          <w:tcPr>
            <w:tcW w:w="852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E46B717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24-hour window</w:t>
            </w:r>
          </w:p>
        </w:tc>
        <w:tc>
          <w:tcPr>
            <w:tcW w:w="964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EAE611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Statistical (Cox)</w:t>
            </w:r>
          </w:p>
        </w:tc>
        <w:tc>
          <w:tcPr>
            <w:tcW w:w="845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388E5A1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725" w:type="pct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5DE27F5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1-year mortality</w:t>
            </w:r>
          </w:p>
        </w:tc>
      </w:tr>
      <w:tr w:rsidR="00DD61E8" w:rsidRPr="00D3341C" w14:paraId="27327F5A" w14:textId="77777777" w:rsidTr="00DD61E8">
        <w:trPr>
          <w:tblCellSpacing w:w="15" w:type="dxa"/>
        </w:trPr>
        <w:tc>
          <w:tcPr>
            <w:tcW w:w="611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C8CF8C0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This Study (CRS)</w:t>
            </w:r>
          </w:p>
        </w:tc>
        <w:tc>
          <w:tcPr>
            <w:tcW w:w="876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72F9B1E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Ventilated SCAP</w:t>
            </w:r>
          </w:p>
        </w:tc>
        <w:tc>
          <w:tcPr>
            <w:tcW w:w="852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85E9EAC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Strictly ICU Admission</w:t>
            </w:r>
          </w:p>
        </w:tc>
        <w:tc>
          <w:tcPr>
            <w:tcW w:w="964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F9FEFC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Nomogram + Framework</w:t>
            </w:r>
          </w:p>
        </w:tc>
        <w:tc>
          <w:tcPr>
            <w:tcW w:w="845" w:type="pct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1B7BC80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3-Tier Decision Guide</w:t>
            </w:r>
          </w:p>
        </w:tc>
        <w:tc>
          <w:tcPr>
            <w:tcW w:w="725" w:type="pct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0C741C1" w14:textId="77777777" w:rsidR="00DD61E8" w:rsidRPr="00D3341C" w:rsidRDefault="00DD61E8" w:rsidP="00DD61E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eastAsia="宋体" w:cs="Times New Roman"/>
                <w:sz w:val="21"/>
                <w:szCs w:val="21"/>
                <w:lang w:eastAsia="zh-CN"/>
              </w:rPr>
            </w:pPr>
            <w:r w:rsidRPr="00D3341C">
              <w:rPr>
                <w:rFonts w:eastAsia="宋体" w:cs="Times New Roman"/>
                <w:sz w:val="21"/>
                <w:szCs w:val="21"/>
                <w:lang w:eastAsia="zh-CN"/>
              </w:rPr>
              <w:t>Early Bedside Action</w:t>
            </w:r>
          </w:p>
        </w:tc>
      </w:tr>
    </w:tbl>
    <w:p w14:paraId="6FA595D3" w14:textId="77777777" w:rsidR="00DD61E8" w:rsidRPr="00D3341C" w:rsidRDefault="00DD61E8" w:rsidP="00DD61E8">
      <w:pPr>
        <w:rPr>
          <w:sz w:val="21"/>
          <w:szCs w:val="21"/>
          <w:lang w:eastAsia="zh-CN"/>
        </w:rPr>
      </w:pPr>
      <w:r w:rsidRPr="00D3341C">
        <w:rPr>
          <w:b/>
          <w:bCs/>
          <w:sz w:val="21"/>
          <w:szCs w:val="21"/>
        </w:rPr>
        <w:t>Notes</w:t>
      </w:r>
      <w:r w:rsidRPr="00D3341C">
        <w:rPr>
          <w:sz w:val="21"/>
          <w:szCs w:val="21"/>
        </w:rPr>
        <w:t>:</w:t>
      </w:r>
      <w:r w:rsidRPr="00D3341C">
        <w:rPr>
          <w:rFonts w:hint="eastAsia"/>
          <w:sz w:val="21"/>
          <w:szCs w:val="21"/>
          <w:lang w:eastAsia="zh-CN"/>
        </w:rPr>
        <w:t xml:space="preserve"> </w:t>
      </w:r>
    </w:p>
    <w:p w14:paraId="2D052471" w14:textId="77777777" w:rsidR="00DD61E8" w:rsidRPr="00D3341C" w:rsidRDefault="00DD61E8" w:rsidP="00DD61E8">
      <w:pPr>
        <w:rPr>
          <w:sz w:val="21"/>
          <w:szCs w:val="21"/>
        </w:rPr>
      </w:pPr>
      <w:r w:rsidRPr="00D3341C">
        <w:rPr>
          <w:sz w:val="21"/>
          <w:szCs w:val="21"/>
        </w:rPr>
        <w:t xml:space="preserve">Distinct Contribution: Compared to prior investigations , our study is the first to specifically target the high-acuity subgroup of mechanically ventilated SCAP patients using variables recorded strictly upon ICU admission. </w:t>
      </w:r>
    </w:p>
    <w:p w14:paraId="54150451" w14:textId="3E71C0FB" w:rsidR="00AA40D4" w:rsidRPr="00D3341C" w:rsidRDefault="00DD61E8" w:rsidP="00DD61E8">
      <w:pPr>
        <w:rPr>
          <w:sz w:val="21"/>
          <w:szCs w:val="21"/>
        </w:rPr>
      </w:pPr>
      <w:r w:rsidRPr="00D3341C">
        <w:rPr>
          <w:sz w:val="21"/>
          <w:szCs w:val="21"/>
        </w:rPr>
        <w:t xml:space="preserve">Implementation Focus: Unlike previous models that were primarily investigative or focused on long-term outcomes (e.g., 1-year mortality) , the 13-variable CRS is integrated into an actionable bedside framework. It bypasses the need for complex software by providing a visual nomogram and predefined management pathways (low-, medium-, and high-risk) for immediate clinical decision support. </w:t>
      </w:r>
    </w:p>
    <w:sectPr w:rsidR="00AA40D4" w:rsidRPr="00D33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E7F25" w14:textId="77777777" w:rsidR="007A3468" w:rsidRDefault="007A3468" w:rsidP="00DD61E8">
      <w:pPr>
        <w:spacing w:before="0" w:after="0"/>
      </w:pPr>
      <w:r>
        <w:separator/>
      </w:r>
    </w:p>
  </w:endnote>
  <w:endnote w:type="continuationSeparator" w:id="0">
    <w:p w14:paraId="5C50FB8D" w14:textId="77777777" w:rsidR="007A3468" w:rsidRDefault="007A3468" w:rsidP="00DD61E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B74CF" w14:textId="77777777" w:rsidR="007A3468" w:rsidRDefault="007A3468" w:rsidP="00DD61E8">
      <w:pPr>
        <w:spacing w:before="0" w:after="0"/>
      </w:pPr>
      <w:r>
        <w:separator/>
      </w:r>
    </w:p>
  </w:footnote>
  <w:footnote w:type="continuationSeparator" w:id="0">
    <w:p w14:paraId="4C9722C2" w14:textId="77777777" w:rsidR="007A3468" w:rsidRDefault="007A3468" w:rsidP="00DD61E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63"/>
    <w:rsid w:val="000D06B8"/>
    <w:rsid w:val="00286948"/>
    <w:rsid w:val="002B47E7"/>
    <w:rsid w:val="00522D63"/>
    <w:rsid w:val="005D1EDE"/>
    <w:rsid w:val="007A3468"/>
    <w:rsid w:val="007C1A5B"/>
    <w:rsid w:val="00AA40D4"/>
    <w:rsid w:val="00D3341C"/>
    <w:rsid w:val="00DD61E8"/>
    <w:rsid w:val="00E1731A"/>
    <w:rsid w:val="00E336CC"/>
    <w:rsid w:val="00EA17FC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CDDA6"/>
  <w15:chartTrackingRefBased/>
  <w15:docId w15:val="{F1F3501F-5658-4350-8025-593B4C84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1E8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2D63"/>
    <w:pPr>
      <w:keepNext/>
      <w:keepLines/>
      <w:widowControl w:val="0"/>
      <w:spacing w:before="480" w:after="8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D63"/>
    <w:pPr>
      <w:keepNext/>
      <w:keepLines/>
      <w:widowControl w:val="0"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</w:rPr>
  </w:style>
  <w:style w:type="paragraph" w:styleId="3">
    <w:name w:val="heading 3"/>
    <w:aliases w:val="Abstract"/>
    <w:basedOn w:val="a"/>
    <w:next w:val="a"/>
    <w:link w:val="30"/>
    <w:uiPriority w:val="9"/>
    <w:unhideWhenUsed/>
    <w:qFormat/>
    <w:rsid w:val="00FE561D"/>
    <w:pPr>
      <w:keepNext/>
      <w:keepLines/>
      <w:widowControl w:val="0"/>
      <w:spacing w:before="260" w:after="260" w:line="400" w:lineRule="exact"/>
      <w:jc w:val="center"/>
      <w:outlineLvl w:val="2"/>
    </w:pPr>
    <w:rPr>
      <w:rFonts w:asciiTheme="minorHAnsi" w:eastAsia="Times New Roman" w:hAnsiTheme="minorHAnsi"/>
      <w:b/>
      <w:bCs/>
      <w:kern w:val="2"/>
      <w:sz w:val="32"/>
      <w:szCs w:val="32"/>
      <w:lang w:eastAsia="zh-CN"/>
    </w:rPr>
  </w:style>
  <w:style w:type="paragraph" w:styleId="4">
    <w:name w:val="heading 4"/>
    <w:aliases w:val="Key words"/>
    <w:basedOn w:val="a"/>
    <w:next w:val="a"/>
    <w:link w:val="40"/>
    <w:uiPriority w:val="9"/>
    <w:unhideWhenUsed/>
    <w:qFormat/>
    <w:rsid w:val="00FE561D"/>
    <w:pPr>
      <w:keepNext/>
      <w:keepLines/>
      <w:widowControl w:val="0"/>
      <w:spacing w:before="280" w:after="290" w:line="376" w:lineRule="auto"/>
      <w:jc w:val="both"/>
      <w:outlineLvl w:val="3"/>
    </w:pPr>
    <w:rPr>
      <w:rFonts w:asciiTheme="majorHAnsi" w:eastAsia="Times New Roman" w:hAnsiTheme="majorHAnsi" w:cstheme="majorBidi"/>
      <w:b/>
      <w:bCs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D63"/>
    <w:pPr>
      <w:keepNext/>
      <w:keepLines/>
      <w:widowControl w:val="0"/>
      <w:spacing w:before="80" w:after="40" w:line="36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D63"/>
    <w:pPr>
      <w:keepNext/>
      <w:keepLines/>
      <w:widowControl w:val="0"/>
      <w:spacing w:before="40" w:after="0" w:line="36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D63"/>
    <w:pPr>
      <w:keepNext/>
      <w:keepLines/>
      <w:widowControl w:val="0"/>
      <w:spacing w:before="40" w:after="0" w:line="36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D63"/>
    <w:pPr>
      <w:keepNext/>
      <w:keepLines/>
      <w:widowControl w:val="0"/>
      <w:spacing w:before="0" w:after="0" w:line="36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D63"/>
    <w:pPr>
      <w:keepNext/>
      <w:keepLines/>
      <w:widowControl w:val="0"/>
      <w:spacing w:before="0" w:after="0" w:line="36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Abstract 字符"/>
    <w:basedOn w:val="a0"/>
    <w:link w:val="3"/>
    <w:uiPriority w:val="9"/>
    <w:rsid w:val="00FE561D"/>
    <w:rPr>
      <w:rFonts w:eastAsia="Times New Roman"/>
      <w:b/>
      <w:bCs/>
      <w:sz w:val="32"/>
      <w:szCs w:val="32"/>
    </w:rPr>
  </w:style>
  <w:style w:type="character" w:customStyle="1" w:styleId="40">
    <w:name w:val="标题 4 字符"/>
    <w:aliases w:val="Key words 字符"/>
    <w:basedOn w:val="a0"/>
    <w:link w:val="4"/>
    <w:uiPriority w:val="9"/>
    <w:rsid w:val="00FE561D"/>
    <w:rPr>
      <w:rFonts w:asciiTheme="majorHAnsi" w:eastAsia="Times New Roman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522D6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2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50">
    <w:name w:val="标题 5 字符"/>
    <w:basedOn w:val="a0"/>
    <w:link w:val="5"/>
    <w:uiPriority w:val="9"/>
    <w:semiHidden/>
    <w:rsid w:val="00522D6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22D63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522D63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522D63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522D63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522D63"/>
    <w:pPr>
      <w:widowControl w:val="0"/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522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D63"/>
    <w:pPr>
      <w:widowControl w:val="0"/>
      <w:numPr>
        <w:ilvl w:val="1"/>
      </w:numPr>
      <w:spacing w:before="0" w:after="160" w:line="36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522D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D63"/>
    <w:pPr>
      <w:widowControl w:val="0"/>
      <w:spacing w:before="160" w:after="160" w:line="360" w:lineRule="auto"/>
      <w:jc w:val="center"/>
    </w:pPr>
    <w:rPr>
      <w:rFonts w:asciiTheme="minorHAnsi" w:eastAsia="Times New Roman" w:hAnsiTheme="minorHAnsi"/>
      <w:i/>
      <w:iCs/>
      <w:color w:val="404040" w:themeColor="text1" w:themeTint="BF"/>
      <w:kern w:val="2"/>
      <w:lang w:eastAsia="zh-CN"/>
    </w:rPr>
  </w:style>
  <w:style w:type="character" w:customStyle="1" w:styleId="a8">
    <w:name w:val="引用 字符"/>
    <w:basedOn w:val="a0"/>
    <w:link w:val="a7"/>
    <w:uiPriority w:val="29"/>
    <w:rsid w:val="00522D63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522D63"/>
    <w:pPr>
      <w:widowControl w:val="0"/>
      <w:spacing w:before="0" w:after="0" w:line="360" w:lineRule="auto"/>
      <w:ind w:left="720"/>
      <w:contextualSpacing/>
      <w:jc w:val="both"/>
    </w:pPr>
    <w:rPr>
      <w:rFonts w:asciiTheme="minorHAnsi" w:eastAsia="Times New Roman" w:hAnsiTheme="minorHAnsi"/>
      <w:kern w:val="2"/>
      <w:lang w:eastAsia="zh-CN"/>
    </w:rPr>
  </w:style>
  <w:style w:type="character" w:styleId="aa">
    <w:name w:val="Intense Emphasis"/>
    <w:basedOn w:val="a0"/>
    <w:uiPriority w:val="21"/>
    <w:qFormat/>
    <w:rsid w:val="00522D6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D63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asciiTheme="minorHAnsi" w:eastAsia="Times New Roman" w:hAnsiTheme="minorHAnsi"/>
      <w:i/>
      <w:iCs/>
      <w:color w:val="2F5496" w:themeColor="accent1" w:themeShade="BF"/>
      <w:kern w:val="2"/>
      <w:lang w:eastAsia="zh-CN"/>
    </w:rPr>
  </w:style>
  <w:style w:type="character" w:customStyle="1" w:styleId="ac">
    <w:name w:val="明显引用 字符"/>
    <w:basedOn w:val="a0"/>
    <w:link w:val="ab"/>
    <w:uiPriority w:val="30"/>
    <w:rsid w:val="00522D63"/>
    <w:rPr>
      <w:rFonts w:eastAsia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522D6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D61E8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eastAsia="Times New Roman" w:hAnsiTheme="minorHAnsi"/>
      <w:kern w:val="2"/>
      <w:sz w:val="18"/>
      <w:szCs w:val="18"/>
      <w:lang w:eastAsia="zh-CN"/>
    </w:rPr>
  </w:style>
  <w:style w:type="character" w:customStyle="1" w:styleId="af">
    <w:name w:val="页眉 字符"/>
    <w:basedOn w:val="a0"/>
    <w:link w:val="ae"/>
    <w:uiPriority w:val="99"/>
    <w:rsid w:val="00DD61E8"/>
    <w:rPr>
      <w:rFonts w:eastAsia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D61E8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eastAsia="Times New Roman" w:hAnsiTheme="minorHAnsi"/>
      <w:kern w:val="2"/>
      <w:sz w:val="18"/>
      <w:szCs w:val="18"/>
      <w:lang w:eastAsia="zh-CN"/>
    </w:rPr>
  </w:style>
  <w:style w:type="character" w:customStyle="1" w:styleId="af1">
    <w:name w:val="页脚 字符"/>
    <w:basedOn w:val="a0"/>
    <w:link w:val="af0"/>
    <w:uiPriority w:val="99"/>
    <w:rsid w:val="00DD61E8"/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 Wang</dc:creator>
  <cp:keywords/>
  <dc:description/>
  <cp:lastModifiedBy>chenxi Wang</cp:lastModifiedBy>
  <cp:revision>3</cp:revision>
  <dcterms:created xsi:type="dcterms:W3CDTF">2026-04-02T14:17:00Z</dcterms:created>
  <dcterms:modified xsi:type="dcterms:W3CDTF">2026-04-21T09:11:00Z</dcterms:modified>
</cp:coreProperties>
</file>