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BDB1" w14:textId="0D42B205" w:rsidR="008B245F" w:rsidRDefault="00162545" w:rsidP="00162545">
      <w:pPr>
        <w:spacing w:line="360" w:lineRule="auto"/>
        <w:rPr>
          <w:rFonts w:ascii="Times New Roman" w:eastAsia="等线" w:hAnsi="Times New Roman" w:cs="Times New Roman"/>
          <w:b/>
          <w:bCs/>
          <w:sz w:val="28"/>
          <w:szCs w:val="28"/>
        </w:rPr>
      </w:pPr>
      <w:r w:rsidRPr="009A44A5">
        <w:rPr>
          <w:rFonts w:ascii="Times New Roman" w:eastAsia="等线" w:hAnsi="Times New Roman" w:cs="Times New Roman" w:hint="eastAsia"/>
          <w:b/>
          <w:bCs/>
          <w:sz w:val="28"/>
          <w:szCs w:val="28"/>
        </w:rPr>
        <w:t>Supplementary information</w:t>
      </w:r>
    </w:p>
    <w:p w14:paraId="740BFB8A" w14:textId="3B8F379A" w:rsidR="000475F6" w:rsidRDefault="000475F6" w:rsidP="000475F6">
      <w:pPr>
        <w:pStyle w:val="acbfdd8b-e11b-4d36-88ff-6049b138f862"/>
        <w:spacing w:line="48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bidi="ar"/>
        </w:rPr>
      </w:pPr>
      <w:r w:rsidRPr="00140208"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  <w:lang w:bidi="ar"/>
        </w:rPr>
        <w:t>Tabl</w:t>
      </w:r>
      <w:r w:rsidRPr="00323C7C"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  <w:lang w:bidi="ar"/>
        </w:rPr>
        <w:t xml:space="preserve">e </w:t>
      </w:r>
      <w:r w:rsidRPr="00323C7C">
        <w:rPr>
          <w:rFonts w:ascii="Times New Roman" w:eastAsia="宋体" w:hAnsi="Times New Roman" w:cs="Times New Roman" w:hint="eastAsia"/>
          <w:b/>
          <w:bCs/>
          <w:i/>
          <w:iCs/>
          <w:kern w:val="0"/>
          <w:sz w:val="24"/>
          <w:szCs w:val="24"/>
          <w:lang w:bidi="ar"/>
        </w:rPr>
        <w:t>S</w:t>
      </w:r>
      <w:r w:rsidRPr="00A43A09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bidi="ar"/>
        </w:rPr>
        <w:t>1</w:t>
      </w:r>
      <w:r w:rsidR="00323C7C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  <w:lang w:bidi="ar"/>
        </w:rPr>
        <w:t>.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  <w:lang w:bidi="ar"/>
        </w:rPr>
        <w:t xml:space="preserve"> </w:t>
      </w:r>
      <w:r w:rsidR="00951435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t>Summary of Meteorological factors and Socio–economic factors in China, 2005–2020.</w:t>
      </w:r>
    </w:p>
    <w:p w14:paraId="11FC938E" w14:textId="67DB4DD0" w:rsidR="00547A12" w:rsidRPr="00547A12" w:rsidRDefault="00547A12" w:rsidP="00A43A09">
      <w:pPr>
        <w:pStyle w:val="acbfdd8b-e11b-4d36-88ff-6049b138f862"/>
        <w:spacing w:line="480" w:lineRule="auto"/>
        <w:jc w:val="both"/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bidi="ar"/>
        </w:rPr>
      </w:pPr>
      <w:r w:rsidRPr="00140208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</w:rPr>
        <w:t>Figure</w:t>
      </w:r>
      <w:r w:rsidRPr="00A43A09">
        <w:rPr>
          <w:rFonts w:ascii="Times New Roman" w:eastAsiaTheme="minorEastAsia" w:hAnsi="Times New Roman" w:cs="Times New Roman"/>
          <w:b/>
          <w:bCs/>
          <w:i/>
          <w:iCs/>
          <w:color w:val="2A2B2E"/>
          <w:kern w:val="2"/>
          <w:sz w:val="24"/>
          <w:szCs w:val="24"/>
        </w:rPr>
        <w:t xml:space="preserve"> S</w:t>
      </w:r>
      <w:r w:rsidRPr="00A43A09">
        <w:rPr>
          <w:rFonts w:ascii="Times New Roman" w:eastAsiaTheme="minorEastAsia" w:hAnsi="Times New Roman" w:cs="Times New Roman"/>
          <w:b/>
          <w:bCs/>
          <w:color w:val="2A2B2E"/>
          <w:kern w:val="2"/>
          <w:sz w:val="24"/>
          <w:szCs w:val="24"/>
        </w:rPr>
        <w:t>1</w:t>
      </w:r>
      <w:r w:rsidRPr="00140208">
        <w:rPr>
          <w:rFonts w:ascii="Times New Roman" w:hAnsi="Times New Roman" w:cs="Times New Roman"/>
          <w:b/>
          <w:bCs/>
          <w:color w:val="2A2B2E"/>
          <w:sz w:val="24"/>
          <w:szCs w:val="24"/>
        </w:rPr>
        <w:t>.</w:t>
      </w:r>
      <w:r w:rsidRPr="00140208">
        <w:rPr>
          <w:rFonts w:ascii="Times New Roman" w:hAnsi="Times New Roman" w:cs="Times New Roman"/>
          <w:color w:val="2A2B2E"/>
          <w:sz w:val="24"/>
          <w:szCs w:val="24"/>
        </w:rPr>
        <w:t xml:space="preserve"> </w:t>
      </w:r>
      <w:r w:rsidR="00AA593D" w:rsidRPr="00140208">
        <w:rPr>
          <w:rFonts w:ascii="Times New Roman" w:hAnsi="Times New Roman" w:cs="Times New Roman"/>
          <w:color w:val="2A2B2E"/>
          <w:sz w:val="24"/>
          <w:szCs w:val="24"/>
        </w:rPr>
        <w:t>The monthly and annual incidence of amoebic dysentery (A) and bacillary dysentery (B) in China, 2005-2020.</w:t>
      </w:r>
    </w:p>
    <w:p w14:paraId="007B97C1" w14:textId="0054D382" w:rsidR="00162545" w:rsidRPr="00CE431F" w:rsidRDefault="00162545" w:rsidP="00162545">
      <w:pPr>
        <w:spacing w:line="360" w:lineRule="auto"/>
        <w:rPr>
          <w:rFonts w:ascii="Arial" w:hAnsi="Arial" w:cs="Arial"/>
          <w:sz w:val="24"/>
          <w:szCs w:val="24"/>
        </w:rPr>
      </w:pPr>
      <w:r w:rsidRPr="001A32A3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 xml:space="preserve">Figure </w:t>
      </w:r>
      <w:r w:rsidR="00547A12" w:rsidRPr="001A32A3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S</w:t>
      </w:r>
      <w:r w:rsidR="00547A12" w:rsidRPr="00A43A09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2</w:t>
      </w:r>
      <w:r w:rsidRPr="001A32A3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.</w:t>
      </w:r>
      <w:r w:rsidRPr="00162545">
        <w:rPr>
          <w:rFonts w:ascii="Times New Roman" w:eastAsia="等线" w:hAnsi="Times New Roman" w:cs="Times New Roman"/>
          <w:sz w:val="24"/>
          <w:szCs w:val="24"/>
        </w:rPr>
        <w:t xml:space="preserve"> Spa</w:t>
      </w:r>
      <w:r w:rsidRPr="00CE431F">
        <w:rPr>
          <w:rFonts w:ascii="Times New Roman" w:hAnsi="Times New Roman" w:cs="Times New Roman"/>
          <w:sz w:val="24"/>
          <w:szCs w:val="24"/>
        </w:rPr>
        <w:t>tiotemporal variation in the incidence of amoebic dysentery in China, 2005-2020.</w:t>
      </w:r>
    </w:p>
    <w:p w14:paraId="20797798" w14:textId="5142DD6B" w:rsidR="00162545" w:rsidRPr="00CE431F" w:rsidRDefault="00162545" w:rsidP="00162545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CE431F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Figure</w:t>
      </w:r>
      <w:r w:rsidRPr="00CE431F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 xml:space="preserve"> </w:t>
      </w:r>
      <w:r w:rsidR="00547A12" w:rsidRPr="00323C7C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S</w:t>
      </w:r>
      <w:r w:rsidR="00547A12" w:rsidRPr="00A43A09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3</w:t>
      </w:r>
      <w:r w:rsidRPr="00CE431F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.</w:t>
      </w:r>
      <w:r w:rsidRPr="00CE431F">
        <w:rPr>
          <w:rFonts w:ascii="Times New Roman" w:eastAsia="等线" w:hAnsi="Times New Roman" w:cs="Times New Roman"/>
          <w:sz w:val="24"/>
          <w:szCs w:val="24"/>
        </w:rPr>
        <w:t xml:space="preserve"> Spatiotemporal variation in the incidence of bacillary dysentery in China, 2005-2020.</w:t>
      </w:r>
    </w:p>
    <w:p w14:paraId="6EEDC9B3" w14:textId="0D353EBF" w:rsidR="00162545" w:rsidRPr="00CE431F" w:rsidRDefault="00162545" w:rsidP="00162545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bookmarkStart w:id="0" w:name="_Hlk171172532"/>
      <w:r w:rsidRPr="00CE431F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Figure</w:t>
      </w:r>
      <w:r w:rsidRPr="00CE431F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 xml:space="preserve"> </w:t>
      </w:r>
      <w:r w:rsidR="00547A12" w:rsidRPr="00323C7C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S</w:t>
      </w:r>
      <w:r w:rsidR="00547A12" w:rsidRPr="00A43A09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4</w:t>
      </w:r>
      <w:r w:rsidRPr="00CE431F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.</w:t>
      </w:r>
      <w:r w:rsidRPr="00CE431F">
        <w:rPr>
          <w:rFonts w:ascii="Times New Roman" w:eastAsia="等线" w:hAnsi="Times New Roman" w:cs="Times New Roman"/>
          <w:sz w:val="24"/>
          <w:szCs w:val="24"/>
        </w:rPr>
        <w:t xml:space="preserve"> Month of annual peak of amoebic dysentery and bacillary dysentery at the provincial level in China, 2005-2020.</w:t>
      </w:r>
    </w:p>
    <w:bookmarkEnd w:id="0"/>
    <w:p w14:paraId="335FC84F" w14:textId="4EB4E453" w:rsidR="00162545" w:rsidRPr="00CE431F" w:rsidRDefault="00162545" w:rsidP="00162545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CE431F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Figure</w:t>
      </w:r>
      <w:r w:rsidRPr="00CE431F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 xml:space="preserve"> </w:t>
      </w:r>
      <w:r w:rsidR="00547A12" w:rsidRPr="00323C7C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S</w:t>
      </w:r>
      <w:r w:rsidR="00547A12" w:rsidRPr="00A43A09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5</w:t>
      </w:r>
      <w:r w:rsidRPr="00CE431F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.</w:t>
      </w:r>
      <w:r w:rsidRPr="00CE431F">
        <w:rPr>
          <w:rFonts w:ascii="Times New Roman" w:eastAsia="等线" w:hAnsi="Times New Roman" w:cs="Times New Roman"/>
          <w:sz w:val="24"/>
          <w:szCs w:val="24"/>
        </w:rPr>
        <w:t xml:space="preserve"> The average monthly incidence rate of amoebic dysentery in each province of China, 2005-2020.</w:t>
      </w:r>
    </w:p>
    <w:p w14:paraId="36DE3B9B" w14:textId="0CA8342C" w:rsidR="00284A18" w:rsidRDefault="00162545" w:rsidP="00162545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  <w:sectPr w:rsidR="00284A1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CE431F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Figure</w:t>
      </w:r>
      <w:r w:rsidRPr="00CE431F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 xml:space="preserve"> </w:t>
      </w:r>
      <w:r w:rsidR="00547A12" w:rsidRPr="00323C7C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S</w:t>
      </w:r>
      <w:r w:rsidR="00547A12" w:rsidRPr="00A43A09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6</w:t>
      </w:r>
      <w:r w:rsidRPr="00CE431F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.</w:t>
      </w:r>
      <w:r w:rsidRPr="00CE431F">
        <w:rPr>
          <w:rFonts w:ascii="Times New Roman" w:eastAsia="等线" w:hAnsi="Times New Roman" w:cs="Times New Roman"/>
          <w:sz w:val="24"/>
          <w:szCs w:val="24"/>
        </w:rPr>
        <w:t xml:space="preserve"> The average monthly incidence rate of bacillary dysentery in each province of China, 2005-2020.</w:t>
      </w:r>
    </w:p>
    <w:p w14:paraId="72BAB9A8" w14:textId="77777777" w:rsidR="00951435" w:rsidRDefault="00951435" w:rsidP="00951435">
      <w:pPr>
        <w:pStyle w:val="acbfdd8b-e11b-4d36-88ff-6049b138f862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</w:pPr>
      <w:r w:rsidRPr="00945B0C"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  <w:lang w:bidi="ar"/>
        </w:rPr>
        <w:lastRenderedPageBreak/>
        <w:t>Table</w:t>
      </w:r>
      <w:r w:rsidRPr="005C5E38"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  <w:lang w:bidi="ar"/>
        </w:rPr>
        <w:t xml:space="preserve"> </w:t>
      </w:r>
      <w:r w:rsidRPr="00951435">
        <w:rPr>
          <w:rFonts w:ascii="Times New Roman" w:eastAsia="宋体" w:hAnsi="Times New Roman" w:cs="Times New Roman" w:hint="eastAsia"/>
          <w:b/>
          <w:bCs/>
          <w:i/>
          <w:iCs/>
          <w:kern w:val="0"/>
          <w:sz w:val="24"/>
          <w:szCs w:val="24"/>
          <w:lang w:bidi="ar"/>
        </w:rPr>
        <w:t>S</w:t>
      </w:r>
      <w:r w:rsidRPr="00A43A09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bidi="ar"/>
        </w:rPr>
        <w:t>1</w:t>
      </w:r>
      <w:r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t xml:space="preserve">. Summary of Meteorological factors and Socio–economic factors in China, 2005–2020. </w:t>
      </w:r>
    </w:p>
    <w:tbl>
      <w:tblPr>
        <w:tblStyle w:val="41"/>
        <w:tblW w:w="13958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4111"/>
        <w:gridCol w:w="1469"/>
        <w:gridCol w:w="2037"/>
        <w:gridCol w:w="2036"/>
        <w:gridCol w:w="2037"/>
      </w:tblGrid>
      <w:tr w:rsidR="00951435" w14:paraId="2B31C848" w14:textId="77777777" w:rsidTr="00A43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14:paraId="007149BC" w14:textId="77777777" w:rsidR="00951435" w:rsidRDefault="009514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Driving factors</w:t>
            </w:r>
          </w:p>
        </w:tc>
        <w:tc>
          <w:tcPr>
            <w:tcW w:w="4111" w:type="dxa"/>
            <w:vMerge w:val="restart"/>
            <w:tcBorders>
              <w:top w:val="single" w:sz="12" w:space="0" w:color="auto"/>
            </w:tcBorders>
            <w:vAlign w:val="center"/>
          </w:tcPr>
          <w:p w14:paraId="152673C3" w14:textId="77777777" w:rsidR="00951435" w:rsidRDefault="0095143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Variable</w:t>
            </w:r>
          </w:p>
        </w:tc>
        <w:tc>
          <w:tcPr>
            <w:tcW w:w="1469" w:type="dxa"/>
            <w:vMerge w:val="restart"/>
            <w:tcBorders>
              <w:top w:val="single" w:sz="12" w:space="0" w:color="auto"/>
            </w:tcBorders>
            <w:vAlign w:val="center"/>
          </w:tcPr>
          <w:p w14:paraId="7F33B7BC" w14:textId="77777777" w:rsidR="00951435" w:rsidRDefault="0095143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Average</w:t>
            </w:r>
          </w:p>
        </w:tc>
        <w:tc>
          <w:tcPr>
            <w:tcW w:w="6110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E1C9FF7" w14:textId="77777777" w:rsidR="00951435" w:rsidRDefault="0095143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Frequency distribution</w:t>
            </w:r>
          </w:p>
        </w:tc>
      </w:tr>
      <w:tr w:rsidR="00951435" w14:paraId="421828C8" w14:textId="77777777" w:rsidTr="00A43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tcBorders>
              <w:bottom w:val="single" w:sz="4" w:space="0" w:color="auto"/>
            </w:tcBorders>
          </w:tcPr>
          <w:p w14:paraId="2FDD4E3F" w14:textId="77777777" w:rsidR="00951435" w:rsidRDefault="0095143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color w:val="000000"/>
                <w:sz w:val="22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580F836D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469" w:type="dxa"/>
            <w:vMerge/>
            <w:tcBorders>
              <w:bottom w:val="single" w:sz="4" w:space="0" w:color="auto"/>
            </w:tcBorders>
          </w:tcPr>
          <w:p w14:paraId="6631E3CE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037" w:type="dxa"/>
            <w:tcBorders>
              <w:top w:val="single" w:sz="4" w:space="0" w:color="auto"/>
              <w:bottom w:val="single" w:sz="4" w:space="0" w:color="auto"/>
            </w:tcBorders>
          </w:tcPr>
          <w:p w14:paraId="22FD55AA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5% Percentile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6BCC2FF3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50% Percentile</w:t>
            </w:r>
          </w:p>
        </w:tc>
        <w:tc>
          <w:tcPr>
            <w:tcW w:w="2037" w:type="dxa"/>
            <w:tcBorders>
              <w:top w:val="single" w:sz="4" w:space="0" w:color="auto"/>
              <w:bottom w:val="single" w:sz="4" w:space="0" w:color="auto"/>
            </w:tcBorders>
          </w:tcPr>
          <w:p w14:paraId="13586B46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  <w:t>95% Percentile</w:t>
            </w:r>
          </w:p>
        </w:tc>
      </w:tr>
      <w:tr w:rsidR="00951435" w14:paraId="272655E9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</w:tcBorders>
          </w:tcPr>
          <w:p w14:paraId="33E15E05" w14:textId="77777777" w:rsidR="00951435" w:rsidRDefault="0095143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sz w:val="22"/>
              </w:rPr>
              <w:t>Meteorological factors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67E0A5BA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Temperature (℃)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vAlign w:val="center"/>
          </w:tcPr>
          <w:p w14:paraId="3042CE73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13.67</w:t>
            </w:r>
          </w:p>
        </w:tc>
        <w:tc>
          <w:tcPr>
            <w:tcW w:w="2037" w:type="dxa"/>
            <w:tcBorders>
              <w:top w:val="single" w:sz="4" w:space="0" w:color="auto"/>
            </w:tcBorders>
            <w:vAlign w:val="center"/>
          </w:tcPr>
          <w:p w14:paraId="0DF6F19D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4.13</w:t>
            </w:r>
          </w:p>
        </w:tc>
        <w:tc>
          <w:tcPr>
            <w:tcW w:w="2036" w:type="dxa"/>
            <w:tcBorders>
              <w:top w:val="single" w:sz="4" w:space="0" w:color="auto"/>
            </w:tcBorders>
            <w:vAlign w:val="center"/>
          </w:tcPr>
          <w:p w14:paraId="559FD3B9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14.83</w:t>
            </w:r>
          </w:p>
        </w:tc>
        <w:tc>
          <w:tcPr>
            <w:tcW w:w="2037" w:type="dxa"/>
            <w:tcBorders>
              <w:top w:val="single" w:sz="4" w:space="0" w:color="auto"/>
            </w:tcBorders>
            <w:vAlign w:val="center"/>
          </w:tcPr>
          <w:p w14:paraId="6F8A492E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22.32</w:t>
            </w:r>
          </w:p>
        </w:tc>
      </w:tr>
      <w:tr w:rsidR="00951435" w14:paraId="3D241F75" w14:textId="77777777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4BA8A37" w14:textId="77777777" w:rsidR="00951435" w:rsidRDefault="0095143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color w:val="000000"/>
                <w:sz w:val="22"/>
              </w:rPr>
            </w:pPr>
          </w:p>
        </w:tc>
        <w:tc>
          <w:tcPr>
            <w:tcW w:w="4111" w:type="dxa"/>
          </w:tcPr>
          <w:p w14:paraId="035506CC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Rainfall (mm)</w:t>
            </w:r>
          </w:p>
        </w:tc>
        <w:tc>
          <w:tcPr>
            <w:tcW w:w="1469" w:type="dxa"/>
            <w:vAlign w:val="center"/>
          </w:tcPr>
          <w:p w14:paraId="6FF27707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8939.52</w:t>
            </w:r>
          </w:p>
        </w:tc>
        <w:tc>
          <w:tcPr>
            <w:tcW w:w="2037" w:type="dxa"/>
            <w:vAlign w:val="center"/>
          </w:tcPr>
          <w:p w14:paraId="43CD4D38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1639.76</w:t>
            </w:r>
          </w:p>
        </w:tc>
        <w:tc>
          <w:tcPr>
            <w:tcW w:w="2036" w:type="dxa"/>
            <w:vAlign w:val="center"/>
          </w:tcPr>
          <w:p w14:paraId="361829B2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7721.9</w:t>
            </w:r>
          </w:p>
        </w:tc>
        <w:tc>
          <w:tcPr>
            <w:tcW w:w="2037" w:type="dxa"/>
            <w:vAlign w:val="center"/>
          </w:tcPr>
          <w:p w14:paraId="58046F06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17721.65</w:t>
            </w:r>
          </w:p>
        </w:tc>
      </w:tr>
      <w:tr w:rsidR="00951435" w14:paraId="7B6E690C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DD7A306" w14:textId="77777777" w:rsidR="00951435" w:rsidRDefault="0095143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color w:val="000000"/>
                <w:sz w:val="22"/>
              </w:rPr>
            </w:pPr>
          </w:p>
        </w:tc>
        <w:tc>
          <w:tcPr>
            <w:tcW w:w="4111" w:type="dxa"/>
          </w:tcPr>
          <w:p w14:paraId="4495D6A6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Relative humidity (%)</w:t>
            </w:r>
          </w:p>
        </w:tc>
        <w:tc>
          <w:tcPr>
            <w:tcW w:w="1469" w:type="dxa"/>
            <w:vAlign w:val="center"/>
          </w:tcPr>
          <w:p w14:paraId="4358845B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66.66</w:t>
            </w:r>
          </w:p>
        </w:tc>
        <w:tc>
          <w:tcPr>
            <w:tcW w:w="2037" w:type="dxa"/>
            <w:vAlign w:val="center"/>
          </w:tcPr>
          <w:p w14:paraId="35DA8009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50.42</w:t>
            </w:r>
          </w:p>
        </w:tc>
        <w:tc>
          <w:tcPr>
            <w:tcW w:w="2036" w:type="dxa"/>
            <w:vAlign w:val="center"/>
          </w:tcPr>
          <w:p w14:paraId="1A6E9F1B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67.82</w:t>
            </w:r>
          </w:p>
        </w:tc>
        <w:tc>
          <w:tcPr>
            <w:tcW w:w="2037" w:type="dxa"/>
            <w:vAlign w:val="center"/>
          </w:tcPr>
          <w:p w14:paraId="20DA8D60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80.25</w:t>
            </w:r>
          </w:p>
        </w:tc>
      </w:tr>
      <w:tr w:rsidR="00951435" w14:paraId="6426D35C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5C0F502" w14:textId="77777777" w:rsidR="00951435" w:rsidRDefault="0095143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color w:val="000000"/>
                <w:sz w:val="22"/>
              </w:rPr>
            </w:pPr>
          </w:p>
        </w:tc>
        <w:tc>
          <w:tcPr>
            <w:tcW w:w="4111" w:type="dxa"/>
          </w:tcPr>
          <w:p w14:paraId="66842D1C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Wind speed (m/s)</w:t>
            </w:r>
          </w:p>
        </w:tc>
        <w:tc>
          <w:tcPr>
            <w:tcW w:w="1469" w:type="dxa"/>
            <w:vAlign w:val="center"/>
          </w:tcPr>
          <w:p w14:paraId="77C36DC6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2.15</w:t>
            </w:r>
          </w:p>
        </w:tc>
        <w:tc>
          <w:tcPr>
            <w:tcW w:w="2037" w:type="dxa"/>
            <w:vAlign w:val="center"/>
          </w:tcPr>
          <w:p w14:paraId="1F5746A2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1.57</w:t>
            </w:r>
          </w:p>
        </w:tc>
        <w:tc>
          <w:tcPr>
            <w:tcW w:w="2036" w:type="dxa"/>
            <w:vAlign w:val="center"/>
          </w:tcPr>
          <w:p w14:paraId="723D7882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2.18</w:t>
            </w:r>
          </w:p>
        </w:tc>
        <w:tc>
          <w:tcPr>
            <w:tcW w:w="2037" w:type="dxa"/>
            <w:vAlign w:val="center"/>
          </w:tcPr>
          <w:p w14:paraId="3B451441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2.82</w:t>
            </w:r>
          </w:p>
        </w:tc>
      </w:tr>
      <w:tr w:rsidR="00951435" w14:paraId="323C063A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08750C8" w14:textId="77777777" w:rsidR="00951435" w:rsidRDefault="0095143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sz w:val="22"/>
              </w:rPr>
              <w:t>Socioeconomic factors</w:t>
            </w:r>
          </w:p>
        </w:tc>
        <w:tc>
          <w:tcPr>
            <w:tcW w:w="4111" w:type="dxa"/>
          </w:tcPr>
          <w:p w14:paraId="2232D2C3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Per capita GDP (RMB)</w:t>
            </w:r>
          </w:p>
        </w:tc>
        <w:tc>
          <w:tcPr>
            <w:tcW w:w="1469" w:type="dxa"/>
            <w:vAlign w:val="center"/>
          </w:tcPr>
          <w:p w14:paraId="12CC4EF8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41841.52</w:t>
            </w:r>
          </w:p>
        </w:tc>
        <w:tc>
          <w:tcPr>
            <w:tcW w:w="2037" w:type="dxa"/>
            <w:vAlign w:val="center"/>
          </w:tcPr>
          <w:p w14:paraId="42FE488D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10798.75</w:t>
            </w:r>
          </w:p>
        </w:tc>
        <w:tc>
          <w:tcPr>
            <w:tcW w:w="2036" w:type="dxa"/>
            <w:vAlign w:val="center"/>
          </w:tcPr>
          <w:p w14:paraId="30321580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35991</w:t>
            </w:r>
          </w:p>
        </w:tc>
        <w:tc>
          <w:tcPr>
            <w:tcW w:w="2037" w:type="dxa"/>
            <w:vAlign w:val="center"/>
          </w:tcPr>
          <w:p w14:paraId="0C6FA5E5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96502</w:t>
            </w:r>
          </w:p>
        </w:tc>
      </w:tr>
      <w:tr w:rsidR="00951435" w14:paraId="0225D9BD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3C7B636" w14:textId="77777777" w:rsidR="00951435" w:rsidRDefault="0095143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color w:val="000000"/>
                <w:sz w:val="22"/>
              </w:rPr>
            </w:pPr>
          </w:p>
        </w:tc>
        <w:tc>
          <w:tcPr>
            <w:tcW w:w="4111" w:type="dxa"/>
          </w:tcPr>
          <w:p w14:paraId="5FA618F8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COD (10,000 tons) </w:t>
            </w:r>
          </w:p>
        </w:tc>
        <w:tc>
          <w:tcPr>
            <w:tcW w:w="1469" w:type="dxa"/>
            <w:vAlign w:val="center"/>
          </w:tcPr>
          <w:p w14:paraId="0218DCC1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50.07</w:t>
            </w:r>
          </w:p>
        </w:tc>
        <w:tc>
          <w:tcPr>
            <w:tcW w:w="2037" w:type="dxa"/>
            <w:vAlign w:val="center"/>
          </w:tcPr>
          <w:p w14:paraId="0ED998DB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4.56</w:t>
            </w:r>
          </w:p>
        </w:tc>
        <w:tc>
          <w:tcPr>
            <w:tcW w:w="2036" w:type="dxa"/>
            <w:vAlign w:val="center"/>
          </w:tcPr>
          <w:p w14:paraId="4CC9BAA3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35.35</w:t>
            </w:r>
          </w:p>
        </w:tc>
        <w:tc>
          <w:tcPr>
            <w:tcW w:w="2037" w:type="dxa"/>
            <w:vAlign w:val="center"/>
          </w:tcPr>
          <w:p w14:paraId="7209EF14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135.04</w:t>
            </w:r>
          </w:p>
        </w:tc>
      </w:tr>
      <w:tr w:rsidR="00951435" w14:paraId="23EA7FF9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11EEABA" w14:textId="77777777" w:rsidR="00951435" w:rsidRDefault="009514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1A1F847E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Medical personnel (per 1,000 population)</w:t>
            </w:r>
          </w:p>
        </w:tc>
        <w:tc>
          <w:tcPr>
            <w:tcW w:w="1469" w:type="dxa"/>
            <w:vAlign w:val="center"/>
          </w:tcPr>
          <w:p w14:paraId="462A929C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5.13</w:t>
            </w:r>
          </w:p>
        </w:tc>
        <w:tc>
          <w:tcPr>
            <w:tcW w:w="2037" w:type="dxa"/>
            <w:vAlign w:val="center"/>
          </w:tcPr>
          <w:p w14:paraId="6A474444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2.84</w:t>
            </w:r>
          </w:p>
        </w:tc>
        <w:tc>
          <w:tcPr>
            <w:tcW w:w="2036" w:type="dxa"/>
            <w:vAlign w:val="center"/>
          </w:tcPr>
          <w:p w14:paraId="4B12CFB3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5.05</w:t>
            </w:r>
          </w:p>
        </w:tc>
        <w:tc>
          <w:tcPr>
            <w:tcW w:w="2037" w:type="dxa"/>
            <w:vAlign w:val="center"/>
          </w:tcPr>
          <w:p w14:paraId="2BB6EE8E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7.78</w:t>
            </w:r>
          </w:p>
        </w:tc>
      </w:tr>
      <w:tr w:rsidR="00951435" w14:paraId="54AFCBEC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63C4ABF" w14:textId="77777777" w:rsidR="00951435" w:rsidRDefault="009514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020C72AF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Waste disposal volume (10,000 tons)</w:t>
            </w:r>
          </w:p>
        </w:tc>
        <w:tc>
          <w:tcPr>
            <w:tcW w:w="1469" w:type="dxa"/>
            <w:vAlign w:val="center"/>
          </w:tcPr>
          <w:p w14:paraId="32984944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590.18</w:t>
            </w:r>
          </w:p>
        </w:tc>
        <w:tc>
          <w:tcPr>
            <w:tcW w:w="2037" w:type="dxa"/>
            <w:vAlign w:val="center"/>
          </w:tcPr>
          <w:p w14:paraId="173F7732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80.33</w:t>
            </w:r>
          </w:p>
        </w:tc>
        <w:tc>
          <w:tcPr>
            <w:tcW w:w="2036" w:type="dxa"/>
            <w:vAlign w:val="center"/>
          </w:tcPr>
          <w:p w14:paraId="78CC7A33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492.47</w:t>
            </w:r>
          </w:p>
        </w:tc>
        <w:tc>
          <w:tcPr>
            <w:tcW w:w="2037" w:type="dxa"/>
            <w:vAlign w:val="center"/>
          </w:tcPr>
          <w:p w14:paraId="5778E9D7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1538.26</w:t>
            </w:r>
          </w:p>
        </w:tc>
      </w:tr>
      <w:tr w:rsidR="00951435" w14:paraId="624CA34F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2F0F5F" w14:textId="77777777" w:rsidR="00951435" w:rsidRDefault="009514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636DAC44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Toilets (unit)</w:t>
            </w:r>
          </w:p>
        </w:tc>
        <w:tc>
          <w:tcPr>
            <w:tcW w:w="1469" w:type="dxa"/>
            <w:vAlign w:val="center"/>
          </w:tcPr>
          <w:p w14:paraId="0176972E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4104.20</w:t>
            </w:r>
          </w:p>
        </w:tc>
        <w:tc>
          <w:tcPr>
            <w:tcW w:w="2037" w:type="dxa"/>
            <w:vAlign w:val="center"/>
          </w:tcPr>
          <w:p w14:paraId="3D927775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463.50</w:t>
            </w:r>
          </w:p>
        </w:tc>
        <w:tc>
          <w:tcPr>
            <w:tcW w:w="2036" w:type="dxa"/>
            <w:vAlign w:val="center"/>
          </w:tcPr>
          <w:p w14:paraId="36FDA2BD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3699.00</w:t>
            </w:r>
          </w:p>
        </w:tc>
        <w:tc>
          <w:tcPr>
            <w:tcW w:w="2037" w:type="dxa"/>
            <w:vAlign w:val="center"/>
          </w:tcPr>
          <w:p w14:paraId="3B590CCB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9691.75</w:t>
            </w:r>
          </w:p>
        </w:tc>
      </w:tr>
      <w:tr w:rsidR="00951435" w14:paraId="22CB9226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12" w:space="0" w:color="auto"/>
            </w:tcBorders>
          </w:tcPr>
          <w:p w14:paraId="3121E631" w14:textId="77777777" w:rsidR="00951435" w:rsidRDefault="009514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bottom w:val="single" w:sz="12" w:space="0" w:color="auto"/>
            </w:tcBorders>
          </w:tcPr>
          <w:p w14:paraId="7C88AD21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Population density (persons/sq.km)</w:t>
            </w:r>
          </w:p>
        </w:tc>
        <w:tc>
          <w:tcPr>
            <w:tcW w:w="1469" w:type="dxa"/>
            <w:tcBorders>
              <w:bottom w:val="single" w:sz="12" w:space="0" w:color="auto"/>
            </w:tcBorders>
            <w:vAlign w:val="center"/>
          </w:tcPr>
          <w:p w14:paraId="2266C832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439.43</w:t>
            </w:r>
          </w:p>
        </w:tc>
        <w:tc>
          <w:tcPr>
            <w:tcW w:w="2037" w:type="dxa"/>
            <w:tcBorders>
              <w:bottom w:val="single" w:sz="12" w:space="0" w:color="auto"/>
            </w:tcBorders>
            <w:vAlign w:val="center"/>
          </w:tcPr>
          <w:p w14:paraId="5C1AEDB8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7.96</w:t>
            </w:r>
          </w:p>
        </w:tc>
        <w:tc>
          <w:tcPr>
            <w:tcW w:w="2036" w:type="dxa"/>
            <w:tcBorders>
              <w:bottom w:val="single" w:sz="12" w:space="0" w:color="auto"/>
            </w:tcBorders>
            <w:vAlign w:val="center"/>
          </w:tcPr>
          <w:p w14:paraId="101E9798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270.60</w:t>
            </w:r>
          </w:p>
        </w:tc>
        <w:tc>
          <w:tcPr>
            <w:tcW w:w="2037" w:type="dxa"/>
            <w:tcBorders>
              <w:bottom w:val="single" w:sz="12" w:space="0" w:color="auto"/>
            </w:tcBorders>
            <w:vAlign w:val="center"/>
          </w:tcPr>
          <w:p w14:paraId="00AA5D57" w14:textId="77777777" w:rsidR="00951435" w:rsidRDefault="0095143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1241.01</w:t>
            </w:r>
          </w:p>
        </w:tc>
      </w:tr>
    </w:tbl>
    <w:p w14:paraId="76B2707A" w14:textId="77777777" w:rsidR="00951435" w:rsidRDefault="00951435" w:rsidP="00951435">
      <w:pPr>
        <w:pStyle w:val="acbfdd8b-e11b-4d36-88ff-6049b138f862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sectPr w:rsidR="00951435" w:rsidSect="00A43A09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5E5148D5" w14:textId="2BE644AB" w:rsidR="0024567C" w:rsidRDefault="008D623D" w:rsidP="0024567C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B381CD6" wp14:editId="54D27A48">
            <wp:extent cx="5278120" cy="6344285"/>
            <wp:effectExtent l="0" t="0" r="0" b="0"/>
            <wp:docPr id="656514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14266" name="图片 6565142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CE1E" w14:textId="4C359521" w:rsidR="0024567C" w:rsidRPr="00140208" w:rsidRDefault="0024567C" w:rsidP="00A43A09">
      <w:pPr>
        <w:widowControl/>
        <w:jc w:val="left"/>
        <w:rPr>
          <w:rFonts w:ascii="Times New Roman" w:hAnsi="Times New Roman" w:cs="Times New Roman"/>
          <w:color w:val="2A2B2E"/>
          <w:sz w:val="24"/>
          <w:szCs w:val="24"/>
          <w:shd w:val="clear" w:color="auto" w:fill="FFFFFF"/>
        </w:rPr>
      </w:pPr>
      <w:r w:rsidRPr="00140208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Figure</w:t>
      </w:r>
      <w:r w:rsidRPr="00140208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 xml:space="preserve"> </w:t>
      </w:r>
      <w:r w:rsidRPr="00A43A09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S</w:t>
      </w:r>
      <w:r w:rsidR="008D623D" w:rsidRPr="00A43A09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1</w:t>
      </w:r>
      <w:r w:rsidRPr="00140208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.</w:t>
      </w:r>
      <w:r w:rsidRPr="00140208">
        <w:rPr>
          <w:rFonts w:ascii="Times New Roman" w:hAnsi="Times New Roman" w:cs="Times New Roman"/>
          <w:color w:val="2A2B2E"/>
          <w:sz w:val="24"/>
          <w:szCs w:val="24"/>
          <w:shd w:val="clear" w:color="auto" w:fill="FFFFFF"/>
        </w:rPr>
        <w:t xml:space="preserve"> The monthly and annual incidence of amoebic dysentery (A) and bacillary dysentery (B) in China, 2005-2020.</w:t>
      </w:r>
    </w:p>
    <w:p w14:paraId="7C7C0CD7" w14:textId="6139097F" w:rsidR="0024567C" w:rsidRPr="0024567C" w:rsidRDefault="0024567C">
      <w:pPr>
        <w:widowControl/>
        <w:jc w:val="left"/>
        <w:rPr>
          <w:rFonts w:hint="eastAsia"/>
        </w:rPr>
      </w:pPr>
    </w:p>
    <w:p w14:paraId="506619A6" w14:textId="77777777" w:rsidR="0024567C" w:rsidRPr="0024567C" w:rsidRDefault="0024567C">
      <w:pPr>
        <w:widowControl/>
        <w:jc w:val="left"/>
        <w:rPr>
          <w:rFonts w:hint="eastAsia"/>
        </w:rPr>
      </w:pPr>
    </w:p>
    <w:p w14:paraId="5BACEEE6" w14:textId="77777777" w:rsidR="00284A18" w:rsidRDefault="00284A18" w:rsidP="00284A18">
      <w:pPr>
        <w:kinsoku w:val="0"/>
        <w:snapToGrid w:val="0"/>
        <w:spacing w:line="360" w:lineRule="auto"/>
        <w:rPr>
          <w:rFonts w:ascii="Times New Roman" w:hAnsi="Times New Roman" w:cs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A2B2E"/>
          <w:sz w:val="24"/>
          <w:szCs w:val="24"/>
          <w:shd w:val="clear" w:color="auto" w:fill="FFFFFF"/>
        </w:rPr>
        <w:lastRenderedPageBreak/>
        <w:drawing>
          <wp:inline distT="0" distB="0" distL="0" distR="0" wp14:anchorId="73AEBB06" wp14:editId="66957728">
            <wp:extent cx="5278120" cy="3916045"/>
            <wp:effectExtent l="0" t="0" r="0" b="8255"/>
            <wp:docPr id="14272621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62163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5E5BE" w14:textId="5D7AFD94" w:rsidR="00284A18" w:rsidRDefault="00284A18" w:rsidP="00284A18">
      <w:pPr>
        <w:spacing w:line="360" w:lineRule="auto"/>
        <w:rPr>
          <w:rFonts w:ascii="Arial" w:hAnsi="Arial" w:cs="Arial"/>
          <w:sz w:val="24"/>
          <w:szCs w:val="24"/>
        </w:rPr>
      </w:pPr>
      <w:r w:rsidRPr="00323C7C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Fig</w:t>
      </w:r>
      <w:r w:rsidRPr="00323C7C">
        <w:rPr>
          <w:rFonts w:ascii="Times New Roman" w:hAnsi="Times New Roman" w:cs="Times New Roman" w:hint="eastAsia"/>
          <w:b/>
          <w:bCs/>
          <w:i/>
          <w:iCs/>
          <w:color w:val="2A2B2E"/>
          <w:sz w:val="24"/>
          <w:szCs w:val="24"/>
          <w:shd w:val="clear" w:color="auto" w:fill="FFFFFF"/>
        </w:rPr>
        <w:t xml:space="preserve">ure </w:t>
      </w:r>
      <w:r w:rsidR="0024567C" w:rsidRPr="00323C7C">
        <w:rPr>
          <w:rFonts w:ascii="Times New Roman" w:hAnsi="Times New Roman" w:cs="Times New Roman" w:hint="eastAsia"/>
          <w:b/>
          <w:bCs/>
          <w:i/>
          <w:iCs/>
          <w:color w:val="2A2B2E"/>
          <w:sz w:val="24"/>
          <w:szCs w:val="24"/>
          <w:shd w:val="clear" w:color="auto" w:fill="FFFFFF"/>
        </w:rPr>
        <w:t>S</w:t>
      </w:r>
      <w:r w:rsidR="0024567C" w:rsidRPr="00A43A09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 w:hint="eastAsia"/>
          <w:b/>
          <w:bCs/>
          <w:color w:val="2A2B2E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Spatiotemporal variation in the incidence of amoebic dysentery in China, 2005-2020.</w:t>
      </w:r>
    </w:p>
    <w:p w14:paraId="3E5B6AFD" w14:textId="77777777" w:rsidR="00284A18" w:rsidRDefault="00284A18" w:rsidP="00284A18">
      <w:pPr>
        <w:widowControl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2"/>
          <w:lang w:bidi="ar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 w:val="22"/>
          <w:lang w:bidi="ar"/>
        </w:rPr>
        <w:br w:type="page"/>
      </w:r>
    </w:p>
    <w:p w14:paraId="542431E4" w14:textId="77777777" w:rsidR="00284A18" w:rsidRDefault="00284A18" w:rsidP="00284A18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2"/>
          <w:lang w:bidi="ar"/>
        </w:rPr>
      </w:pP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2"/>
          <w:lang w:bidi="ar"/>
        </w:rPr>
        <w:lastRenderedPageBreak/>
        <w:drawing>
          <wp:inline distT="0" distB="0" distL="0" distR="0" wp14:anchorId="5472B1A0" wp14:editId="4D202E1A">
            <wp:extent cx="5278120" cy="3916045"/>
            <wp:effectExtent l="0" t="0" r="0" b="8255"/>
            <wp:docPr id="13693341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34174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EAB2" w14:textId="525F0249" w:rsidR="00284A18" w:rsidRDefault="00284A18" w:rsidP="00284A18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323C7C"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Fig</w:t>
      </w:r>
      <w:r w:rsidRPr="00323C7C">
        <w:rPr>
          <w:rFonts w:ascii="Times New Roman" w:hAnsi="Times New Roman" w:cs="Times New Roman" w:hint="eastAsia"/>
          <w:b/>
          <w:bCs/>
          <w:i/>
          <w:iCs/>
          <w:color w:val="2A2B2E"/>
          <w:sz w:val="24"/>
          <w:szCs w:val="24"/>
          <w:shd w:val="clear" w:color="auto" w:fill="FFFFFF"/>
        </w:rPr>
        <w:t xml:space="preserve">ure </w:t>
      </w:r>
      <w:r w:rsidR="0024567C" w:rsidRPr="00323C7C">
        <w:rPr>
          <w:rFonts w:ascii="Times New Roman" w:hAnsi="Times New Roman" w:cs="Times New Roman" w:hint="eastAsia"/>
          <w:b/>
          <w:bCs/>
          <w:i/>
          <w:iCs/>
          <w:color w:val="2A2B2E"/>
          <w:sz w:val="24"/>
          <w:szCs w:val="24"/>
          <w:shd w:val="clear" w:color="auto" w:fill="FFFFFF"/>
        </w:rPr>
        <w:t>S</w:t>
      </w:r>
      <w:r w:rsidR="0024567C" w:rsidRPr="00A43A09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3</w:t>
      </w:r>
      <w:r>
        <w:rPr>
          <w:rFonts w:ascii="Times New Roman" w:hAnsi="Times New Roman" w:cs="Times New Roman" w:hint="eastAsia"/>
          <w:b/>
          <w:bCs/>
          <w:color w:val="2A2B2E"/>
          <w:sz w:val="24"/>
          <w:szCs w:val="24"/>
          <w:shd w:val="clear" w:color="auto" w:fill="FFFFFF"/>
        </w:rPr>
        <w:t>.</w:t>
      </w:r>
      <w:r>
        <w:rPr>
          <w:rFonts w:ascii="Times New Roman" w:eastAsia="等线" w:hAnsi="Times New Roman" w:cs="Times New Roman"/>
          <w:sz w:val="24"/>
          <w:szCs w:val="24"/>
        </w:rPr>
        <w:t xml:space="preserve"> Spatiotemporal variation in the incidence of </w:t>
      </w:r>
      <w:r>
        <w:rPr>
          <w:rFonts w:ascii="Times New Roman" w:eastAsia="等线" w:hAnsi="Times New Roman" w:cs="Times New Roman" w:hint="eastAsia"/>
          <w:sz w:val="24"/>
          <w:szCs w:val="24"/>
        </w:rPr>
        <w:t>bacillary</w:t>
      </w:r>
      <w:r>
        <w:rPr>
          <w:rFonts w:ascii="Times New Roman" w:eastAsia="等线" w:hAnsi="Times New Roman" w:cs="Times New Roman"/>
          <w:sz w:val="24"/>
          <w:szCs w:val="24"/>
        </w:rPr>
        <w:t xml:space="preserve"> dysentery in China, 2005-20</w:t>
      </w:r>
      <w:r>
        <w:rPr>
          <w:rFonts w:ascii="Times New Roman" w:eastAsia="等线" w:hAnsi="Times New Roman" w:cs="Times New Roman" w:hint="eastAsia"/>
          <w:sz w:val="24"/>
          <w:szCs w:val="24"/>
        </w:rPr>
        <w:t>20</w:t>
      </w:r>
      <w:r>
        <w:rPr>
          <w:rFonts w:ascii="Times New Roman" w:eastAsia="等线" w:hAnsi="Times New Roman" w:cs="Times New Roman"/>
          <w:sz w:val="24"/>
          <w:szCs w:val="24"/>
        </w:rPr>
        <w:t>.</w:t>
      </w:r>
    </w:p>
    <w:p w14:paraId="512A7399" w14:textId="77777777" w:rsidR="00284A18" w:rsidRDefault="00284A18" w:rsidP="00284A18">
      <w:pPr>
        <w:widowControl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2"/>
          <w:lang w:bidi="ar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 w:val="22"/>
          <w:lang w:bidi="ar"/>
        </w:rPr>
        <w:br w:type="page"/>
      </w:r>
    </w:p>
    <w:p w14:paraId="64A1929D" w14:textId="77777777" w:rsidR="00284A18" w:rsidRDefault="00284A18" w:rsidP="00284A18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2"/>
          <w:lang w:bidi="ar"/>
        </w:rPr>
      </w:pPr>
      <w:r>
        <w:rPr>
          <w:rFonts w:ascii="Times New Roman" w:eastAsia="等线" w:hAnsi="Times New Roman" w:cs="Times New Roman" w:hint="eastAsia"/>
          <w:noProof/>
        </w:rPr>
        <w:lastRenderedPageBreak/>
        <w:drawing>
          <wp:inline distT="0" distB="0" distL="0" distR="0" wp14:anchorId="7BD77048" wp14:editId="7560A172">
            <wp:extent cx="5274310" cy="2033516"/>
            <wp:effectExtent l="0" t="0" r="2540" b="5080"/>
            <wp:docPr id="14491103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10341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145" cy="203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8FAA" w14:textId="21E79D76" w:rsidR="00284A18" w:rsidRDefault="00284A18" w:rsidP="00284A18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Fig</w:t>
      </w:r>
      <w:r>
        <w:rPr>
          <w:rFonts w:ascii="Times New Roman" w:hAnsi="Times New Roman" w:cs="Times New Roman" w:hint="eastAsia"/>
          <w:b/>
          <w:bCs/>
          <w:i/>
          <w:iCs/>
          <w:color w:val="2A2B2E"/>
          <w:sz w:val="24"/>
          <w:szCs w:val="24"/>
          <w:shd w:val="clear" w:color="auto" w:fill="FFFFFF"/>
        </w:rPr>
        <w:t>ure</w:t>
      </w:r>
      <w:r>
        <w:rPr>
          <w:rFonts w:ascii="Times New Roman" w:hAnsi="Times New Roman" w:cs="Times New Roman" w:hint="eastAsia"/>
          <w:b/>
          <w:bCs/>
          <w:color w:val="2A2B2E"/>
          <w:sz w:val="24"/>
          <w:szCs w:val="24"/>
          <w:shd w:val="clear" w:color="auto" w:fill="FFFFFF"/>
        </w:rPr>
        <w:t xml:space="preserve"> </w:t>
      </w:r>
      <w:r w:rsidR="0024567C" w:rsidRPr="00323C7C">
        <w:rPr>
          <w:rFonts w:ascii="Times New Roman" w:hAnsi="Times New Roman" w:cs="Times New Roman" w:hint="eastAsia"/>
          <w:b/>
          <w:bCs/>
          <w:i/>
          <w:iCs/>
          <w:color w:val="2A2B2E"/>
          <w:sz w:val="24"/>
          <w:szCs w:val="24"/>
          <w:shd w:val="clear" w:color="auto" w:fill="FFFFFF"/>
        </w:rPr>
        <w:t>S</w:t>
      </w:r>
      <w:r w:rsidR="0024567C" w:rsidRPr="00A43A09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 w:hint="eastAsia"/>
          <w:b/>
          <w:bCs/>
          <w:color w:val="2A2B2E"/>
          <w:sz w:val="24"/>
          <w:szCs w:val="24"/>
          <w:shd w:val="clear" w:color="auto" w:fill="FFFFFF"/>
        </w:rPr>
        <w:t>.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Month of </w:t>
      </w:r>
      <w:r>
        <w:rPr>
          <w:rFonts w:ascii="Times New Roman" w:eastAsia="等线" w:hAnsi="Times New Roman" w:cs="Times New Roman"/>
          <w:sz w:val="24"/>
          <w:szCs w:val="24"/>
        </w:rPr>
        <w:t>annual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 peak of amoebic dysentery (A) and bacillary dysentery (B) at the provincial level in </w:t>
      </w:r>
      <w:r>
        <w:rPr>
          <w:rFonts w:ascii="Times New Roman" w:eastAsia="等线" w:hAnsi="Times New Roman" w:cs="Times New Roman"/>
          <w:sz w:val="24"/>
          <w:szCs w:val="24"/>
        </w:rPr>
        <w:t>China, 2005-20</w:t>
      </w:r>
      <w:r>
        <w:rPr>
          <w:rFonts w:ascii="Times New Roman" w:eastAsia="等线" w:hAnsi="Times New Roman" w:cs="Times New Roman" w:hint="eastAsia"/>
          <w:sz w:val="24"/>
          <w:szCs w:val="24"/>
        </w:rPr>
        <w:t>20</w:t>
      </w:r>
      <w:r>
        <w:rPr>
          <w:rFonts w:ascii="Times New Roman" w:eastAsia="等线" w:hAnsi="Times New Roman" w:cs="Times New Roman"/>
          <w:sz w:val="24"/>
          <w:szCs w:val="24"/>
        </w:rPr>
        <w:t>.</w:t>
      </w:r>
    </w:p>
    <w:p w14:paraId="1CCE458D" w14:textId="77777777" w:rsidR="00284A18" w:rsidRDefault="00284A18" w:rsidP="00284A18">
      <w:pPr>
        <w:widowControl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2"/>
          <w:lang w:bidi="ar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 w:val="22"/>
          <w:lang w:bidi="ar"/>
        </w:rPr>
        <w:br w:type="page"/>
      </w:r>
    </w:p>
    <w:p w14:paraId="304EEF11" w14:textId="77777777" w:rsidR="00284A18" w:rsidRDefault="00284A18" w:rsidP="00284A18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2"/>
          <w:lang w:bidi="ar"/>
        </w:rPr>
      </w:pP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2"/>
          <w:lang w:bidi="ar"/>
        </w:rPr>
        <w:lastRenderedPageBreak/>
        <w:drawing>
          <wp:inline distT="0" distB="0" distL="0" distR="0" wp14:anchorId="557AC29E" wp14:editId="61890C40">
            <wp:extent cx="5278120" cy="7395845"/>
            <wp:effectExtent l="0" t="0" r="0" b="0"/>
            <wp:docPr id="13703569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56916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2588" w14:textId="4D9083C5" w:rsidR="00284A18" w:rsidRDefault="00284A18" w:rsidP="00284A18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Fig</w:t>
      </w:r>
      <w:r>
        <w:rPr>
          <w:rFonts w:ascii="Times New Roman" w:hAnsi="Times New Roman" w:cs="Times New Roman" w:hint="eastAsia"/>
          <w:b/>
          <w:bCs/>
          <w:i/>
          <w:iCs/>
          <w:color w:val="2A2B2E"/>
          <w:sz w:val="24"/>
          <w:szCs w:val="24"/>
          <w:shd w:val="clear" w:color="auto" w:fill="FFFFFF"/>
        </w:rPr>
        <w:t>ure</w:t>
      </w:r>
      <w:r>
        <w:rPr>
          <w:rFonts w:ascii="Times New Roman" w:hAnsi="Times New Roman" w:cs="Times New Roman" w:hint="eastAsia"/>
          <w:b/>
          <w:bCs/>
          <w:color w:val="2A2B2E"/>
          <w:sz w:val="24"/>
          <w:szCs w:val="24"/>
          <w:shd w:val="clear" w:color="auto" w:fill="FFFFFF"/>
        </w:rPr>
        <w:t xml:space="preserve"> </w:t>
      </w:r>
      <w:r w:rsidR="0024567C" w:rsidRPr="00323C7C">
        <w:rPr>
          <w:rFonts w:ascii="Times New Roman" w:hAnsi="Times New Roman" w:cs="Times New Roman" w:hint="eastAsia"/>
          <w:b/>
          <w:bCs/>
          <w:i/>
          <w:iCs/>
          <w:color w:val="2A2B2E"/>
          <w:sz w:val="24"/>
          <w:szCs w:val="24"/>
          <w:shd w:val="clear" w:color="auto" w:fill="FFFFFF"/>
        </w:rPr>
        <w:t>S</w:t>
      </w:r>
      <w:r w:rsidR="0024567C" w:rsidRPr="00A43A09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5</w:t>
      </w:r>
      <w:r w:rsidRPr="00323C7C">
        <w:rPr>
          <w:rFonts w:ascii="Times New Roman" w:hAnsi="Times New Roman" w:cs="Times New Roman" w:hint="eastAsia"/>
          <w:b/>
          <w:bCs/>
          <w:i/>
          <w:iCs/>
          <w:color w:val="2A2B2E"/>
          <w:sz w:val="24"/>
          <w:szCs w:val="24"/>
          <w:shd w:val="clear" w:color="auto" w:fill="FFFFFF"/>
        </w:rPr>
        <w:t>.</w:t>
      </w:r>
      <w:r>
        <w:rPr>
          <w:rFonts w:ascii="Times New Roman" w:eastAsia="等线" w:hAnsi="Times New Roman" w:cs="Times New Roman"/>
          <w:sz w:val="24"/>
          <w:szCs w:val="24"/>
        </w:rPr>
        <w:t xml:space="preserve"> The average monthly incidence rate of amoebic dysentery in each province of China, 2005-2020 (The order of each map is for each of the seven major regions of China, i.e., Northeast, North, East, South, Central, Northwest, and Southwest).</w:t>
      </w:r>
    </w:p>
    <w:p w14:paraId="3B4AC1C0" w14:textId="77777777" w:rsidR="00284A18" w:rsidRDefault="00284A18" w:rsidP="00284A18">
      <w:pPr>
        <w:widowControl/>
        <w:jc w:val="left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</w:rPr>
        <w:br w:type="page"/>
      </w:r>
    </w:p>
    <w:p w14:paraId="3DF7B971" w14:textId="77777777" w:rsidR="00284A18" w:rsidRDefault="00284A18" w:rsidP="00284A18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lang w:bidi="ar"/>
        </w:rPr>
        <w:lastRenderedPageBreak/>
        <w:drawing>
          <wp:inline distT="0" distB="0" distL="0" distR="0" wp14:anchorId="61A7DFD2" wp14:editId="00425CB3">
            <wp:extent cx="5278120" cy="7236460"/>
            <wp:effectExtent l="0" t="0" r="0" b="2540"/>
            <wp:docPr id="11303064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06437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03F5" w14:textId="3C1BF67B" w:rsidR="00284A18" w:rsidRDefault="00284A18" w:rsidP="00284A18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i/>
          <w:iCs/>
          <w:color w:val="2A2B2E"/>
          <w:sz w:val="24"/>
          <w:szCs w:val="24"/>
          <w:shd w:val="clear" w:color="auto" w:fill="FFFFFF"/>
        </w:rPr>
        <w:t>Fig</w:t>
      </w:r>
      <w:r>
        <w:rPr>
          <w:rFonts w:ascii="Times New Roman" w:hAnsi="Times New Roman" w:cs="Times New Roman" w:hint="eastAsia"/>
          <w:b/>
          <w:bCs/>
          <w:i/>
          <w:iCs/>
          <w:color w:val="2A2B2E"/>
          <w:sz w:val="24"/>
          <w:szCs w:val="24"/>
          <w:shd w:val="clear" w:color="auto" w:fill="FFFFFF"/>
        </w:rPr>
        <w:t>ure</w:t>
      </w:r>
      <w:r>
        <w:rPr>
          <w:rFonts w:ascii="Times New Roman" w:hAnsi="Times New Roman" w:cs="Times New Roman" w:hint="eastAsia"/>
          <w:b/>
          <w:bCs/>
          <w:color w:val="2A2B2E"/>
          <w:sz w:val="24"/>
          <w:szCs w:val="24"/>
          <w:shd w:val="clear" w:color="auto" w:fill="FFFFFF"/>
        </w:rPr>
        <w:t xml:space="preserve"> </w:t>
      </w:r>
      <w:r w:rsidR="0024567C" w:rsidRPr="00323C7C">
        <w:rPr>
          <w:rFonts w:ascii="Times New Roman" w:hAnsi="Times New Roman" w:cs="Times New Roman" w:hint="eastAsia"/>
          <w:b/>
          <w:bCs/>
          <w:i/>
          <w:iCs/>
          <w:color w:val="2A2B2E"/>
          <w:sz w:val="24"/>
          <w:szCs w:val="24"/>
          <w:shd w:val="clear" w:color="auto" w:fill="FFFFFF"/>
        </w:rPr>
        <w:t>S</w:t>
      </w:r>
      <w:r w:rsidR="0024567C" w:rsidRPr="00A43A09">
        <w:rPr>
          <w:rFonts w:ascii="Times New Roman" w:hAnsi="Times New Roman" w:cs="Times New Roman"/>
          <w:b/>
          <w:bCs/>
          <w:color w:val="2A2B2E"/>
          <w:sz w:val="24"/>
          <w:szCs w:val="24"/>
          <w:shd w:val="clear" w:color="auto" w:fill="FFFFFF"/>
        </w:rPr>
        <w:t>6</w:t>
      </w:r>
      <w:r w:rsidRPr="00323C7C">
        <w:rPr>
          <w:rFonts w:ascii="Times New Roman" w:hAnsi="Times New Roman" w:cs="Times New Roman" w:hint="eastAsia"/>
          <w:b/>
          <w:bCs/>
          <w:i/>
          <w:iCs/>
          <w:color w:val="2A2B2E"/>
          <w:sz w:val="24"/>
          <w:szCs w:val="24"/>
          <w:shd w:val="clear" w:color="auto" w:fill="FFFFFF"/>
        </w:rPr>
        <w:t>.</w:t>
      </w:r>
      <w:r>
        <w:rPr>
          <w:rFonts w:ascii="Times New Roman" w:eastAsia="等线" w:hAnsi="Times New Roman" w:cs="Times New Roman"/>
          <w:sz w:val="24"/>
          <w:szCs w:val="24"/>
        </w:rPr>
        <w:t xml:space="preserve"> The average monthly incidence rate of bacillary dysentery in each province of China, 2005-2020 (The order of each map is for each of the seven major regions of China, i.e., Northeast, North, East, South, Central, Northwest, and Southwest).</w:t>
      </w:r>
    </w:p>
    <w:p w14:paraId="04C6DA2F" w14:textId="77777777" w:rsidR="00162545" w:rsidRPr="00284A18" w:rsidRDefault="00162545">
      <w:pPr>
        <w:rPr>
          <w:rFonts w:hint="eastAsia"/>
        </w:rPr>
      </w:pPr>
    </w:p>
    <w:sectPr w:rsidR="00162545" w:rsidRPr="00284A18" w:rsidSect="00284A18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55ED9" w14:textId="77777777" w:rsidR="00E36E87" w:rsidRDefault="00E36E87" w:rsidP="00213F19">
      <w:pPr>
        <w:rPr>
          <w:rFonts w:hint="eastAsia"/>
        </w:rPr>
      </w:pPr>
      <w:r>
        <w:separator/>
      </w:r>
    </w:p>
  </w:endnote>
  <w:endnote w:type="continuationSeparator" w:id="0">
    <w:p w14:paraId="7706904B" w14:textId="77777777" w:rsidR="00E36E87" w:rsidRDefault="00E36E87" w:rsidP="00213F1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F9B0A" w14:textId="77777777" w:rsidR="00E36E87" w:rsidRDefault="00E36E87" w:rsidP="00213F19">
      <w:pPr>
        <w:rPr>
          <w:rFonts w:hint="eastAsia"/>
        </w:rPr>
      </w:pPr>
      <w:r>
        <w:separator/>
      </w:r>
    </w:p>
  </w:footnote>
  <w:footnote w:type="continuationSeparator" w:id="0">
    <w:p w14:paraId="29F3C280" w14:textId="77777777" w:rsidR="00E36E87" w:rsidRDefault="00E36E87" w:rsidP="00213F1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618"/>
    <w:rsid w:val="0004142C"/>
    <w:rsid w:val="000475F6"/>
    <w:rsid w:val="000B763B"/>
    <w:rsid w:val="000E63AA"/>
    <w:rsid w:val="000E6701"/>
    <w:rsid w:val="00105AF8"/>
    <w:rsid w:val="00162545"/>
    <w:rsid w:val="001A32A3"/>
    <w:rsid w:val="001B6A1F"/>
    <w:rsid w:val="001B739A"/>
    <w:rsid w:val="001F0632"/>
    <w:rsid w:val="00212D3B"/>
    <w:rsid w:val="00213F19"/>
    <w:rsid w:val="0024567C"/>
    <w:rsid w:val="00284A18"/>
    <w:rsid w:val="002C2E5E"/>
    <w:rsid w:val="002F5058"/>
    <w:rsid w:val="00323C7C"/>
    <w:rsid w:val="004008C5"/>
    <w:rsid w:val="004C088C"/>
    <w:rsid w:val="004E3E79"/>
    <w:rsid w:val="005158CF"/>
    <w:rsid w:val="00547A12"/>
    <w:rsid w:val="0059743F"/>
    <w:rsid w:val="00672A5E"/>
    <w:rsid w:val="007112B7"/>
    <w:rsid w:val="0072789C"/>
    <w:rsid w:val="008B245F"/>
    <w:rsid w:val="008D623D"/>
    <w:rsid w:val="00933983"/>
    <w:rsid w:val="00951435"/>
    <w:rsid w:val="00993A5E"/>
    <w:rsid w:val="009A44A5"/>
    <w:rsid w:val="009B6912"/>
    <w:rsid w:val="00A134AD"/>
    <w:rsid w:val="00A13F3F"/>
    <w:rsid w:val="00A43A09"/>
    <w:rsid w:val="00AA593D"/>
    <w:rsid w:val="00B247A8"/>
    <w:rsid w:val="00B25F49"/>
    <w:rsid w:val="00B95AF8"/>
    <w:rsid w:val="00BB560F"/>
    <w:rsid w:val="00BE39E9"/>
    <w:rsid w:val="00BE6F3D"/>
    <w:rsid w:val="00C37356"/>
    <w:rsid w:val="00CC47D4"/>
    <w:rsid w:val="00D45233"/>
    <w:rsid w:val="00DC04A4"/>
    <w:rsid w:val="00DC3618"/>
    <w:rsid w:val="00E36E87"/>
    <w:rsid w:val="00F433BA"/>
    <w:rsid w:val="00FA7133"/>
    <w:rsid w:val="00FE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3ED251"/>
  <w14:defaultImageDpi w14:val="330"/>
  <w15:chartTrackingRefBased/>
  <w15:docId w15:val="{2FD4A65D-B865-4169-859C-94853ACF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qFormat/>
    <w:rsid w:val="00284A18"/>
    <w:pPr>
      <w:widowControl w:val="0"/>
      <w:jc w:val="both"/>
    </w:pPr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13F1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13F1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3F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13F19"/>
    <w:rPr>
      <w:sz w:val="18"/>
      <w:szCs w:val="18"/>
    </w:rPr>
  </w:style>
  <w:style w:type="paragraph" w:customStyle="1" w:styleId="acbfdd8b-e11b-4d36-88ff-6049b138f862">
    <w:name w:val="acbfdd8b-e11b-4d36-88ff-6049b138f862"/>
    <w:basedOn w:val="a8"/>
    <w:link w:val="acbfdd8b-e11b-4d36-88ff-6049b138f8620"/>
    <w:qFormat/>
    <w:rsid w:val="000475F6"/>
    <w:pPr>
      <w:adjustRightInd w:val="0"/>
      <w:spacing w:after="0" w:line="288" w:lineRule="auto"/>
      <w:jc w:val="left"/>
    </w:pPr>
    <w:rPr>
      <w:rFonts w:ascii="微软雅黑" w:eastAsia="微软雅黑" w:hAnsi="微软雅黑"/>
      <w:color w:val="000000"/>
      <w:kern w:val="44"/>
      <w:sz w:val="22"/>
      <w:szCs w:val="44"/>
      <w:shd w:val="clear" w:color="auto" w:fill="FFFFFF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qFormat/>
    <w:rsid w:val="000475F6"/>
    <w:rPr>
      <w:rFonts w:ascii="微软雅黑" w:eastAsia="微软雅黑" w:hAnsi="微软雅黑"/>
      <w:color w:val="000000"/>
      <w:kern w:val="44"/>
      <w:sz w:val="22"/>
      <w:szCs w:val="44"/>
    </w:rPr>
  </w:style>
  <w:style w:type="table" w:customStyle="1" w:styleId="41">
    <w:name w:val="无格式表格 41"/>
    <w:basedOn w:val="a1"/>
    <w:uiPriority w:val="44"/>
    <w:qFormat/>
    <w:rsid w:val="000475F6"/>
    <w:rPr>
      <w:kern w:val="0"/>
      <w:sz w:val="20"/>
      <w:szCs w:val="20"/>
    </w:r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Body Text"/>
    <w:basedOn w:val="a"/>
    <w:link w:val="a9"/>
    <w:uiPriority w:val="99"/>
    <w:semiHidden/>
    <w:unhideWhenUsed/>
    <w:rsid w:val="000475F6"/>
    <w:pPr>
      <w:spacing w:after="120"/>
    </w:pPr>
  </w:style>
  <w:style w:type="character" w:customStyle="1" w:styleId="a9">
    <w:name w:val="正文文本 字符"/>
    <w:basedOn w:val="a0"/>
    <w:link w:val="a8"/>
    <w:uiPriority w:val="99"/>
    <w:semiHidden/>
    <w:rsid w:val="000475F6"/>
  </w:style>
  <w:style w:type="paragraph" w:styleId="aa">
    <w:name w:val="Revision"/>
    <w:hidden/>
    <w:uiPriority w:val="99"/>
    <w:semiHidden/>
    <w:rsid w:val="00BB560F"/>
  </w:style>
  <w:style w:type="paragraph" w:styleId="ab">
    <w:name w:val="annotation text"/>
    <w:basedOn w:val="a"/>
    <w:link w:val="ac"/>
    <w:uiPriority w:val="99"/>
    <w:unhideWhenUsed/>
    <w:qFormat/>
    <w:rsid w:val="00951435"/>
    <w:pPr>
      <w:jc w:val="left"/>
    </w:pPr>
  </w:style>
  <w:style w:type="character" w:customStyle="1" w:styleId="ac">
    <w:name w:val="批注文字 字符"/>
    <w:basedOn w:val="a0"/>
    <w:link w:val="ab"/>
    <w:uiPriority w:val="99"/>
    <w:qFormat/>
    <w:rsid w:val="00951435"/>
  </w:style>
  <w:style w:type="character" w:styleId="ad">
    <w:name w:val="annotation reference"/>
    <w:basedOn w:val="a0"/>
    <w:uiPriority w:val="99"/>
    <w:semiHidden/>
    <w:unhideWhenUsed/>
    <w:qFormat/>
    <w:rsid w:val="00951435"/>
    <w:rPr>
      <w:sz w:val="21"/>
      <w:szCs w:val="21"/>
    </w:rPr>
  </w:style>
  <w:style w:type="character" w:styleId="ae">
    <w:name w:val="line number"/>
    <w:basedOn w:val="a0"/>
    <w:uiPriority w:val="99"/>
    <w:semiHidden/>
    <w:unhideWhenUsed/>
    <w:rsid w:val="009514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BEC3E-77DA-4DEE-AEC0-4E8567092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365</Words>
  <Characters>2117</Characters>
  <Application>Microsoft Office Word</Application>
  <DocSecurity>0</DocSecurity>
  <Lines>117</Lines>
  <Paragraphs>85</Paragraphs>
  <ScaleCrop>false</ScaleCrop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昂 李</dc:creator>
  <cp:keywords/>
  <dc:description/>
  <cp:lastModifiedBy>民 杜</cp:lastModifiedBy>
  <cp:revision>4</cp:revision>
  <dcterms:created xsi:type="dcterms:W3CDTF">2026-04-07T01:25:00Z</dcterms:created>
  <dcterms:modified xsi:type="dcterms:W3CDTF">2026-05-07T12:06:00Z</dcterms:modified>
</cp:coreProperties>
</file>