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9C519E0" w:rsidR="00294468" w:rsidRPr="000C5DB9" w:rsidRDefault="00000000">
      <w:pPr>
        <w:pStyle w:val="Title"/>
        <w:jc w:val="center"/>
        <w:rPr>
          <w:rFonts w:ascii="Times New Roman" w:eastAsia="Times New Roman" w:hAnsi="Times New Roman" w:cs="Times New Roman"/>
          <w:sz w:val="28"/>
          <w:szCs w:val="28"/>
        </w:rPr>
      </w:pPr>
      <w:bookmarkStart w:id="0" w:name="_heading=h.4m0aznvsuyyt" w:colFirst="0" w:colLast="0"/>
      <w:bookmarkEnd w:id="0"/>
      <w:r w:rsidRPr="000C5DB9">
        <w:rPr>
          <w:rFonts w:ascii="Times New Roman" w:eastAsia="Times New Roman" w:hAnsi="Times New Roman" w:cs="Times New Roman"/>
          <w:sz w:val="28"/>
          <w:szCs w:val="28"/>
        </w:rPr>
        <w:t>Supplementary Information</w:t>
      </w:r>
    </w:p>
    <w:p w14:paraId="5A0E183F" w14:textId="1A4AD321" w:rsidR="006770FC" w:rsidRDefault="00294468" w:rsidP="00294468">
      <w:pPr>
        <w:rPr>
          <w:rFonts w:ascii="Times New Roman" w:eastAsia="Times New Roman" w:hAnsi="Times New Roman" w:cs="Times New Roman"/>
          <w:sz w:val="40"/>
          <w:szCs w:val="40"/>
        </w:rPr>
      </w:pPr>
      <w:r>
        <w:rPr>
          <w:rFonts w:ascii="Times New Roman" w:eastAsia="Times New Roman" w:hAnsi="Times New Roman" w:cs="Times New Roman"/>
          <w:sz w:val="40"/>
          <w:szCs w:val="40"/>
        </w:rPr>
        <w:br w:type="page"/>
      </w:r>
    </w:p>
    <w:p w14:paraId="00000002" w14:textId="11315430" w:rsidR="006770FC" w:rsidRDefault="00294468" w:rsidP="00294468">
      <w:pPr>
        <w:jc w:val="center"/>
      </w:pPr>
      <w:r>
        <w:rPr>
          <w:b/>
          <w:bCs/>
          <w:noProof/>
        </w:rPr>
        <w:lastRenderedPageBreak/>
        <w:drawing>
          <wp:inline distT="114300" distB="114300" distL="114300" distR="114300" wp14:anchorId="2C775DC0" wp14:editId="3240A2E6">
            <wp:extent cx="5733415" cy="2971484"/>
            <wp:effectExtent l="0" t="0" r="635" b="635"/>
            <wp:docPr id="189251589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733415" cy="2971484"/>
                    </a:xfrm>
                    <a:prstGeom prst="rect">
                      <a:avLst/>
                    </a:prstGeom>
                    <a:ln/>
                  </pic:spPr>
                </pic:pic>
              </a:graphicData>
            </a:graphic>
          </wp:inline>
        </w:drawing>
      </w:r>
    </w:p>
    <w:p w14:paraId="00000003" w14:textId="77777777" w:rsidR="006770FC" w:rsidRDefault="006770FC"/>
    <w:p w14:paraId="00000004" w14:textId="73A19D0C" w:rsidR="006770FC" w:rsidRPr="000C5DB9" w:rsidRDefault="00000000">
      <w:pPr>
        <w:jc w:val="both"/>
        <w:rPr>
          <w:rFonts w:ascii="Times New Roman" w:eastAsia="Times New Roman" w:hAnsi="Times New Roman" w:cs="Times New Roman"/>
          <w:sz w:val="20"/>
          <w:szCs w:val="20"/>
        </w:rPr>
      </w:pPr>
      <w:r w:rsidRPr="000C5DB9">
        <w:rPr>
          <w:rFonts w:ascii="Times New Roman" w:eastAsia="Times New Roman" w:hAnsi="Times New Roman" w:cs="Times New Roman"/>
          <w:b/>
          <w:sz w:val="20"/>
          <w:szCs w:val="20"/>
        </w:rPr>
        <w:t>Figure S1:</w:t>
      </w:r>
      <w:r w:rsidRPr="000C5DB9">
        <w:rPr>
          <w:rFonts w:ascii="Times New Roman" w:eastAsia="Times New Roman" w:hAnsi="Times New Roman" w:cs="Times New Roman"/>
          <w:sz w:val="20"/>
          <w:szCs w:val="20"/>
        </w:rPr>
        <w:t xml:space="preserve"> Comparison of monthly </w:t>
      </w:r>
      <w:r w:rsidR="0056422E" w:rsidRPr="000C5DB9">
        <w:rPr>
          <w:rFonts w:ascii="Times New Roman" w:eastAsia="Times New Roman" w:hAnsi="Times New Roman" w:cs="Times New Roman"/>
          <w:sz w:val="20"/>
          <w:szCs w:val="20"/>
        </w:rPr>
        <w:t>SLA</w:t>
      </w:r>
      <w:r w:rsidRPr="000C5DB9">
        <w:rPr>
          <w:rFonts w:ascii="Times New Roman" w:eastAsia="Times New Roman" w:hAnsi="Times New Roman" w:cs="Times New Roman"/>
          <w:sz w:val="20"/>
          <w:szCs w:val="20"/>
        </w:rPr>
        <w:t xml:space="preserve"> from ensemble reanalysis (blue) with altimeter (left column) and tide-gauge (right column) </w:t>
      </w:r>
      <w:r w:rsidR="0056422E" w:rsidRPr="000C5DB9">
        <w:rPr>
          <w:rFonts w:ascii="Times New Roman" w:eastAsia="Times New Roman" w:hAnsi="Times New Roman" w:cs="Times New Roman"/>
          <w:sz w:val="20"/>
          <w:szCs w:val="20"/>
        </w:rPr>
        <w:t xml:space="preserve">SLA </w:t>
      </w:r>
      <w:r w:rsidRPr="000C5DB9">
        <w:rPr>
          <w:rFonts w:ascii="Times New Roman" w:eastAsia="Times New Roman" w:hAnsi="Times New Roman" w:cs="Times New Roman"/>
          <w:sz w:val="20"/>
          <w:szCs w:val="20"/>
        </w:rPr>
        <w:t xml:space="preserve">at selected regions in the Indian Ocean (Fig. 1a). The left panel shows SLA time series averaged in the southwest Indian Ocean (SWIO), eastern equatorial Indian Ocean (EEIO), and </w:t>
      </w:r>
      <w:r w:rsidR="0056422E" w:rsidRPr="000C5DB9">
        <w:rPr>
          <w:rFonts w:ascii="Times New Roman" w:eastAsia="Times New Roman" w:hAnsi="Times New Roman" w:cs="Times New Roman"/>
          <w:sz w:val="20"/>
          <w:szCs w:val="20"/>
        </w:rPr>
        <w:t>the west coast of Australia</w:t>
      </w:r>
      <w:r w:rsidRPr="000C5DB9">
        <w:rPr>
          <w:rFonts w:ascii="Times New Roman" w:eastAsia="Times New Roman" w:hAnsi="Times New Roman" w:cs="Times New Roman"/>
          <w:sz w:val="20"/>
          <w:szCs w:val="20"/>
        </w:rPr>
        <w:t xml:space="preserve"> (</w:t>
      </w:r>
      <w:r w:rsidR="0056422E" w:rsidRPr="000C5DB9">
        <w:rPr>
          <w:rFonts w:ascii="Times New Roman" w:eastAsia="Times New Roman" w:hAnsi="Times New Roman" w:cs="Times New Roman"/>
          <w:sz w:val="20"/>
          <w:szCs w:val="20"/>
        </w:rPr>
        <w:t xml:space="preserve">WAC; </w:t>
      </w:r>
      <w:r w:rsidRPr="000C5DB9">
        <w:rPr>
          <w:rFonts w:ascii="Times New Roman" w:eastAsia="Times New Roman" w:hAnsi="Times New Roman" w:cs="Times New Roman"/>
          <w:sz w:val="20"/>
          <w:szCs w:val="20"/>
        </w:rPr>
        <w:t>black solid and dashed boxes in Figure 1a) from ensemble reanalysis and altimetry. The right column shows SLA from selected tide-gauge records (locations marked by green stars in Fig. 1a) and SLA from reanalysis averaged over a 1° radius circle around each tide-gauge location (</w:t>
      </w:r>
      <w:r w:rsidR="0056422E" w:rsidRPr="000C5DB9">
        <w:rPr>
          <w:rFonts w:ascii="Times New Roman" w:eastAsia="Times New Roman" w:hAnsi="Times New Roman" w:cs="Times New Roman"/>
          <w:sz w:val="20"/>
          <w:szCs w:val="20"/>
        </w:rPr>
        <w:t>w</w:t>
      </w:r>
      <w:r w:rsidRPr="000C5DB9">
        <w:rPr>
          <w:rFonts w:ascii="Times New Roman" w:eastAsia="Times New Roman" w:hAnsi="Times New Roman" w:cs="Times New Roman"/>
          <w:sz w:val="20"/>
          <w:szCs w:val="20"/>
        </w:rPr>
        <w:t>e chose 2° for Zanzibar as this station is further away from the SWIO region; Fig. 1a). A monthly climatology is removed, a 5-month smoothing is applied</w:t>
      </w:r>
      <w:r w:rsidR="0056422E" w:rsidRPr="000C5DB9">
        <w:rPr>
          <w:rFonts w:ascii="Times New Roman" w:eastAsia="Times New Roman" w:hAnsi="Times New Roman" w:cs="Times New Roman"/>
          <w:sz w:val="20"/>
          <w:szCs w:val="20"/>
        </w:rPr>
        <w:t>, and a linear trend is removed for all time series</w:t>
      </w:r>
      <w:r w:rsidRPr="000C5DB9">
        <w:rPr>
          <w:rFonts w:ascii="Times New Roman" w:eastAsia="Times New Roman" w:hAnsi="Times New Roman" w:cs="Times New Roman"/>
          <w:sz w:val="20"/>
          <w:szCs w:val="20"/>
        </w:rPr>
        <w:t xml:space="preserve">. The linear correlation coefficient between the </w:t>
      </w:r>
      <w:r w:rsidR="0056422E" w:rsidRPr="000C5DB9">
        <w:rPr>
          <w:rFonts w:ascii="Times New Roman" w:eastAsia="Times New Roman" w:hAnsi="Times New Roman" w:cs="Times New Roman"/>
          <w:sz w:val="20"/>
          <w:szCs w:val="20"/>
        </w:rPr>
        <w:t>reanalysis</w:t>
      </w:r>
      <w:r w:rsidRPr="000C5DB9">
        <w:rPr>
          <w:rFonts w:ascii="Times New Roman" w:eastAsia="Times New Roman" w:hAnsi="Times New Roman" w:cs="Times New Roman"/>
          <w:sz w:val="20"/>
          <w:szCs w:val="20"/>
        </w:rPr>
        <w:t xml:space="preserve"> and </w:t>
      </w:r>
      <w:r w:rsidR="00F43D52" w:rsidRPr="000C5DB9">
        <w:rPr>
          <w:rFonts w:ascii="Times New Roman" w:eastAsia="Times New Roman" w:hAnsi="Times New Roman" w:cs="Times New Roman"/>
          <w:sz w:val="20"/>
          <w:szCs w:val="20"/>
        </w:rPr>
        <w:t>the observed (altimetry or tide-gauge) time series is shown in the top-right</w:t>
      </w:r>
      <w:r w:rsidRPr="000C5DB9">
        <w:rPr>
          <w:rFonts w:ascii="Times New Roman" w:eastAsia="Times New Roman" w:hAnsi="Times New Roman" w:cs="Times New Roman"/>
          <w:sz w:val="20"/>
          <w:szCs w:val="20"/>
        </w:rPr>
        <w:t xml:space="preserve"> corner of each panel. The black curve represents the decadal signal from </w:t>
      </w:r>
      <w:r w:rsidR="0056422E" w:rsidRPr="000C5DB9">
        <w:rPr>
          <w:rFonts w:ascii="Times New Roman" w:eastAsia="Times New Roman" w:hAnsi="Times New Roman" w:cs="Times New Roman"/>
          <w:sz w:val="20"/>
          <w:szCs w:val="20"/>
        </w:rPr>
        <w:t xml:space="preserve">the ensemble </w:t>
      </w:r>
      <w:r w:rsidRPr="000C5DB9">
        <w:rPr>
          <w:rFonts w:ascii="Times New Roman" w:eastAsia="Times New Roman" w:hAnsi="Times New Roman" w:cs="Times New Roman"/>
          <w:sz w:val="20"/>
          <w:szCs w:val="20"/>
        </w:rPr>
        <w:t>reanalys</w:t>
      </w:r>
      <w:r w:rsidR="0056422E" w:rsidRPr="000C5DB9">
        <w:rPr>
          <w:rFonts w:ascii="Times New Roman" w:eastAsia="Times New Roman" w:hAnsi="Times New Roman" w:cs="Times New Roman"/>
          <w:sz w:val="20"/>
          <w:szCs w:val="20"/>
        </w:rPr>
        <w:t>i</w:t>
      </w:r>
      <w:r w:rsidRPr="000C5DB9">
        <w:rPr>
          <w:rFonts w:ascii="Times New Roman" w:eastAsia="Times New Roman" w:hAnsi="Times New Roman" w:cs="Times New Roman"/>
          <w:sz w:val="20"/>
          <w:szCs w:val="20"/>
        </w:rPr>
        <w:t xml:space="preserve">s analysed in this study. </w:t>
      </w:r>
    </w:p>
    <w:p w14:paraId="00000017" w14:textId="4F98E1D9" w:rsidR="006770FC" w:rsidRPr="00645457" w:rsidRDefault="00645457">
      <w:pPr>
        <w:rPr>
          <w:rFonts w:ascii="Times New Roman" w:eastAsia="Times New Roman" w:hAnsi="Times New Roman" w:cs="Times New Roman"/>
        </w:rPr>
      </w:pPr>
      <w:r>
        <w:rPr>
          <w:rFonts w:ascii="Times New Roman" w:eastAsia="Times New Roman" w:hAnsi="Times New Roman" w:cs="Times New Roman"/>
        </w:rPr>
        <w:br w:type="page"/>
      </w:r>
    </w:p>
    <w:p w14:paraId="00000018" w14:textId="77777777" w:rsidR="006770FC" w:rsidRDefault="00000000" w:rsidP="001E3CB4">
      <w:pPr>
        <w:jc w:val="center"/>
        <w:rPr>
          <w:rFonts w:ascii="Times New Roman" w:eastAsia="Times New Roman" w:hAnsi="Times New Roman" w:cs="Times New Roman"/>
          <w:i/>
        </w:rPr>
      </w:pPr>
      <w:r>
        <w:rPr>
          <w:noProof/>
        </w:rPr>
        <w:lastRenderedPageBreak/>
        <w:drawing>
          <wp:inline distT="0" distB="0" distL="0" distR="0" wp14:anchorId="62AF9FA8" wp14:editId="596790D2">
            <wp:extent cx="3471863" cy="2164421"/>
            <wp:effectExtent l="0" t="0" r="0" b="7620"/>
            <wp:docPr id="16010870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471863" cy="2164421"/>
                    </a:xfrm>
                    <a:prstGeom prst="rect">
                      <a:avLst/>
                    </a:prstGeom>
                    <a:ln/>
                  </pic:spPr>
                </pic:pic>
              </a:graphicData>
            </a:graphic>
          </wp:inline>
        </w:drawing>
      </w:r>
    </w:p>
    <w:p w14:paraId="00000025" w14:textId="4571D8A3" w:rsidR="006770FC" w:rsidRPr="000C5DB9" w:rsidRDefault="00000000" w:rsidP="00F43D52">
      <w:pPr>
        <w:jc w:val="both"/>
        <w:rPr>
          <w:rFonts w:ascii="Times New Roman" w:eastAsia="Times New Roman" w:hAnsi="Times New Roman" w:cs="Times New Roman"/>
          <w:iCs/>
          <w:sz w:val="20"/>
          <w:szCs w:val="20"/>
        </w:rPr>
      </w:pPr>
      <w:r w:rsidRPr="000C5DB9">
        <w:rPr>
          <w:rFonts w:ascii="Times New Roman" w:eastAsia="Times New Roman" w:hAnsi="Times New Roman" w:cs="Times New Roman"/>
          <w:b/>
          <w:iCs/>
          <w:sz w:val="20"/>
          <w:szCs w:val="20"/>
        </w:rPr>
        <w:t>Figure S2</w:t>
      </w:r>
      <w:r w:rsidRPr="000C5DB9">
        <w:rPr>
          <w:rFonts w:ascii="Times New Roman" w:eastAsia="Times New Roman" w:hAnsi="Times New Roman" w:cs="Times New Roman"/>
          <w:iCs/>
          <w:sz w:val="20"/>
          <w:szCs w:val="20"/>
        </w:rPr>
        <w:t>: Frequency response diagram of a 5th-order Butterworth low-pass filter with a 7-year cutoff period</w:t>
      </w:r>
      <w:r w:rsidR="0056422E" w:rsidRPr="000C5DB9">
        <w:rPr>
          <w:rFonts w:ascii="Times New Roman" w:eastAsia="Times New Roman" w:hAnsi="Times New Roman" w:cs="Times New Roman"/>
          <w:iCs/>
          <w:sz w:val="20"/>
          <w:szCs w:val="20"/>
        </w:rPr>
        <w:t>, used in this study.</w:t>
      </w:r>
      <w:r w:rsidRPr="000C5DB9">
        <w:rPr>
          <w:rFonts w:ascii="Times New Roman" w:eastAsia="Times New Roman" w:hAnsi="Times New Roman" w:cs="Times New Roman"/>
          <w:iCs/>
          <w:sz w:val="20"/>
          <w:szCs w:val="20"/>
        </w:rPr>
        <w:t xml:space="preserve"> </w:t>
      </w:r>
    </w:p>
    <w:p w14:paraId="00000073" w14:textId="74B626E5" w:rsidR="00645457" w:rsidRDefault="001E3CB4">
      <w:pPr>
        <w:rPr>
          <w:rFonts w:ascii="Times New Roman" w:eastAsia="Times New Roman" w:hAnsi="Times New Roman" w:cs="Times New Roman"/>
          <w:iCs/>
        </w:rPr>
      </w:pPr>
      <w:r w:rsidRPr="00F43D52">
        <w:rPr>
          <w:rFonts w:ascii="Times New Roman" w:eastAsia="Times New Roman" w:hAnsi="Times New Roman" w:cs="Times New Roman"/>
          <w:iCs/>
        </w:rPr>
        <w:br w:type="page"/>
      </w:r>
    </w:p>
    <w:p w14:paraId="5F70B74B" w14:textId="03DB41E9" w:rsidR="00645457" w:rsidRDefault="0063650D" w:rsidP="00645457">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D7C49F6" wp14:editId="0B4233B1">
            <wp:extent cx="5733415" cy="2589530"/>
            <wp:effectExtent l="0" t="0" r="635" b="1270"/>
            <wp:docPr id="169415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7670" name="Picture 16941576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2589530"/>
                    </a:xfrm>
                    <a:prstGeom prst="rect">
                      <a:avLst/>
                    </a:prstGeom>
                  </pic:spPr>
                </pic:pic>
              </a:graphicData>
            </a:graphic>
          </wp:inline>
        </w:drawing>
      </w:r>
    </w:p>
    <w:p w14:paraId="02349DEE" w14:textId="4DECA9FD" w:rsidR="00294468" w:rsidRPr="000C5DB9" w:rsidRDefault="00645457" w:rsidP="00294468">
      <w:pPr>
        <w:jc w:val="both"/>
        <w:rPr>
          <w:rFonts w:ascii="Times New Roman" w:hAnsi="Times New Roman" w:cs="Times New Roman"/>
          <w:sz w:val="20"/>
          <w:szCs w:val="20"/>
        </w:rPr>
      </w:pPr>
      <w:r w:rsidRPr="000C5DB9">
        <w:rPr>
          <w:rFonts w:ascii="Times New Roman" w:hAnsi="Times New Roman" w:cs="Times New Roman"/>
          <w:b/>
          <w:bCs/>
          <w:sz w:val="20"/>
          <w:szCs w:val="20"/>
        </w:rPr>
        <w:t>Figure S3</w:t>
      </w:r>
      <w:r w:rsidRPr="000C5DB9">
        <w:rPr>
          <w:rFonts w:ascii="Times New Roman" w:hAnsi="Times New Roman" w:cs="Times New Roman"/>
          <w:sz w:val="20"/>
          <w:szCs w:val="20"/>
        </w:rPr>
        <w:t>: First two EOFs of decadal SST</w:t>
      </w:r>
      <w:r w:rsidR="0056422E" w:rsidRPr="000C5DB9">
        <w:rPr>
          <w:rFonts w:ascii="Times New Roman" w:hAnsi="Times New Roman" w:cs="Times New Roman"/>
          <w:sz w:val="20"/>
          <w:szCs w:val="20"/>
        </w:rPr>
        <w:t xml:space="preserve"> anomalies</w:t>
      </w:r>
      <w:r w:rsidRPr="000C5DB9">
        <w:rPr>
          <w:rFonts w:ascii="Times New Roman" w:hAnsi="Times New Roman" w:cs="Times New Roman"/>
          <w:sz w:val="20"/>
          <w:szCs w:val="20"/>
        </w:rPr>
        <w:t xml:space="preserve"> in the tropical Pacific. (a) Regression of decadal sea surface temperature (SST; shading) and wind stress (vectors) onto the normalised PC1. The red box indicates the region where the EOFs are computed. The black box in panel a is the Niño 3.4 region, and the dashed grey boxes represent the regions used </w:t>
      </w:r>
      <w:r w:rsidR="0056422E" w:rsidRPr="000C5DB9">
        <w:rPr>
          <w:rFonts w:ascii="Times New Roman" w:hAnsi="Times New Roman" w:cs="Times New Roman"/>
          <w:sz w:val="20"/>
          <w:szCs w:val="20"/>
        </w:rPr>
        <w:t xml:space="preserve">to calculate the ENSO Modoki index </w:t>
      </w:r>
      <w:r w:rsidRPr="000C5DB9">
        <w:rPr>
          <w:rFonts w:ascii="Times New Roman" w:hAnsi="Times New Roman" w:cs="Times New Roman"/>
          <w:sz w:val="20"/>
          <w:szCs w:val="20"/>
        </w:rPr>
        <w:t>(</w:t>
      </w:r>
      <w:r w:rsidR="003F6385" w:rsidRPr="000C5DB9">
        <w:rPr>
          <w:rFonts w:ascii="Times New Roman" w:hAnsi="Times New Roman" w:cs="Times New Roman"/>
          <w:sz w:val="20"/>
          <w:szCs w:val="20"/>
        </w:rPr>
        <w:t>Ashok et al.</w:t>
      </w:r>
      <w:r w:rsidR="0063650D" w:rsidRPr="000C5DB9">
        <w:rPr>
          <w:rFonts w:ascii="Times New Roman" w:hAnsi="Times New Roman" w:cs="Times New Roman"/>
          <w:sz w:val="20"/>
          <w:szCs w:val="20"/>
        </w:rPr>
        <w:t>,</w:t>
      </w:r>
      <w:r w:rsidR="003F6385" w:rsidRPr="000C5DB9">
        <w:rPr>
          <w:rFonts w:ascii="Times New Roman" w:hAnsi="Times New Roman" w:cs="Times New Roman"/>
          <w:sz w:val="20"/>
          <w:szCs w:val="20"/>
        </w:rPr>
        <w:t xml:space="preserve"> 2007</w:t>
      </w:r>
      <w:r w:rsidRPr="000C5DB9">
        <w:rPr>
          <w:rFonts w:ascii="Times New Roman" w:hAnsi="Times New Roman" w:cs="Times New Roman"/>
          <w:sz w:val="20"/>
          <w:szCs w:val="20"/>
        </w:rPr>
        <w:t>)</w:t>
      </w:r>
      <w:r w:rsidR="0063650D" w:rsidRPr="000C5DB9">
        <w:rPr>
          <w:rFonts w:ascii="Times New Roman" w:hAnsi="Times New Roman" w:cs="Times New Roman"/>
          <w:sz w:val="20"/>
          <w:szCs w:val="20"/>
        </w:rPr>
        <w:t>. Explained variance is shown in the top-left corner</w:t>
      </w:r>
      <w:r w:rsidRPr="000C5DB9">
        <w:rPr>
          <w:rFonts w:ascii="Times New Roman" w:hAnsi="Times New Roman" w:cs="Times New Roman"/>
          <w:sz w:val="20"/>
          <w:szCs w:val="20"/>
        </w:rPr>
        <w:t xml:space="preserve">. The PC1 and Niño3.4 indices are shown in panel c, with their linear correlation coefficient shown in the top-right corner. (b) Same as (a), but for the PC2. The normalised PC2 and the ENSO Modoki index are shown in panel d, with their linear correlation coefficient shown in the top-right corner. All fields are detrended over 1958–2022 and subjected to an </w:t>
      </w:r>
      <w:r w:rsidR="0056422E" w:rsidRPr="000C5DB9">
        <w:rPr>
          <w:rFonts w:ascii="Times New Roman" w:hAnsi="Times New Roman" w:cs="Times New Roman"/>
          <w:sz w:val="20"/>
          <w:szCs w:val="20"/>
        </w:rPr>
        <w:t>7-year</w:t>
      </w:r>
      <w:r w:rsidRPr="000C5DB9">
        <w:rPr>
          <w:rFonts w:ascii="Times New Roman" w:hAnsi="Times New Roman" w:cs="Times New Roman"/>
          <w:sz w:val="20"/>
          <w:szCs w:val="20"/>
        </w:rPr>
        <w:t xml:space="preserve"> low-pass filter. We consider PC1 and PC2 as the EOF-based ENSO index (EEI) and the EOF-based Modoki Index (EMI), in this study.</w:t>
      </w:r>
    </w:p>
    <w:p w14:paraId="5CD4D8DF" w14:textId="5E6A8B1F" w:rsidR="00645457" w:rsidRPr="00294468" w:rsidRDefault="00294468" w:rsidP="00294468">
      <w:pPr>
        <w:rPr>
          <w:rFonts w:ascii="Times New Roman" w:hAnsi="Times New Roman" w:cs="Times New Roman"/>
          <w:sz w:val="24"/>
          <w:szCs w:val="24"/>
        </w:rPr>
      </w:pPr>
      <w:r>
        <w:rPr>
          <w:rFonts w:ascii="Times New Roman" w:hAnsi="Times New Roman" w:cs="Times New Roman"/>
          <w:sz w:val="24"/>
          <w:szCs w:val="24"/>
        </w:rPr>
        <w:br w:type="page"/>
      </w:r>
    </w:p>
    <w:p w14:paraId="72486C54" w14:textId="77777777" w:rsidR="006770FC" w:rsidRPr="00F43D52" w:rsidRDefault="006770FC" w:rsidP="00F43D52">
      <w:pPr>
        <w:jc w:val="both"/>
        <w:rPr>
          <w:rFonts w:ascii="Times New Roman" w:eastAsia="Times New Roman" w:hAnsi="Times New Roman" w:cs="Times New Roman"/>
          <w:iCs/>
        </w:rPr>
      </w:pPr>
    </w:p>
    <w:p w14:paraId="00000074" w14:textId="73C3C435" w:rsidR="006770FC" w:rsidRDefault="00294468" w:rsidP="00294468">
      <w:pPr>
        <w:jc w:val="center"/>
        <w:rPr>
          <w:rFonts w:ascii="Times New Roman" w:eastAsia="Times New Roman" w:hAnsi="Times New Roman" w:cs="Times New Roman"/>
          <w:i/>
        </w:rPr>
      </w:pPr>
      <w:r>
        <w:rPr>
          <w:b/>
          <w:bCs/>
          <w:noProof/>
        </w:rPr>
        <w:drawing>
          <wp:inline distT="114300" distB="114300" distL="114300" distR="114300" wp14:anchorId="384B224F" wp14:editId="357010AF">
            <wp:extent cx="5731200" cy="3581400"/>
            <wp:effectExtent l="0" t="0" r="0" b="0"/>
            <wp:docPr id="189251588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5731200" cy="3581400"/>
                    </a:xfrm>
                    <a:prstGeom prst="rect">
                      <a:avLst/>
                    </a:prstGeom>
                    <a:ln/>
                  </pic:spPr>
                </pic:pic>
              </a:graphicData>
            </a:graphic>
          </wp:inline>
        </w:drawing>
      </w:r>
    </w:p>
    <w:p w14:paraId="00000075" w14:textId="77777777" w:rsidR="006770FC" w:rsidRDefault="006770FC">
      <w:pPr>
        <w:rPr>
          <w:rFonts w:ascii="Times New Roman" w:eastAsia="Times New Roman" w:hAnsi="Times New Roman" w:cs="Times New Roman"/>
          <w:i/>
        </w:rPr>
      </w:pPr>
    </w:p>
    <w:p w14:paraId="1517AE70" w14:textId="49572342" w:rsidR="00FD7593" w:rsidRPr="000C5DB9" w:rsidRDefault="00000000" w:rsidP="00FD7593">
      <w:pPr>
        <w:jc w:val="both"/>
        <w:rPr>
          <w:rFonts w:ascii="Times New Roman" w:eastAsia="Times New Roman" w:hAnsi="Times New Roman" w:cs="Times New Roman"/>
          <w:i/>
          <w:iCs/>
          <w:sz w:val="20"/>
          <w:szCs w:val="20"/>
        </w:rPr>
      </w:pPr>
      <w:r w:rsidRPr="000C5DB9">
        <w:rPr>
          <w:rFonts w:ascii="Times New Roman" w:eastAsia="Times New Roman" w:hAnsi="Times New Roman" w:cs="Times New Roman"/>
          <w:b/>
          <w:bCs/>
          <w:iCs/>
          <w:sz w:val="20"/>
          <w:szCs w:val="20"/>
        </w:rPr>
        <w:t>Figure S</w:t>
      </w:r>
      <w:r w:rsidR="00645457" w:rsidRPr="000C5DB9">
        <w:rPr>
          <w:rFonts w:ascii="Times New Roman" w:eastAsia="Times New Roman" w:hAnsi="Times New Roman" w:cs="Times New Roman"/>
          <w:b/>
          <w:bCs/>
          <w:iCs/>
          <w:sz w:val="20"/>
          <w:szCs w:val="20"/>
        </w:rPr>
        <w:t>4</w:t>
      </w:r>
      <w:r w:rsidRPr="000C5DB9">
        <w:rPr>
          <w:rFonts w:ascii="Times New Roman" w:eastAsia="Times New Roman" w:hAnsi="Times New Roman" w:cs="Times New Roman"/>
          <w:iCs/>
          <w:sz w:val="20"/>
          <w:szCs w:val="20"/>
        </w:rPr>
        <w:t xml:space="preserve">: (a) Regression </w:t>
      </w:r>
      <w:r w:rsidR="00F43D52" w:rsidRPr="000C5DB9">
        <w:rPr>
          <w:rFonts w:ascii="Times New Roman" w:eastAsia="Times New Roman" w:hAnsi="Times New Roman" w:cs="Times New Roman"/>
          <w:iCs/>
          <w:sz w:val="20"/>
          <w:szCs w:val="20"/>
        </w:rPr>
        <w:t>of WSC</w:t>
      </w:r>
      <w:r w:rsidRPr="000C5DB9">
        <w:rPr>
          <w:rFonts w:ascii="Times New Roman" w:eastAsia="Times New Roman" w:hAnsi="Times New Roman" w:cs="Times New Roman"/>
          <w:iCs/>
          <w:sz w:val="20"/>
          <w:szCs w:val="20"/>
        </w:rPr>
        <w:t xml:space="preserve"> (shading) and wind stress (vector) onto (</w:t>
      </w:r>
      <w:r w:rsidR="00F43D52" w:rsidRPr="000C5DB9">
        <w:rPr>
          <w:rFonts w:ascii="Times New Roman" w:eastAsia="Times New Roman" w:hAnsi="Times New Roman" w:cs="Times New Roman"/>
          <w:iCs/>
          <w:sz w:val="20"/>
          <w:szCs w:val="20"/>
        </w:rPr>
        <w:t>normalized</w:t>
      </w:r>
      <w:r w:rsidRPr="000C5DB9">
        <w:rPr>
          <w:rFonts w:ascii="Times New Roman" w:eastAsia="Times New Roman" w:hAnsi="Times New Roman" w:cs="Times New Roman"/>
          <w:iCs/>
          <w:sz w:val="20"/>
          <w:szCs w:val="20"/>
        </w:rPr>
        <w:t>) EEI. (b) same as (a) but for the (</w:t>
      </w:r>
      <w:r w:rsidR="00F43D52" w:rsidRPr="000C5DB9">
        <w:rPr>
          <w:rFonts w:ascii="Times New Roman" w:eastAsia="Times New Roman" w:hAnsi="Times New Roman" w:cs="Times New Roman"/>
          <w:iCs/>
          <w:sz w:val="20"/>
          <w:szCs w:val="20"/>
        </w:rPr>
        <w:t>normalized</w:t>
      </w:r>
      <w:r w:rsidRPr="000C5DB9">
        <w:rPr>
          <w:rFonts w:ascii="Times New Roman" w:eastAsia="Times New Roman" w:hAnsi="Times New Roman" w:cs="Times New Roman"/>
          <w:iCs/>
          <w:sz w:val="20"/>
          <w:szCs w:val="20"/>
        </w:rPr>
        <w:t xml:space="preserve">) EMI. The </w:t>
      </w:r>
      <w:r w:rsidR="0056422E" w:rsidRPr="000C5DB9">
        <w:rPr>
          <w:rFonts w:ascii="Times New Roman" w:eastAsia="Times New Roman" w:hAnsi="Times New Roman" w:cs="Times New Roman"/>
          <w:iCs/>
          <w:sz w:val="20"/>
          <w:szCs w:val="20"/>
        </w:rPr>
        <w:t xml:space="preserve">white dashed rectangle in the SEIO represents the region of maximum WSC associated with SWIO SLA, as shown in Fig. 1b. </w:t>
      </w:r>
      <w:r w:rsidRPr="000C5DB9">
        <w:rPr>
          <w:rFonts w:ascii="Times New Roman" w:eastAsia="Times New Roman" w:hAnsi="Times New Roman" w:cs="Times New Roman"/>
          <w:iCs/>
          <w:sz w:val="20"/>
          <w:szCs w:val="20"/>
        </w:rPr>
        <w:t xml:space="preserve">(c) Time series of decadal WSC averaged over the </w:t>
      </w:r>
      <w:r w:rsidR="00FD7593" w:rsidRPr="000C5DB9">
        <w:rPr>
          <w:rFonts w:ascii="Times New Roman" w:eastAsia="Times New Roman" w:hAnsi="Times New Roman" w:cs="Times New Roman"/>
          <w:iCs/>
          <w:sz w:val="20"/>
          <w:szCs w:val="20"/>
        </w:rPr>
        <w:t>SEIO (</w:t>
      </w:r>
      <w:r w:rsidRPr="000C5DB9">
        <w:rPr>
          <w:rFonts w:ascii="Times New Roman" w:eastAsia="Times New Roman" w:hAnsi="Times New Roman" w:cs="Times New Roman"/>
          <w:iCs/>
          <w:sz w:val="20"/>
          <w:szCs w:val="20"/>
        </w:rPr>
        <w:t>dashed white box</w:t>
      </w:r>
      <w:r w:rsidR="00FD7593" w:rsidRPr="000C5DB9">
        <w:rPr>
          <w:rFonts w:ascii="Times New Roman" w:eastAsia="Times New Roman" w:hAnsi="Times New Roman" w:cs="Times New Roman"/>
          <w:iCs/>
          <w:sz w:val="20"/>
          <w:szCs w:val="20"/>
        </w:rPr>
        <w:t xml:space="preserve">; </w:t>
      </w:r>
      <w:r w:rsidRPr="000C5DB9">
        <w:rPr>
          <w:rFonts w:ascii="Times New Roman" w:eastAsia="Times New Roman" w:hAnsi="Times New Roman" w:cs="Times New Roman"/>
          <w:iCs/>
          <w:sz w:val="20"/>
          <w:szCs w:val="20"/>
        </w:rPr>
        <w:t>grey), EEI-</w:t>
      </w:r>
      <w:r w:rsidR="00F43D52" w:rsidRPr="000C5DB9">
        <w:rPr>
          <w:rFonts w:ascii="Times New Roman" w:eastAsia="Times New Roman" w:hAnsi="Times New Roman" w:cs="Times New Roman"/>
          <w:iCs/>
          <w:sz w:val="20"/>
          <w:szCs w:val="20"/>
        </w:rPr>
        <w:t xml:space="preserve">driven </w:t>
      </w:r>
      <w:r w:rsidRPr="000C5DB9">
        <w:rPr>
          <w:rFonts w:ascii="Times New Roman" w:eastAsia="Times New Roman" w:hAnsi="Times New Roman" w:cs="Times New Roman"/>
          <w:iCs/>
          <w:sz w:val="20"/>
          <w:szCs w:val="20"/>
        </w:rPr>
        <w:t>(blue) and EMI-driven</w:t>
      </w:r>
      <w:r w:rsidR="00FD7593" w:rsidRPr="000C5DB9">
        <w:rPr>
          <w:rFonts w:ascii="Times New Roman" w:eastAsia="Times New Roman" w:hAnsi="Times New Roman" w:cs="Times New Roman"/>
          <w:iCs/>
          <w:sz w:val="20"/>
          <w:szCs w:val="20"/>
        </w:rPr>
        <w:t xml:space="preserve"> </w:t>
      </w:r>
      <w:r w:rsidRPr="000C5DB9">
        <w:rPr>
          <w:rFonts w:ascii="Times New Roman" w:eastAsia="Times New Roman" w:hAnsi="Times New Roman" w:cs="Times New Roman"/>
          <w:iCs/>
          <w:sz w:val="20"/>
          <w:szCs w:val="20"/>
        </w:rPr>
        <w:t>(red)</w:t>
      </w:r>
      <w:r w:rsidR="00FD7593" w:rsidRPr="000C5DB9">
        <w:rPr>
          <w:rFonts w:ascii="Times New Roman" w:eastAsia="Times New Roman" w:hAnsi="Times New Roman" w:cs="Times New Roman"/>
          <w:iCs/>
          <w:sz w:val="20"/>
          <w:szCs w:val="20"/>
        </w:rPr>
        <w:t xml:space="preserve"> WSC in the SEIO</w:t>
      </w:r>
      <w:r w:rsidRPr="000C5DB9">
        <w:rPr>
          <w:rFonts w:ascii="Times New Roman" w:eastAsia="Times New Roman" w:hAnsi="Times New Roman" w:cs="Times New Roman"/>
          <w:iCs/>
          <w:sz w:val="20"/>
          <w:szCs w:val="20"/>
        </w:rPr>
        <w:t xml:space="preserve">. The EEI- and EMI-driven WSC are computed using </w:t>
      </w:r>
      <w:r w:rsidR="00F43D52" w:rsidRPr="000C5DB9">
        <w:rPr>
          <w:rFonts w:ascii="Times New Roman" w:eastAsia="Times New Roman" w:hAnsi="Times New Roman" w:cs="Times New Roman"/>
          <w:iCs/>
          <w:sz w:val="20"/>
          <w:szCs w:val="20"/>
        </w:rPr>
        <w:t xml:space="preserve">regression models of </w:t>
      </w:r>
      <w:r w:rsidR="00FD7593" w:rsidRPr="000C5DB9">
        <w:rPr>
          <w:rFonts w:ascii="Times New Roman" w:eastAsia="Times New Roman" w:hAnsi="Times New Roman" w:cs="Times New Roman"/>
          <w:iCs/>
          <w:sz w:val="20"/>
          <w:szCs w:val="20"/>
        </w:rPr>
        <w:t xml:space="preserve">SEIO </w:t>
      </w:r>
      <w:r w:rsidR="00F43D52" w:rsidRPr="000C5DB9">
        <w:rPr>
          <w:rFonts w:ascii="Times New Roman" w:eastAsia="Times New Roman" w:hAnsi="Times New Roman" w:cs="Times New Roman"/>
          <w:iCs/>
          <w:sz w:val="20"/>
          <w:szCs w:val="20"/>
        </w:rPr>
        <w:t>WSC on</w:t>
      </w:r>
      <w:r w:rsidRPr="000C5DB9">
        <w:rPr>
          <w:rFonts w:ascii="Times New Roman" w:eastAsia="Times New Roman" w:hAnsi="Times New Roman" w:cs="Times New Roman"/>
          <w:iCs/>
          <w:sz w:val="20"/>
          <w:szCs w:val="20"/>
        </w:rPr>
        <w:t xml:space="preserve"> EEI and EMI, respectively. (d) Time series of decadal </w:t>
      </w:r>
      <w:r w:rsidR="00FD7593" w:rsidRPr="000C5DB9">
        <w:rPr>
          <w:rFonts w:ascii="Times New Roman" w:eastAsia="Times New Roman" w:hAnsi="Times New Roman" w:cs="Times New Roman"/>
          <w:iCs/>
          <w:sz w:val="20"/>
          <w:szCs w:val="20"/>
        </w:rPr>
        <w:t>SLA</w:t>
      </w:r>
      <w:r w:rsidRPr="000C5DB9">
        <w:rPr>
          <w:rFonts w:ascii="Times New Roman" w:eastAsia="Times New Roman" w:hAnsi="Times New Roman" w:cs="Times New Roman"/>
          <w:iCs/>
          <w:sz w:val="20"/>
          <w:szCs w:val="20"/>
        </w:rPr>
        <w:t xml:space="preserve"> in </w:t>
      </w:r>
      <w:r w:rsidR="00F43D52" w:rsidRPr="000C5DB9">
        <w:rPr>
          <w:rFonts w:ascii="Times New Roman" w:eastAsia="Times New Roman" w:hAnsi="Times New Roman" w:cs="Times New Roman"/>
          <w:iCs/>
          <w:sz w:val="20"/>
          <w:szCs w:val="20"/>
        </w:rPr>
        <w:t>the SWIO</w:t>
      </w:r>
      <w:r w:rsidRPr="000C5DB9">
        <w:rPr>
          <w:rFonts w:ascii="Times New Roman" w:eastAsia="Times New Roman" w:hAnsi="Times New Roman" w:cs="Times New Roman"/>
          <w:iCs/>
          <w:sz w:val="20"/>
          <w:szCs w:val="20"/>
        </w:rPr>
        <w:t xml:space="preserve"> (black), </w:t>
      </w:r>
      <w:r w:rsidR="00FD7593" w:rsidRPr="000C5DB9">
        <w:rPr>
          <w:rFonts w:ascii="Times New Roman" w:eastAsia="Times New Roman" w:hAnsi="Times New Roman" w:cs="Times New Roman"/>
          <w:iCs/>
          <w:sz w:val="20"/>
          <w:szCs w:val="20"/>
        </w:rPr>
        <w:t xml:space="preserve">WSC averaged in the SEIO (white box in panel a), and </w:t>
      </w:r>
      <w:r w:rsidR="00FD7593" w:rsidRPr="000C5DB9">
        <w:rPr>
          <w:rFonts w:ascii="Times New Roman" w:eastAsia="Times New Roman" w:hAnsi="Times New Roman" w:cs="Times New Roman"/>
          <w:sz w:val="20"/>
          <w:szCs w:val="20"/>
        </w:rPr>
        <w:t>SEIO WSC estimated by a linear regression model based on EEI and EMI.</w:t>
      </w:r>
    </w:p>
    <w:p w14:paraId="38109CC8" w14:textId="488BB47D" w:rsidR="00FD7593" w:rsidRDefault="00FD7593" w:rsidP="00F43D52">
      <w:pPr>
        <w:jc w:val="both"/>
        <w:rPr>
          <w:rFonts w:ascii="Times New Roman" w:eastAsia="Times New Roman" w:hAnsi="Times New Roman" w:cs="Times New Roman"/>
          <w:iCs/>
          <w:sz w:val="24"/>
          <w:szCs w:val="24"/>
        </w:rPr>
      </w:pPr>
    </w:p>
    <w:p w14:paraId="026C702A" w14:textId="77777777" w:rsidR="00FD7593" w:rsidRDefault="00FD7593" w:rsidP="00F43D52">
      <w:pPr>
        <w:jc w:val="both"/>
        <w:rPr>
          <w:rFonts w:ascii="Times New Roman" w:eastAsia="Times New Roman" w:hAnsi="Times New Roman" w:cs="Times New Roman"/>
          <w:iCs/>
          <w:sz w:val="24"/>
          <w:szCs w:val="24"/>
        </w:rPr>
      </w:pPr>
    </w:p>
    <w:p w14:paraId="00000077" w14:textId="77777777" w:rsidR="006770FC" w:rsidRDefault="00000000">
      <w:pPr>
        <w:rPr>
          <w:rFonts w:ascii="Times New Roman" w:eastAsia="Times New Roman" w:hAnsi="Times New Roman" w:cs="Times New Roman"/>
          <w:i/>
        </w:rPr>
      </w:pPr>
      <w:r>
        <w:rPr>
          <w:rFonts w:ascii="Times New Roman" w:eastAsia="Times New Roman" w:hAnsi="Times New Roman" w:cs="Times New Roman"/>
          <w:i/>
        </w:rPr>
        <w:t xml:space="preserve">   </w:t>
      </w:r>
    </w:p>
    <w:p w14:paraId="00000078" w14:textId="77777777" w:rsidR="006770FC" w:rsidRDefault="006770FC">
      <w:pPr>
        <w:rPr>
          <w:rFonts w:ascii="Times New Roman" w:eastAsia="Times New Roman" w:hAnsi="Times New Roman" w:cs="Times New Roman"/>
          <w:i/>
        </w:rPr>
      </w:pPr>
    </w:p>
    <w:p w14:paraId="00000079" w14:textId="77777777" w:rsidR="006770FC" w:rsidRDefault="006770FC">
      <w:pPr>
        <w:rPr>
          <w:rFonts w:ascii="Times New Roman" w:eastAsia="Times New Roman" w:hAnsi="Times New Roman" w:cs="Times New Roman"/>
          <w:i/>
        </w:rPr>
      </w:pPr>
    </w:p>
    <w:p w14:paraId="0000007A" w14:textId="77777777" w:rsidR="006770FC" w:rsidRDefault="006770FC">
      <w:pPr>
        <w:rPr>
          <w:rFonts w:ascii="Times New Roman" w:eastAsia="Times New Roman" w:hAnsi="Times New Roman" w:cs="Times New Roman"/>
          <w:i/>
        </w:rPr>
      </w:pPr>
    </w:p>
    <w:p w14:paraId="0000007B" w14:textId="77777777" w:rsidR="006770FC" w:rsidRDefault="006770FC">
      <w:pPr>
        <w:rPr>
          <w:rFonts w:ascii="Times New Roman" w:eastAsia="Times New Roman" w:hAnsi="Times New Roman" w:cs="Times New Roman"/>
          <w:i/>
        </w:rPr>
      </w:pPr>
    </w:p>
    <w:p w14:paraId="0000007C" w14:textId="404E6A72" w:rsidR="006770FC" w:rsidRDefault="00294468" w:rsidP="00294468">
      <w:pPr>
        <w:jc w:val="center"/>
        <w:rPr>
          <w:rFonts w:ascii="Times New Roman" w:eastAsia="Times New Roman" w:hAnsi="Times New Roman" w:cs="Times New Roman"/>
          <w:i/>
        </w:rPr>
      </w:pPr>
      <w:r>
        <w:rPr>
          <w:noProof/>
          <w:color w:val="000000"/>
        </w:rPr>
        <w:lastRenderedPageBreak/>
        <w:drawing>
          <wp:inline distT="0" distB="0" distL="114300" distR="114300" wp14:anchorId="1B567EBE" wp14:editId="60490501">
            <wp:extent cx="5724525" cy="2619375"/>
            <wp:effectExtent l="0" t="0" r="0" b="0"/>
            <wp:docPr id="189251589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5724525" cy="2619375"/>
                    </a:xfrm>
                    <a:prstGeom prst="rect">
                      <a:avLst/>
                    </a:prstGeom>
                    <a:ln/>
                  </pic:spPr>
                </pic:pic>
              </a:graphicData>
            </a:graphic>
          </wp:inline>
        </w:drawing>
      </w:r>
    </w:p>
    <w:p w14:paraId="0000007D" w14:textId="08D8E9C3" w:rsidR="006770FC" w:rsidRPr="000C5DB9" w:rsidRDefault="00000000" w:rsidP="00F43D52">
      <w:pPr>
        <w:jc w:val="both"/>
        <w:rPr>
          <w:rFonts w:ascii="Times New Roman" w:eastAsia="Times New Roman" w:hAnsi="Times New Roman" w:cs="Times New Roman"/>
          <w:iCs/>
          <w:sz w:val="20"/>
          <w:szCs w:val="20"/>
        </w:rPr>
      </w:pPr>
      <w:r w:rsidRPr="000C5DB9">
        <w:rPr>
          <w:rFonts w:ascii="Times New Roman" w:eastAsia="Times New Roman" w:hAnsi="Times New Roman" w:cs="Times New Roman"/>
          <w:b/>
          <w:bCs/>
          <w:iCs/>
          <w:sz w:val="20"/>
          <w:szCs w:val="20"/>
        </w:rPr>
        <w:t>Figure S</w:t>
      </w:r>
      <w:r w:rsidR="00645457" w:rsidRPr="000C5DB9">
        <w:rPr>
          <w:rFonts w:ascii="Times New Roman" w:eastAsia="Times New Roman" w:hAnsi="Times New Roman" w:cs="Times New Roman"/>
          <w:b/>
          <w:bCs/>
          <w:iCs/>
          <w:sz w:val="20"/>
          <w:szCs w:val="20"/>
        </w:rPr>
        <w:t>5</w:t>
      </w:r>
      <w:r w:rsidRPr="000C5DB9">
        <w:rPr>
          <w:rFonts w:ascii="Times New Roman" w:eastAsia="Times New Roman" w:hAnsi="Times New Roman" w:cs="Times New Roman"/>
          <w:iCs/>
          <w:sz w:val="20"/>
          <w:szCs w:val="20"/>
        </w:rPr>
        <w:t xml:space="preserve">: Regression of ensemble-mean </w:t>
      </w:r>
      <w:r w:rsidR="00A564BC" w:rsidRPr="000C5DB9">
        <w:rPr>
          <w:rFonts w:ascii="Times New Roman" w:eastAsia="Times New Roman" w:hAnsi="Times New Roman" w:cs="Times New Roman"/>
          <w:iCs/>
          <w:sz w:val="20"/>
          <w:szCs w:val="20"/>
        </w:rPr>
        <w:t>decadal SLA</w:t>
      </w:r>
      <w:r w:rsidRPr="000C5DB9">
        <w:rPr>
          <w:rFonts w:ascii="Times New Roman" w:eastAsia="Times New Roman" w:hAnsi="Times New Roman" w:cs="Times New Roman"/>
          <w:iCs/>
          <w:sz w:val="20"/>
          <w:szCs w:val="20"/>
        </w:rPr>
        <w:t xml:space="preserve"> (shading) and wind stress (vectors) onto </w:t>
      </w:r>
      <w:r w:rsidR="00F43D52" w:rsidRPr="000C5DB9">
        <w:rPr>
          <w:rFonts w:ascii="Times New Roman" w:eastAsia="Times New Roman" w:hAnsi="Times New Roman" w:cs="Times New Roman"/>
          <w:iCs/>
          <w:sz w:val="20"/>
          <w:szCs w:val="20"/>
        </w:rPr>
        <w:t>normalized</w:t>
      </w:r>
      <w:r w:rsidRPr="000C5DB9">
        <w:rPr>
          <w:rFonts w:ascii="Times New Roman" w:eastAsia="Times New Roman" w:hAnsi="Times New Roman" w:cs="Times New Roman"/>
          <w:iCs/>
          <w:sz w:val="20"/>
          <w:szCs w:val="20"/>
        </w:rPr>
        <w:t xml:space="preserve"> </w:t>
      </w:r>
      <w:r w:rsidR="00A564BC" w:rsidRPr="000C5DB9">
        <w:rPr>
          <w:rFonts w:ascii="Times New Roman" w:eastAsia="Times New Roman" w:hAnsi="Times New Roman" w:cs="Times New Roman"/>
          <w:iCs/>
          <w:sz w:val="20"/>
          <w:szCs w:val="20"/>
        </w:rPr>
        <w:t>decadal SLA</w:t>
      </w:r>
      <w:r w:rsidRPr="000C5DB9">
        <w:rPr>
          <w:rFonts w:ascii="Times New Roman" w:eastAsia="Times New Roman" w:hAnsi="Times New Roman" w:cs="Times New Roman"/>
          <w:iCs/>
          <w:sz w:val="20"/>
          <w:szCs w:val="20"/>
        </w:rPr>
        <w:t xml:space="preserve"> averaged </w:t>
      </w:r>
      <w:r w:rsidR="00A564BC" w:rsidRPr="000C5DB9">
        <w:rPr>
          <w:rFonts w:ascii="Times New Roman" w:eastAsia="Times New Roman" w:hAnsi="Times New Roman" w:cs="Times New Roman"/>
          <w:iCs/>
          <w:sz w:val="20"/>
          <w:szCs w:val="20"/>
        </w:rPr>
        <w:t xml:space="preserve">in the </w:t>
      </w:r>
      <w:r w:rsidRPr="000C5DB9">
        <w:rPr>
          <w:rFonts w:ascii="Times New Roman" w:eastAsia="Times New Roman" w:hAnsi="Times New Roman" w:cs="Times New Roman"/>
          <w:iCs/>
          <w:sz w:val="20"/>
          <w:szCs w:val="20"/>
        </w:rPr>
        <w:t>S</w:t>
      </w:r>
      <w:r w:rsidR="00A564BC" w:rsidRPr="000C5DB9">
        <w:rPr>
          <w:rFonts w:ascii="Times New Roman" w:eastAsia="Times New Roman" w:hAnsi="Times New Roman" w:cs="Times New Roman"/>
          <w:iCs/>
          <w:sz w:val="20"/>
          <w:szCs w:val="20"/>
        </w:rPr>
        <w:t>W</w:t>
      </w:r>
      <w:r w:rsidRPr="000C5DB9">
        <w:rPr>
          <w:rFonts w:ascii="Times New Roman" w:eastAsia="Times New Roman" w:hAnsi="Times New Roman" w:cs="Times New Roman"/>
          <w:iCs/>
          <w:sz w:val="20"/>
          <w:szCs w:val="20"/>
        </w:rPr>
        <w:t xml:space="preserve">IO at a lag </w:t>
      </w:r>
      <w:r w:rsidR="00A564BC" w:rsidRPr="000C5DB9">
        <w:rPr>
          <w:rFonts w:ascii="Times New Roman" w:eastAsia="Times New Roman" w:hAnsi="Times New Roman" w:cs="Times New Roman"/>
          <w:iCs/>
          <w:sz w:val="20"/>
          <w:szCs w:val="20"/>
        </w:rPr>
        <w:t xml:space="preserve">of -4 to +4 years with a </w:t>
      </w:r>
      <w:r w:rsidRPr="000C5DB9">
        <w:rPr>
          <w:rFonts w:ascii="Times New Roman" w:eastAsia="Times New Roman" w:hAnsi="Times New Roman" w:cs="Times New Roman"/>
          <w:iCs/>
          <w:sz w:val="20"/>
          <w:szCs w:val="20"/>
        </w:rPr>
        <w:t xml:space="preserve">one-year </w:t>
      </w:r>
      <w:r w:rsidR="00F43D52" w:rsidRPr="000C5DB9">
        <w:rPr>
          <w:rFonts w:ascii="Times New Roman" w:eastAsia="Times New Roman" w:hAnsi="Times New Roman" w:cs="Times New Roman"/>
          <w:iCs/>
          <w:sz w:val="20"/>
          <w:szCs w:val="20"/>
        </w:rPr>
        <w:t>interval.</w:t>
      </w:r>
      <w:r w:rsidRPr="000C5DB9">
        <w:rPr>
          <w:rFonts w:ascii="Times New Roman" w:eastAsia="Times New Roman" w:hAnsi="Times New Roman" w:cs="Times New Roman"/>
          <w:iCs/>
          <w:sz w:val="20"/>
          <w:szCs w:val="20"/>
        </w:rPr>
        <w:t xml:space="preserve"> The lag is indicated at the left-top of each panel. The black box represents the S</w:t>
      </w:r>
      <w:r w:rsidR="00A564BC" w:rsidRPr="000C5DB9">
        <w:rPr>
          <w:rFonts w:ascii="Times New Roman" w:eastAsia="Times New Roman" w:hAnsi="Times New Roman" w:cs="Times New Roman"/>
          <w:iCs/>
          <w:sz w:val="20"/>
          <w:szCs w:val="20"/>
        </w:rPr>
        <w:t>W</w:t>
      </w:r>
      <w:r w:rsidRPr="000C5DB9">
        <w:rPr>
          <w:rFonts w:ascii="Times New Roman" w:eastAsia="Times New Roman" w:hAnsi="Times New Roman" w:cs="Times New Roman"/>
          <w:iCs/>
          <w:sz w:val="20"/>
          <w:szCs w:val="20"/>
        </w:rPr>
        <w:t xml:space="preserve">IO where </w:t>
      </w:r>
      <w:r w:rsidR="00A564BC" w:rsidRPr="000C5DB9">
        <w:rPr>
          <w:rFonts w:ascii="Times New Roman" w:eastAsia="Times New Roman" w:hAnsi="Times New Roman" w:cs="Times New Roman"/>
          <w:iCs/>
          <w:sz w:val="20"/>
          <w:szCs w:val="20"/>
        </w:rPr>
        <w:t>SLA</w:t>
      </w:r>
      <w:r w:rsidRPr="000C5DB9">
        <w:rPr>
          <w:rFonts w:ascii="Times New Roman" w:eastAsia="Times New Roman" w:hAnsi="Times New Roman" w:cs="Times New Roman"/>
          <w:iCs/>
          <w:sz w:val="20"/>
          <w:szCs w:val="20"/>
        </w:rPr>
        <w:t xml:space="preserve"> is averaged. </w:t>
      </w:r>
    </w:p>
    <w:p w14:paraId="0000007E" w14:textId="77777777" w:rsidR="006770FC" w:rsidRDefault="00000000">
      <w:pPr>
        <w:rPr>
          <w:rFonts w:ascii="Times New Roman" w:eastAsia="Times New Roman" w:hAnsi="Times New Roman" w:cs="Times New Roman"/>
          <w:i/>
        </w:rPr>
      </w:pPr>
      <w:r>
        <w:br w:type="page"/>
      </w:r>
    </w:p>
    <w:p w14:paraId="0000007F" w14:textId="77777777" w:rsidR="006770FC" w:rsidRDefault="006770FC">
      <w:pPr>
        <w:rPr>
          <w:rFonts w:ascii="Times New Roman" w:eastAsia="Times New Roman" w:hAnsi="Times New Roman" w:cs="Times New Roman"/>
          <w:i/>
        </w:rPr>
      </w:pPr>
    </w:p>
    <w:p w14:paraId="1B973C75" w14:textId="5C4979CF" w:rsidR="00AF409D" w:rsidRDefault="00294468" w:rsidP="00AF409D">
      <w:pPr>
        <w:keepNext/>
        <w:jc w:val="center"/>
      </w:pPr>
      <w:r>
        <w:rPr>
          <w:b/>
          <w:bCs/>
          <w:noProof/>
        </w:rPr>
        <w:drawing>
          <wp:inline distT="114300" distB="114300" distL="114300" distR="114300" wp14:anchorId="09D2CF2C" wp14:editId="77627DB5">
            <wp:extent cx="5731200" cy="2362200"/>
            <wp:effectExtent l="0" t="0" r="0" b="0"/>
            <wp:docPr id="18925158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1200" cy="2362200"/>
                    </a:xfrm>
                    <a:prstGeom prst="rect">
                      <a:avLst/>
                    </a:prstGeom>
                    <a:ln/>
                  </pic:spPr>
                </pic:pic>
              </a:graphicData>
            </a:graphic>
          </wp:inline>
        </w:drawing>
      </w:r>
    </w:p>
    <w:p w14:paraId="00000086" w14:textId="49B79173" w:rsidR="006770FC" w:rsidRPr="000C5DB9" w:rsidRDefault="00AF409D" w:rsidP="00A61742">
      <w:pPr>
        <w:rPr>
          <w:rFonts w:ascii="Times New Roman" w:hAnsi="Times New Roman" w:cs="Times New Roman"/>
          <w:sz w:val="20"/>
          <w:szCs w:val="20"/>
        </w:rPr>
      </w:pPr>
      <w:r w:rsidRPr="000C5DB9">
        <w:rPr>
          <w:rFonts w:ascii="Times New Roman" w:hAnsi="Times New Roman" w:cs="Times New Roman"/>
          <w:b/>
          <w:bCs/>
          <w:sz w:val="20"/>
          <w:szCs w:val="20"/>
        </w:rPr>
        <w:t>Figure S6</w:t>
      </w:r>
      <w:r w:rsidRPr="000C5DB9">
        <w:rPr>
          <w:rFonts w:ascii="Times New Roman" w:hAnsi="Times New Roman" w:cs="Times New Roman"/>
          <w:sz w:val="20"/>
          <w:szCs w:val="20"/>
        </w:rPr>
        <w:t xml:space="preserve">: Regression of decadal SLA onto a) EEI and b) EMI (shading). The explained variance from the regression is overlaid with contours in each panel.  </w:t>
      </w:r>
    </w:p>
    <w:p w14:paraId="00000087" w14:textId="77777777" w:rsidR="006770FC" w:rsidRDefault="006770FC">
      <w:pPr>
        <w:rPr>
          <w:rFonts w:ascii="Times New Roman" w:eastAsia="Times New Roman" w:hAnsi="Times New Roman" w:cs="Times New Roman"/>
          <w:i/>
        </w:rPr>
      </w:pPr>
    </w:p>
    <w:p w14:paraId="00000088" w14:textId="77777777" w:rsidR="006770FC" w:rsidRDefault="006770FC">
      <w:pPr>
        <w:rPr>
          <w:rFonts w:ascii="Times New Roman" w:eastAsia="Times New Roman" w:hAnsi="Times New Roman" w:cs="Times New Roman"/>
          <w:i/>
        </w:rPr>
      </w:pPr>
    </w:p>
    <w:p w14:paraId="00000089" w14:textId="77777777" w:rsidR="006770FC" w:rsidRDefault="006770FC">
      <w:pPr>
        <w:rPr>
          <w:rFonts w:ascii="Times New Roman" w:eastAsia="Times New Roman" w:hAnsi="Times New Roman" w:cs="Times New Roman"/>
          <w:i/>
        </w:rPr>
      </w:pPr>
    </w:p>
    <w:p w14:paraId="0000008A" w14:textId="77777777" w:rsidR="006770FC" w:rsidRDefault="006770FC">
      <w:pPr>
        <w:rPr>
          <w:rFonts w:ascii="Times New Roman" w:eastAsia="Times New Roman" w:hAnsi="Times New Roman" w:cs="Times New Roman"/>
          <w:i/>
        </w:rPr>
      </w:pPr>
    </w:p>
    <w:p w14:paraId="0000008B" w14:textId="3606E22D" w:rsidR="001E3CB4" w:rsidRDefault="001E3CB4">
      <w:pPr>
        <w:rPr>
          <w:rFonts w:ascii="Times New Roman" w:eastAsia="Times New Roman" w:hAnsi="Times New Roman" w:cs="Times New Roman"/>
          <w:i/>
        </w:rPr>
      </w:pPr>
      <w:r>
        <w:rPr>
          <w:rFonts w:ascii="Times New Roman" w:eastAsia="Times New Roman" w:hAnsi="Times New Roman" w:cs="Times New Roman"/>
          <w:i/>
        </w:rPr>
        <w:br w:type="page"/>
      </w:r>
    </w:p>
    <w:p w14:paraId="00000096" w14:textId="2ACFCA74" w:rsidR="006770FC" w:rsidRDefault="00294468" w:rsidP="00294468">
      <w:pPr>
        <w:spacing w:before="240" w:after="240"/>
        <w:jc w:val="center"/>
        <w:rPr>
          <w:rFonts w:ascii="Times New Roman" w:eastAsia="Times New Roman" w:hAnsi="Times New Roman" w:cs="Times New Roman"/>
          <w:i/>
        </w:rPr>
      </w:pPr>
      <w:r>
        <w:rPr>
          <w:b/>
          <w:bCs/>
          <w:noProof/>
        </w:rPr>
        <w:lastRenderedPageBreak/>
        <w:drawing>
          <wp:inline distT="114300" distB="114300" distL="114300" distR="114300" wp14:anchorId="783E578B" wp14:editId="462594F1">
            <wp:extent cx="4483971" cy="3048000"/>
            <wp:effectExtent l="0" t="0" r="0" b="0"/>
            <wp:docPr id="189251588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487759" cy="3050575"/>
                    </a:xfrm>
                    <a:prstGeom prst="rect">
                      <a:avLst/>
                    </a:prstGeom>
                    <a:ln/>
                  </pic:spPr>
                </pic:pic>
              </a:graphicData>
            </a:graphic>
          </wp:inline>
        </w:drawing>
      </w:r>
    </w:p>
    <w:p w14:paraId="00000097" w14:textId="00E849E3" w:rsidR="006770FC" w:rsidRPr="000C5DB9" w:rsidRDefault="00000000">
      <w:pPr>
        <w:spacing w:before="240" w:after="240"/>
        <w:ind w:left="-566"/>
        <w:rPr>
          <w:rFonts w:ascii="Times New Roman" w:eastAsia="Times New Roman" w:hAnsi="Times New Roman" w:cs="Times New Roman"/>
          <w:iCs/>
          <w:sz w:val="20"/>
          <w:szCs w:val="20"/>
        </w:rPr>
      </w:pPr>
      <w:r w:rsidRPr="000C5DB9">
        <w:rPr>
          <w:rFonts w:ascii="Times New Roman" w:eastAsia="Times New Roman" w:hAnsi="Times New Roman" w:cs="Times New Roman"/>
          <w:b/>
          <w:bCs/>
          <w:iCs/>
          <w:sz w:val="20"/>
          <w:szCs w:val="20"/>
        </w:rPr>
        <w:t>Figure S</w:t>
      </w:r>
      <w:r w:rsidR="00A61742" w:rsidRPr="000C5DB9">
        <w:rPr>
          <w:rFonts w:ascii="Times New Roman" w:eastAsia="Times New Roman" w:hAnsi="Times New Roman" w:cs="Times New Roman"/>
          <w:b/>
          <w:bCs/>
          <w:iCs/>
          <w:sz w:val="20"/>
          <w:szCs w:val="20"/>
        </w:rPr>
        <w:t>7</w:t>
      </w:r>
      <w:r w:rsidRPr="000C5DB9">
        <w:rPr>
          <w:rFonts w:ascii="Times New Roman" w:eastAsia="Times New Roman" w:hAnsi="Times New Roman" w:cs="Times New Roman"/>
          <w:iCs/>
          <w:sz w:val="20"/>
          <w:szCs w:val="20"/>
        </w:rPr>
        <w:t>: Regression of residual wind stress curl (shading) and residual wind stress (vectors) onto the (normalised) IDI.</w:t>
      </w:r>
    </w:p>
    <w:p w14:paraId="305E1F30" w14:textId="77777777" w:rsidR="001E3CB4" w:rsidRDefault="001E3CB4">
      <w:pPr>
        <w:spacing w:before="240" w:after="240"/>
        <w:ind w:left="-566"/>
        <w:rPr>
          <w:rFonts w:ascii="Times New Roman" w:eastAsia="Times New Roman" w:hAnsi="Times New Roman" w:cs="Times New Roman"/>
          <w:i/>
        </w:rPr>
      </w:pPr>
    </w:p>
    <w:p w14:paraId="449A7667" w14:textId="4C2B1CCA" w:rsidR="001E3CB4" w:rsidRDefault="001E3CB4" w:rsidP="001E3CB4">
      <w:pPr>
        <w:rPr>
          <w:rFonts w:ascii="Times New Roman" w:eastAsia="Times New Roman" w:hAnsi="Times New Roman" w:cs="Times New Roman"/>
          <w:i/>
        </w:rPr>
      </w:pPr>
      <w:r>
        <w:rPr>
          <w:rFonts w:ascii="Times New Roman" w:eastAsia="Times New Roman" w:hAnsi="Times New Roman" w:cs="Times New Roman"/>
          <w:i/>
        </w:rPr>
        <w:br w:type="page"/>
      </w:r>
    </w:p>
    <w:p w14:paraId="74BD260E" w14:textId="77777777" w:rsidR="001E3CB4" w:rsidRDefault="001E3CB4" w:rsidP="001E3CB4">
      <w:pPr>
        <w:rPr>
          <w:rFonts w:ascii="Times New Roman" w:eastAsia="Times New Roman" w:hAnsi="Times New Roman" w:cs="Times New Roman"/>
          <w:i/>
        </w:rPr>
      </w:pPr>
    </w:p>
    <w:tbl>
      <w:tblPr>
        <w:tblW w:w="8865" w:type="dxa"/>
        <w:tblCellMar>
          <w:left w:w="0" w:type="dxa"/>
          <w:right w:w="0" w:type="dxa"/>
        </w:tblCellMar>
        <w:tblLook w:val="04A0" w:firstRow="1" w:lastRow="0" w:firstColumn="1" w:lastColumn="0" w:noHBand="0" w:noVBand="1"/>
      </w:tblPr>
      <w:tblGrid>
        <w:gridCol w:w="1511"/>
        <w:gridCol w:w="1033"/>
        <w:gridCol w:w="828"/>
        <w:gridCol w:w="1156"/>
        <w:gridCol w:w="918"/>
        <w:gridCol w:w="1067"/>
        <w:gridCol w:w="992"/>
        <w:gridCol w:w="1360"/>
      </w:tblGrid>
      <w:tr w:rsidR="009842C6" w:rsidRPr="000C5DB9" w14:paraId="40429123" w14:textId="77777777" w:rsidTr="009842C6">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365845"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03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E50372"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SWIO DSL</w:t>
            </w:r>
          </w:p>
        </w:tc>
        <w:tc>
          <w:tcPr>
            <w:tcW w:w="8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1DE9F"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EEI</w:t>
            </w:r>
          </w:p>
        </w:tc>
        <w:tc>
          <w:tcPr>
            <w:tcW w:w="115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8621B2"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Nino3.4 index</w:t>
            </w:r>
          </w:p>
        </w:tc>
        <w:tc>
          <w:tcPr>
            <w:tcW w:w="9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7A2C0"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EMI</w:t>
            </w:r>
          </w:p>
        </w:tc>
        <w:tc>
          <w:tcPr>
            <w:tcW w:w="10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B7E9C"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Modoki index</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F4FEDD"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EDMI</w:t>
            </w:r>
          </w:p>
        </w:tc>
        <w:tc>
          <w:tcPr>
            <w:tcW w:w="136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E2361B"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IOD index</w:t>
            </w:r>
          </w:p>
        </w:tc>
      </w:tr>
      <w:tr w:rsidR="009842C6" w:rsidRPr="000C5DB9" w14:paraId="1DF0F24F" w14:textId="77777777" w:rsidTr="009842C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C6B1B2"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SWIO DSL</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BEC87"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1</w:t>
            </w:r>
          </w:p>
        </w:tc>
        <w:tc>
          <w:tcPr>
            <w:tcW w:w="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CDE258"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1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101A4"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9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58C8D8"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0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1DDF43"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ACA2E"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FB336E" w14:textId="77777777" w:rsidR="009842C6" w:rsidRPr="000C5DB9" w:rsidRDefault="009842C6" w:rsidP="009842C6">
            <w:pPr>
              <w:jc w:val="both"/>
              <w:rPr>
                <w:rFonts w:ascii="Times New Roman" w:eastAsia="Times New Roman" w:hAnsi="Times New Roman" w:cs="Times New Roman"/>
                <w:iCs/>
                <w:sz w:val="20"/>
                <w:szCs w:val="20"/>
                <w:lang w:val="en-IN"/>
              </w:rPr>
            </w:pPr>
          </w:p>
        </w:tc>
      </w:tr>
      <w:tr w:rsidR="009842C6" w:rsidRPr="000C5DB9" w14:paraId="6F89C4C1" w14:textId="77777777" w:rsidTr="009842C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8C712E"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EEI</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EB932"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0.52</w:t>
            </w:r>
          </w:p>
        </w:tc>
        <w:tc>
          <w:tcPr>
            <w:tcW w:w="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37194"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1</w:t>
            </w:r>
          </w:p>
        </w:tc>
        <w:tc>
          <w:tcPr>
            <w:tcW w:w="11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9205F"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9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B9BAD"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0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501A68"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11EA75"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C933F" w14:textId="77777777" w:rsidR="009842C6" w:rsidRPr="000C5DB9" w:rsidRDefault="009842C6" w:rsidP="009842C6">
            <w:pPr>
              <w:jc w:val="both"/>
              <w:rPr>
                <w:rFonts w:ascii="Times New Roman" w:eastAsia="Times New Roman" w:hAnsi="Times New Roman" w:cs="Times New Roman"/>
                <w:iCs/>
                <w:sz w:val="20"/>
                <w:szCs w:val="20"/>
                <w:lang w:val="en-IN"/>
              </w:rPr>
            </w:pPr>
          </w:p>
        </w:tc>
      </w:tr>
      <w:tr w:rsidR="009842C6" w:rsidRPr="000C5DB9" w14:paraId="3C83B736" w14:textId="77777777" w:rsidTr="009842C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4E1D79"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Nino3.4 index</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CD5A16"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0.56</w:t>
            </w:r>
          </w:p>
        </w:tc>
        <w:tc>
          <w:tcPr>
            <w:tcW w:w="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05E17E" w14:textId="6429E450"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0.9</w:t>
            </w:r>
            <w:r w:rsidR="0063650D" w:rsidRPr="000C5DB9">
              <w:rPr>
                <w:rFonts w:ascii="Times New Roman" w:eastAsia="Times New Roman" w:hAnsi="Times New Roman" w:cs="Times New Roman"/>
                <w:b/>
                <w:bCs/>
                <w:iCs/>
                <w:sz w:val="20"/>
                <w:szCs w:val="20"/>
                <w:lang w:val="en-IN"/>
              </w:rPr>
              <w:t>7</w:t>
            </w:r>
          </w:p>
        </w:tc>
        <w:tc>
          <w:tcPr>
            <w:tcW w:w="11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A8A75F"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1</w:t>
            </w:r>
          </w:p>
        </w:tc>
        <w:tc>
          <w:tcPr>
            <w:tcW w:w="9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29A016"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0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F24C9"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632715"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DF3869" w14:textId="77777777" w:rsidR="009842C6" w:rsidRPr="000C5DB9" w:rsidRDefault="009842C6" w:rsidP="009842C6">
            <w:pPr>
              <w:jc w:val="both"/>
              <w:rPr>
                <w:rFonts w:ascii="Times New Roman" w:eastAsia="Times New Roman" w:hAnsi="Times New Roman" w:cs="Times New Roman"/>
                <w:iCs/>
                <w:sz w:val="20"/>
                <w:szCs w:val="20"/>
                <w:lang w:val="en-IN"/>
              </w:rPr>
            </w:pPr>
          </w:p>
        </w:tc>
      </w:tr>
      <w:tr w:rsidR="009842C6" w:rsidRPr="000C5DB9" w14:paraId="7E0A4932" w14:textId="77777777" w:rsidTr="009842C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186CC2"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EMI</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1115A8"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0.62</w:t>
            </w:r>
          </w:p>
        </w:tc>
        <w:tc>
          <w:tcPr>
            <w:tcW w:w="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8BD4D"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0.01</w:t>
            </w:r>
          </w:p>
        </w:tc>
        <w:tc>
          <w:tcPr>
            <w:tcW w:w="11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0302B3"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0.02</w:t>
            </w:r>
          </w:p>
        </w:tc>
        <w:tc>
          <w:tcPr>
            <w:tcW w:w="9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8B4AB1"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1</w:t>
            </w:r>
          </w:p>
        </w:tc>
        <w:tc>
          <w:tcPr>
            <w:tcW w:w="10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D54F2"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70B04B"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7E1B1" w14:textId="77777777" w:rsidR="009842C6" w:rsidRPr="000C5DB9" w:rsidRDefault="009842C6" w:rsidP="009842C6">
            <w:pPr>
              <w:jc w:val="both"/>
              <w:rPr>
                <w:rFonts w:ascii="Times New Roman" w:eastAsia="Times New Roman" w:hAnsi="Times New Roman" w:cs="Times New Roman"/>
                <w:iCs/>
                <w:sz w:val="20"/>
                <w:szCs w:val="20"/>
                <w:lang w:val="en-IN"/>
              </w:rPr>
            </w:pPr>
          </w:p>
        </w:tc>
      </w:tr>
      <w:tr w:rsidR="009842C6" w:rsidRPr="000C5DB9" w14:paraId="5DA92C93" w14:textId="77777777" w:rsidTr="009842C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A6F3C7"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Modoki index</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319CB"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0.78</w:t>
            </w:r>
          </w:p>
        </w:tc>
        <w:tc>
          <w:tcPr>
            <w:tcW w:w="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616E5D"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0.75</w:t>
            </w:r>
          </w:p>
        </w:tc>
        <w:tc>
          <w:tcPr>
            <w:tcW w:w="11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D3DC18"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0.77</w:t>
            </w:r>
          </w:p>
        </w:tc>
        <w:tc>
          <w:tcPr>
            <w:tcW w:w="9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F7DA8"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0.62</w:t>
            </w:r>
          </w:p>
        </w:tc>
        <w:tc>
          <w:tcPr>
            <w:tcW w:w="10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744FF3"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2C06C6" w14:textId="77777777" w:rsidR="009842C6" w:rsidRPr="000C5DB9" w:rsidRDefault="009842C6" w:rsidP="009842C6">
            <w:pPr>
              <w:jc w:val="both"/>
              <w:rPr>
                <w:rFonts w:ascii="Times New Roman" w:eastAsia="Times New Roman" w:hAnsi="Times New Roman" w:cs="Times New Roman"/>
                <w:iCs/>
                <w:sz w:val="20"/>
                <w:szCs w:val="20"/>
                <w:lang w:val="en-IN"/>
              </w:rPr>
            </w:pPr>
          </w:p>
        </w:tc>
        <w:tc>
          <w:tcPr>
            <w:tcW w:w="1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0CD08B" w14:textId="77777777" w:rsidR="009842C6" w:rsidRPr="000C5DB9" w:rsidRDefault="009842C6" w:rsidP="009842C6">
            <w:pPr>
              <w:jc w:val="both"/>
              <w:rPr>
                <w:rFonts w:ascii="Times New Roman" w:eastAsia="Times New Roman" w:hAnsi="Times New Roman" w:cs="Times New Roman"/>
                <w:iCs/>
                <w:sz w:val="20"/>
                <w:szCs w:val="20"/>
                <w:lang w:val="en-IN"/>
              </w:rPr>
            </w:pPr>
          </w:p>
        </w:tc>
      </w:tr>
      <w:tr w:rsidR="009842C6" w:rsidRPr="000C5DB9" w14:paraId="10E0CAE8" w14:textId="77777777" w:rsidTr="009842C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1FF991"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EDMI</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B5F44F"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0.28</w:t>
            </w:r>
          </w:p>
        </w:tc>
        <w:tc>
          <w:tcPr>
            <w:tcW w:w="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6A633A"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-0.15</w:t>
            </w:r>
          </w:p>
        </w:tc>
        <w:tc>
          <w:tcPr>
            <w:tcW w:w="11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D6A89"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-0.13</w:t>
            </w:r>
          </w:p>
        </w:tc>
        <w:tc>
          <w:tcPr>
            <w:tcW w:w="9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9CC1AB"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0.16</w:t>
            </w:r>
          </w:p>
        </w:tc>
        <w:tc>
          <w:tcPr>
            <w:tcW w:w="10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E83EE"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80DE3"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1</w:t>
            </w:r>
          </w:p>
        </w:tc>
        <w:tc>
          <w:tcPr>
            <w:tcW w:w="1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99A1CC" w14:textId="77777777" w:rsidR="009842C6" w:rsidRPr="000C5DB9" w:rsidRDefault="009842C6" w:rsidP="009842C6">
            <w:pPr>
              <w:jc w:val="both"/>
              <w:rPr>
                <w:rFonts w:ascii="Times New Roman" w:eastAsia="Times New Roman" w:hAnsi="Times New Roman" w:cs="Times New Roman"/>
                <w:iCs/>
                <w:sz w:val="20"/>
                <w:szCs w:val="20"/>
                <w:lang w:val="en-IN"/>
              </w:rPr>
            </w:pPr>
          </w:p>
        </w:tc>
      </w:tr>
      <w:tr w:rsidR="009842C6" w:rsidRPr="000C5DB9" w14:paraId="670C53AB" w14:textId="77777777" w:rsidTr="009842C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D4D7D0" w14:textId="77777777" w:rsidR="009842C6" w:rsidRPr="000C5DB9" w:rsidRDefault="009842C6" w:rsidP="009842C6">
            <w:pPr>
              <w:jc w:val="both"/>
              <w:rPr>
                <w:rFonts w:ascii="Times New Roman" w:eastAsia="Times New Roman" w:hAnsi="Times New Roman" w:cs="Times New Roman"/>
                <w:b/>
                <w:bCs/>
                <w:iCs/>
                <w:sz w:val="20"/>
                <w:szCs w:val="20"/>
                <w:lang w:val="en-IN"/>
              </w:rPr>
            </w:pPr>
            <w:r w:rsidRPr="000C5DB9">
              <w:rPr>
                <w:rFonts w:ascii="Times New Roman" w:eastAsia="Times New Roman" w:hAnsi="Times New Roman" w:cs="Times New Roman"/>
                <w:b/>
                <w:bCs/>
                <w:iCs/>
                <w:sz w:val="20"/>
                <w:szCs w:val="20"/>
                <w:lang w:val="en-IN"/>
              </w:rPr>
              <w:t>IOD index</w:t>
            </w:r>
          </w:p>
        </w:tc>
        <w:tc>
          <w:tcPr>
            <w:tcW w:w="103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7FC82"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0.24</w:t>
            </w:r>
          </w:p>
        </w:tc>
        <w:tc>
          <w:tcPr>
            <w:tcW w:w="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EFF0A"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-0.09</w:t>
            </w:r>
          </w:p>
        </w:tc>
        <w:tc>
          <w:tcPr>
            <w:tcW w:w="11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AE731"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-0.09</w:t>
            </w:r>
          </w:p>
        </w:tc>
        <w:tc>
          <w:tcPr>
            <w:tcW w:w="9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A4245B"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0.19</w:t>
            </w:r>
          </w:p>
        </w:tc>
        <w:tc>
          <w:tcPr>
            <w:tcW w:w="10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13A3EE"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0.03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84B860"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0.4</w:t>
            </w:r>
          </w:p>
        </w:tc>
        <w:tc>
          <w:tcPr>
            <w:tcW w:w="1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22FB1" w14:textId="77777777" w:rsidR="009842C6" w:rsidRPr="000C5DB9" w:rsidRDefault="009842C6" w:rsidP="009842C6">
            <w:pPr>
              <w:jc w:val="both"/>
              <w:rPr>
                <w:rFonts w:ascii="Times New Roman" w:eastAsia="Times New Roman" w:hAnsi="Times New Roman" w:cs="Times New Roman"/>
                <w:iCs/>
                <w:sz w:val="20"/>
                <w:szCs w:val="20"/>
                <w:lang w:val="en-IN"/>
              </w:rPr>
            </w:pPr>
            <w:r w:rsidRPr="000C5DB9">
              <w:rPr>
                <w:rFonts w:ascii="Times New Roman" w:eastAsia="Times New Roman" w:hAnsi="Times New Roman" w:cs="Times New Roman"/>
                <w:iCs/>
                <w:sz w:val="20"/>
                <w:szCs w:val="20"/>
                <w:lang w:val="en-IN"/>
              </w:rPr>
              <w:t>1</w:t>
            </w:r>
          </w:p>
        </w:tc>
      </w:tr>
    </w:tbl>
    <w:p w14:paraId="0506D6DC" w14:textId="77777777" w:rsidR="0063650D" w:rsidRDefault="0063650D" w:rsidP="005020C8">
      <w:pPr>
        <w:jc w:val="both"/>
        <w:rPr>
          <w:rFonts w:ascii="Times New Roman" w:eastAsia="Times New Roman" w:hAnsi="Times New Roman" w:cs="Times New Roman"/>
          <w:iCs/>
          <w:sz w:val="24"/>
          <w:szCs w:val="24"/>
        </w:rPr>
      </w:pPr>
    </w:p>
    <w:p w14:paraId="67ECA3B6" w14:textId="1B49CAF5" w:rsidR="006770FC" w:rsidRPr="000C5DB9" w:rsidRDefault="001E3CB4" w:rsidP="005020C8">
      <w:pPr>
        <w:jc w:val="both"/>
        <w:rPr>
          <w:rFonts w:ascii="Times New Roman" w:eastAsia="Times New Roman" w:hAnsi="Times New Roman" w:cs="Times New Roman"/>
          <w:iCs/>
          <w:sz w:val="20"/>
          <w:szCs w:val="20"/>
        </w:rPr>
      </w:pPr>
      <w:r w:rsidRPr="000C5DB9">
        <w:rPr>
          <w:rFonts w:ascii="Times New Roman" w:eastAsia="Times New Roman" w:hAnsi="Times New Roman" w:cs="Times New Roman"/>
          <w:iCs/>
          <w:sz w:val="20"/>
          <w:szCs w:val="20"/>
        </w:rPr>
        <w:t xml:space="preserve">Table S1: Correlation between SWIO </w:t>
      </w:r>
      <w:r w:rsidR="005020C8" w:rsidRPr="000C5DB9">
        <w:rPr>
          <w:rFonts w:ascii="Times New Roman" w:eastAsia="Times New Roman" w:hAnsi="Times New Roman" w:cs="Times New Roman"/>
          <w:iCs/>
          <w:sz w:val="20"/>
          <w:szCs w:val="20"/>
        </w:rPr>
        <w:t>SLA</w:t>
      </w:r>
      <w:r w:rsidRPr="000C5DB9">
        <w:rPr>
          <w:rFonts w:ascii="Times New Roman" w:eastAsia="Times New Roman" w:hAnsi="Times New Roman" w:cs="Times New Roman"/>
          <w:iCs/>
          <w:sz w:val="20"/>
          <w:szCs w:val="20"/>
        </w:rPr>
        <w:t xml:space="preserve"> </w:t>
      </w:r>
      <w:sdt>
        <w:sdtPr>
          <w:rPr>
            <w:iCs/>
            <w:sz w:val="20"/>
            <w:szCs w:val="20"/>
          </w:rPr>
          <w:tag w:val="goog_rdk_2"/>
          <w:id w:val="1714432159"/>
        </w:sdtPr>
        <w:sdtContent/>
      </w:sdt>
      <w:sdt>
        <w:sdtPr>
          <w:rPr>
            <w:iCs/>
            <w:sz w:val="20"/>
            <w:szCs w:val="20"/>
          </w:rPr>
          <w:tag w:val="goog_rdk_3"/>
          <w:id w:val="-362985532"/>
        </w:sdtPr>
        <w:sdtContent/>
      </w:sdt>
      <w:r w:rsidRPr="000C5DB9">
        <w:rPr>
          <w:rFonts w:ascii="Times New Roman" w:eastAsia="Times New Roman" w:hAnsi="Times New Roman" w:cs="Times New Roman"/>
          <w:iCs/>
          <w:sz w:val="20"/>
          <w:szCs w:val="20"/>
        </w:rPr>
        <w:t xml:space="preserve">and climate indices. We define climate indices based on EOFs of decadal SST in the Indian and Pacific basins (Fig. S2). Hence, the correlation coefficients are presented for those EOF-based indices (EEI, EMI, and EDMI) and </w:t>
      </w:r>
      <w:r w:rsidR="005020C8" w:rsidRPr="000C5DB9">
        <w:rPr>
          <w:rFonts w:ascii="Times New Roman" w:eastAsia="Times New Roman" w:hAnsi="Times New Roman" w:cs="Times New Roman"/>
          <w:iCs/>
          <w:sz w:val="20"/>
          <w:szCs w:val="20"/>
        </w:rPr>
        <w:t xml:space="preserve">for </w:t>
      </w:r>
      <w:r w:rsidRPr="000C5DB9">
        <w:rPr>
          <w:rFonts w:ascii="Times New Roman" w:eastAsia="Times New Roman" w:hAnsi="Times New Roman" w:cs="Times New Roman"/>
          <w:iCs/>
          <w:sz w:val="20"/>
          <w:szCs w:val="20"/>
        </w:rPr>
        <w:t>climate indices following classical definitions (</w:t>
      </w:r>
      <w:r w:rsidR="00F43D52" w:rsidRPr="000C5DB9">
        <w:rPr>
          <w:rFonts w:ascii="Times New Roman" w:eastAsia="Times New Roman" w:hAnsi="Times New Roman" w:cs="Times New Roman"/>
          <w:iCs/>
          <w:sz w:val="20"/>
          <w:szCs w:val="20"/>
        </w:rPr>
        <w:t>Niño3.4</w:t>
      </w:r>
      <w:r w:rsidRPr="000C5DB9">
        <w:rPr>
          <w:rFonts w:ascii="Times New Roman" w:eastAsia="Times New Roman" w:hAnsi="Times New Roman" w:cs="Times New Roman"/>
          <w:iCs/>
          <w:sz w:val="20"/>
          <w:szCs w:val="20"/>
        </w:rPr>
        <w:t xml:space="preserve">, Modoki index, and IOD index). The </w:t>
      </w:r>
      <w:r w:rsidR="00F43D52" w:rsidRPr="000C5DB9">
        <w:rPr>
          <w:rFonts w:ascii="Times New Roman" w:eastAsia="Times New Roman" w:hAnsi="Times New Roman" w:cs="Times New Roman"/>
          <w:iCs/>
          <w:sz w:val="20"/>
          <w:szCs w:val="20"/>
        </w:rPr>
        <w:t xml:space="preserve">significant correlation coefficients at the 90% confidence level are </w:t>
      </w:r>
      <w:r w:rsidR="005020C8" w:rsidRPr="000C5DB9">
        <w:rPr>
          <w:rFonts w:ascii="Times New Roman" w:eastAsia="Times New Roman" w:hAnsi="Times New Roman" w:cs="Times New Roman"/>
          <w:iCs/>
          <w:sz w:val="20"/>
          <w:szCs w:val="20"/>
        </w:rPr>
        <w:t>highlighted</w:t>
      </w:r>
      <w:r w:rsidR="00F43D52" w:rsidRPr="000C5DB9">
        <w:rPr>
          <w:rFonts w:ascii="Times New Roman" w:eastAsia="Times New Roman" w:hAnsi="Times New Roman" w:cs="Times New Roman"/>
          <w:iCs/>
          <w:sz w:val="20"/>
          <w:szCs w:val="20"/>
        </w:rPr>
        <w:t xml:space="preserve"> in </w:t>
      </w:r>
      <w:r w:rsidRPr="000C5DB9">
        <w:rPr>
          <w:rFonts w:ascii="Times New Roman" w:eastAsia="Times New Roman" w:hAnsi="Times New Roman" w:cs="Times New Roman"/>
          <w:iCs/>
          <w:sz w:val="20"/>
          <w:szCs w:val="20"/>
        </w:rPr>
        <w:t>bold.</w:t>
      </w:r>
      <w:r w:rsidR="005020C8" w:rsidRPr="000C5DB9">
        <w:rPr>
          <w:rFonts w:ascii="Times New Roman" w:eastAsia="Times New Roman" w:hAnsi="Times New Roman" w:cs="Times New Roman"/>
          <w:i/>
          <w:sz w:val="20"/>
          <w:szCs w:val="20"/>
        </w:rPr>
        <w:t xml:space="preserve"> </w:t>
      </w:r>
      <w:r w:rsidR="005020C8" w:rsidRPr="000C5DB9">
        <w:rPr>
          <w:rFonts w:ascii="Times New Roman" w:eastAsia="Times New Roman" w:hAnsi="Times New Roman" w:cs="Times New Roman"/>
          <w:iCs/>
          <w:sz w:val="20"/>
          <w:szCs w:val="20"/>
        </w:rPr>
        <w:t>EDMI stands for EOF-based DMI index. DMI and EDMI are estimated after removing Pacific variability (EEI and EMI) using a linear regression.</w:t>
      </w:r>
      <w:r w:rsidRPr="000C5DB9">
        <w:rPr>
          <w:rFonts w:ascii="Times New Roman" w:eastAsia="Times New Roman" w:hAnsi="Times New Roman" w:cs="Times New Roman"/>
          <w:i/>
          <w:sz w:val="20"/>
          <w:szCs w:val="20"/>
        </w:rPr>
        <w:br w:type="page"/>
      </w:r>
    </w:p>
    <w:p w14:paraId="4FF7835F" w14:textId="77777777" w:rsidR="00F174F9" w:rsidRDefault="00F174F9" w:rsidP="00F174F9">
      <w:pPr>
        <w:pBdr>
          <w:top w:val="nil"/>
          <w:left w:val="nil"/>
          <w:bottom w:val="nil"/>
          <w:right w:val="nil"/>
          <w:between w:val="nil"/>
        </w:pBdr>
        <w:ind w:left="720"/>
        <w:rPr>
          <w:b/>
          <w:bCs/>
        </w:rPr>
      </w:pPr>
      <w:r>
        <w:lastRenderedPageBreak/>
        <w:t xml:space="preserve">     </w:t>
      </w: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F174F9" w14:paraId="45B5E0B1" w14:textId="77777777" w:rsidTr="00226C78">
        <w:trPr>
          <w:trHeight w:val="330"/>
        </w:trPr>
        <w:tc>
          <w:tcPr>
            <w:tcW w:w="1500" w:type="dxa"/>
            <w:tcBorders>
              <w:top w:val="single" w:sz="11" w:space="0" w:color="434343"/>
              <w:left w:val="single" w:sz="11" w:space="0" w:color="434343"/>
              <w:bottom w:val="single" w:sz="11" w:space="0" w:color="434343"/>
              <w:right w:val="single" w:sz="11" w:space="0" w:color="434343"/>
            </w:tcBorders>
            <w:tcMar>
              <w:top w:w="40" w:type="dxa"/>
              <w:left w:w="40" w:type="dxa"/>
              <w:bottom w:w="40" w:type="dxa"/>
              <w:right w:w="40" w:type="dxa"/>
            </w:tcMar>
            <w:vAlign w:val="bottom"/>
          </w:tcPr>
          <w:p w14:paraId="6577B285" w14:textId="77777777" w:rsidR="00F174F9" w:rsidRPr="00F9363B" w:rsidRDefault="00F174F9" w:rsidP="00F174F9">
            <w:pPr>
              <w:widowControl w:val="0"/>
              <w:jc w:val="center"/>
              <w:rPr>
                <w:rFonts w:ascii="Times New Roman" w:hAnsi="Times New Roman" w:cs="Times New Roman"/>
                <w:sz w:val="20"/>
                <w:szCs w:val="20"/>
              </w:rPr>
            </w:pPr>
          </w:p>
        </w:tc>
        <w:tc>
          <w:tcPr>
            <w:tcW w:w="1500" w:type="dxa"/>
            <w:tcBorders>
              <w:top w:val="single" w:sz="11" w:space="0" w:color="434343"/>
              <w:left w:val="single" w:sz="5" w:space="0" w:color="CCCCCC"/>
              <w:bottom w:val="single" w:sz="11" w:space="0" w:color="434343"/>
              <w:right w:val="single" w:sz="11" w:space="0" w:color="434343"/>
            </w:tcBorders>
            <w:shd w:val="clear" w:color="auto" w:fill="FFFFFF"/>
            <w:tcMar>
              <w:top w:w="40" w:type="dxa"/>
              <w:left w:w="40" w:type="dxa"/>
              <w:bottom w:w="40" w:type="dxa"/>
              <w:right w:w="40" w:type="dxa"/>
            </w:tcMar>
            <w:vAlign w:val="bottom"/>
          </w:tcPr>
          <w:p w14:paraId="3C087E72"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PC1-Curl</w:t>
            </w:r>
          </w:p>
        </w:tc>
        <w:tc>
          <w:tcPr>
            <w:tcW w:w="1500" w:type="dxa"/>
            <w:tcBorders>
              <w:top w:val="single" w:sz="11" w:space="0" w:color="434343"/>
              <w:left w:val="single" w:sz="5" w:space="0" w:color="CCCCCC"/>
              <w:bottom w:val="single" w:sz="11" w:space="0" w:color="434343"/>
              <w:right w:val="single" w:sz="11" w:space="0" w:color="434343"/>
            </w:tcBorders>
            <w:shd w:val="clear" w:color="auto" w:fill="FFFFFF"/>
            <w:tcMar>
              <w:top w:w="40" w:type="dxa"/>
              <w:left w:w="40" w:type="dxa"/>
              <w:bottom w:w="40" w:type="dxa"/>
              <w:right w:w="40" w:type="dxa"/>
            </w:tcMar>
            <w:vAlign w:val="bottom"/>
          </w:tcPr>
          <w:p w14:paraId="2CE7A4FF"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IOD</w:t>
            </w:r>
          </w:p>
        </w:tc>
        <w:tc>
          <w:tcPr>
            <w:tcW w:w="1500" w:type="dxa"/>
            <w:tcBorders>
              <w:top w:val="single" w:sz="11" w:space="0" w:color="434343"/>
              <w:left w:val="single" w:sz="5" w:space="0" w:color="CCCCCC"/>
              <w:bottom w:val="single" w:sz="11" w:space="0" w:color="434343"/>
              <w:right w:val="single" w:sz="11" w:space="0" w:color="434343"/>
            </w:tcBorders>
            <w:shd w:val="clear" w:color="auto" w:fill="FFFFFF"/>
            <w:tcMar>
              <w:top w:w="40" w:type="dxa"/>
              <w:left w:w="40" w:type="dxa"/>
              <w:bottom w:w="40" w:type="dxa"/>
              <w:right w:w="40" w:type="dxa"/>
            </w:tcMar>
            <w:vAlign w:val="bottom"/>
          </w:tcPr>
          <w:p w14:paraId="4DB18C59"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SIOD</w:t>
            </w:r>
          </w:p>
        </w:tc>
        <w:tc>
          <w:tcPr>
            <w:tcW w:w="1500" w:type="dxa"/>
            <w:tcBorders>
              <w:top w:val="single" w:sz="11" w:space="0" w:color="434343"/>
              <w:left w:val="single" w:sz="5" w:space="0" w:color="CCCCCC"/>
              <w:bottom w:val="single" w:sz="11" w:space="0" w:color="434343"/>
              <w:right w:val="single" w:sz="11" w:space="0" w:color="434343"/>
            </w:tcBorders>
            <w:shd w:val="clear" w:color="auto" w:fill="FFFFFF"/>
            <w:tcMar>
              <w:top w:w="40" w:type="dxa"/>
              <w:left w:w="40" w:type="dxa"/>
              <w:bottom w:w="40" w:type="dxa"/>
              <w:right w:w="40" w:type="dxa"/>
            </w:tcMar>
            <w:vAlign w:val="bottom"/>
          </w:tcPr>
          <w:p w14:paraId="2F6217A3"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MH</w:t>
            </w:r>
          </w:p>
        </w:tc>
        <w:tc>
          <w:tcPr>
            <w:tcW w:w="1500" w:type="dxa"/>
            <w:tcBorders>
              <w:top w:val="single" w:sz="11" w:space="0" w:color="434343"/>
              <w:left w:val="single" w:sz="5" w:space="0" w:color="CCCCCC"/>
              <w:bottom w:val="single" w:sz="11" w:space="0" w:color="434343"/>
              <w:right w:val="single" w:sz="11" w:space="0" w:color="434343"/>
            </w:tcBorders>
            <w:shd w:val="clear" w:color="auto" w:fill="FFFFFF"/>
            <w:tcMar>
              <w:top w:w="40" w:type="dxa"/>
              <w:left w:w="40" w:type="dxa"/>
              <w:bottom w:w="40" w:type="dxa"/>
              <w:right w:w="40" w:type="dxa"/>
            </w:tcMar>
            <w:vAlign w:val="bottom"/>
          </w:tcPr>
          <w:p w14:paraId="613191DE"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SAM</w:t>
            </w:r>
          </w:p>
        </w:tc>
      </w:tr>
      <w:tr w:rsidR="00F174F9" w14:paraId="5B0C5524" w14:textId="77777777" w:rsidTr="00226C78">
        <w:trPr>
          <w:trHeight w:val="330"/>
        </w:trPr>
        <w:tc>
          <w:tcPr>
            <w:tcW w:w="1500" w:type="dxa"/>
            <w:tcBorders>
              <w:top w:val="single" w:sz="5" w:space="0" w:color="CCCCCC"/>
              <w:left w:val="single" w:sz="11" w:space="0" w:color="434343"/>
              <w:bottom w:val="single" w:sz="11" w:space="0" w:color="434343"/>
              <w:right w:val="single" w:sz="11" w:space="0" w:color="434343"/>
            </w:tcBorders>
            <w:tcMar>
              <w:top w:w="40" w:type="dxa"/>
              <w:left w:w="40" w:type="dxa"/>
              <w:bottom w:w="40" w:type="dxa"/>
              <w:right w:w="40" w:type="dxa"/>
            </w:tcMar>
            <w:vAlign w:val="bottom"/>
          </w:tcPr>
          <w:p w14:paraId="6D79C77B"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PC1-Curl</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73E6AA13" w14:textId="29882A8A" w:rsidR="00F174F9" w:rsidRPr="00F9363B" w:rsidRDefault="00C32100"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1</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7317866C" w14:textId="77777777" w:rsidR="00F174F9" w:rsidRPr="00F9363B" w:rsidRDefault="00F174F9" w:rsidP="00F174F9">
            <w:pPr>
              <w:widowControl w:val="0"/>
              <w:jc w:val="center"/>
              <w:rPr>
                <w:rFonts w:ascii="Times New Roman" w:hAnsi="Times New Roman" w:cs="Times New Roman"/>
                <w:sz w:val="20"/>
                <w:szCs w:val="20"/>
              </w:rPr>
            </w:pP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688CD03F" w14:textId="77777777" w:rsidR="00F174F9" w:rsidRPr="00F9363B" w:rsidRDefault="00F174F9" w:rsidP="00F174F9">
            <w:pPr>
              <w:widowControl w:val="0"/>
              <w:jc w:val="center"/>
              <w:rPr>
                <w:rFonts w:ascii="Times New Roman" w:hAnsi="Times New Roman" w:cs="Times New Roman"/>
                <w:sz w:val="20"/>
                <w:szCs w:val="20"/>
              </w:rPr>
            </w:pP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7D1DFA31" w14:textId="77777777" w:rsidR="00F174F9" w:rsidRPr="00F9363B" w:rsidRDefault="00F174F9" w:rsidP="00F174F9">
            <w:pPr>
              <w:widowControl w:val="0"/>
              <w:jc w:val="center"/>
              <w:rPr>
                <w:rFonts w:ascii="Times New Roman" w:hAnsi="Times New Roman" w:cs="Times New Roman"/>
                <w:sz w:val="20"/>
                <w:szCs w:val="20"/>
              </w:rPr>
            </w:pP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02142CEE" w14:textId="77777777" w:rsidR="00F174F9" w:rsidRPr="00F9363B" w:rsidRDefault="00F174F9" w:rsidP="00F174F9">
            <w:pPr>
              <w:widowControl w:val="0"/>
              <w:jc w:val="center"/>
              <w:rPr>
                <w:rFonts w:ascii="Times New Roman" w:hAnsi="Times New Roman" w:cs="Times New Roman"/>
                <w:sz w:val="20"/>
                <w:szCs w:val="20"/>
              </w:rPr>
            </w:pPr>
          </w:p>
        </w:tc>
      </w:tr>
      <w:tr w:rsidR="00F174F9" w14:paraId="0CEFCD8B" w14:textId="77777777" w:rsidTr="00226C78">
        <w:trPr>
          <w:trHeight w:val="330"/>
        </w:trPr>
        <w:tc>
          <w:tcPr>
            <w:tcW w:w="1500" w:type="dxa"/>
            <w:tcBorders>
              <w:top w:val="single" w:sz="5" w:space="0" w:color="CCCCCC"/>
              <w:left w:val="single" w:sz="11" w:space="0" w:color="434343"/>
              <w:bottom w:val="single" w:sz="11" w:space="0" w:color="434343"/>
              <w:right w:val="single" w:sz="11" w:space="0" w:color="434343"/>
            </w:tcBorders>
            <w:tcMar>
              <w:top w:w="40" w:type="dxa"/>
              <w:left w:w="40" w:type="dxa"/>
              <w:bottom w:w="40" w:type="dxa"/>
              <w:right w:w="40" w:type="dxa"/>
            </w:tcMar>
            <w:vAlign w:val="bottom"/>
          </w:tcPr>
          <w:p w14:paraId="032B2624"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IOD</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2962F850"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0.160985</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54DCE89C"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1</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39D48775" w14:textId="77777777" w:rsidR="00F174F9" w:rsidRPr="00F9363B" w:rsidRDefault="00F174F9" w:rsidP="00F174F9">
            <w:pPr>
              <w:widowControl w:val="0"/>
              <w:jc w:val="center"/>
              <w:rPr>
                <w:rFonts w:ascii="Times New Roman" w:hAnsi="Times New Roman" w:cs="Times New Roman"/>
                <w:sz w:val="20"/>
                <w:szCs w:val="20"/>
              </w:rPr>
            </w:pP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295D64BA" w14:textId="77777777" w:rsidR="00F174F9" w:rsidRPr="00F9363B" w:rsidRDefault="00F174F9" w:rsidP="00F174F9">
            <w:pPr>
              <w:widowControl w:val="0"/>
              <w:jc w:val="center"/>
              <w:rPr>
                <w:rFonts w:ascii="Times New Roman" w:hAnsi="Times New Roman" w:cs="Times New Roman"/>
                <w:sz w:val="20"/>
                <w:szCs w:val="20"/>
              </w:rPr>
            </w:pP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7EEE0982" w14:textId="77777777" w:rsidR="00F174F9" w:rsidRPr="00F9363B" w:rsidRDefault="00F174F9" w:rsidP="00F174F9">
            <w:pPr>
              <w:widowControl w:val="0"/>
              <w:jc w:val="center"/>
              <w:rPr>
                <w:rFonts w:ascii="Times New Roman" w:hAnsi="Times New Roman" w:cs="Times New Roman"/>
                <w:sz w:val="20"/>
                <w:szCs w:val="20"/>
              </w:rPr>
            </w:pPr>
          </w:p>
        </w:tc>
      </w:tr>
      <w:tr w:rsidR="00F174F9" w14:paraId="00DD9E49" w14:textId="77777777" w:rsidTr="00226C78">
        <w:trPr>
          <w:trHeight w:val="330"/>
        </w:trPr>
        <w:tc>
          <w:tcPr>
            <w:tcW w:w="1500" w:type="dxa"/>
            <w:tcBorders>
              <w:top w:val="single" w:sz="5" w:space="0" w:color="CCCCCC"/>
              <w:left w:val="single" w:sz="11" w:space="0" w:color="434343"/>
              <w:bottom w:val="single" w:sz="11" w:space="0" w:color="434343"/>
              <w:right w:val="single" w:sz="11" w:space="0" w:color="434343"/>
            </w:tcBorders>
            <w:tcMar>
              <w:top w:w="40" w:type="dxa"/>
              <w:left w:w="40" w:type="dxa"/>
              <w:bottom w:w="40" w:type="dxa"/>
              <w:right w:w="40" w:type="dxa"/>
            </w:tcMar>
            <w:vAlign w:val="bottom"/>
          </w:tcPr>
          <w:p w14:paraId="66AD1726"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SIOD</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195DFBDA"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-0.117876</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45939504"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0.005095</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49C8847B"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1</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2C8F4E35" w14:textId="77777777" w:rsidR="00F174F9" w:rsidRPr="00F9363B" w:rsidRDefault="00F174F9" w:rsidP="00F174F9">
            <w:pPr>
              <w:widowControl w:val="0"/>
              <w:jc w:val="center"/>
              <w:rPr>
                <w:rFonts w:ascii="Times New Roman" w:hAnsi="Times New Roman" w:cs="Times New Roman"/>
                <w:sz w:val="20"/>
                <w:szCs w:val="20"/>
              </w:rPr>
            </w:pP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10B813D5" w14:textId="77777777" w:rsidR="00F174F9" w:rsidRPr="00F9363B" w:rsidRDefault="00F174F9" w:rsidP="00F174F9">
            <w:pPr>
              <w:widowControl w:val="0"/>
              <w:jc w:val="center"/>
              <w:rPr>
                <w:rFonts w:ascii="Times New Roman" w:hAnsi="Times New Roman" w:cs="Times New Roman"/>
                <w:sz w:val="20"/>
                <w:szCs w:val="20"/>
              </w:rPr>
            </w:pPr>
          </w:p>
        </w:tc>
      </w:tr>
      <w:tr w:rsidR="00F174F9" w14:paraId="5501A9C2" w14:textId="77777777" w:rsidTr="00226C78">
        <w:trPr>
          <w:trHeight w:val="330"/>
        </w:trPr>
        <w:tc>
          <w:tcPr>
            <w:tcW w:w="1500" w:type="dxa"/>
            <w:tcBorders>
              <w:top w:val="single" w:sz="5" w:space="0" w:color="CCCCCC"/>
              <w:left w:val="single" w:sz="11" w:space="0" w:color="434343"/>
              <w:bottom w:val="single" w:sz="11" w:space="0" w:color="434343"/>
              <w:right w:val="single" w:sz="11" w:space="0" w:color="434343"/>
            </w:tcBorders>
            <w:tcMar>
              <w:top w:w="40" w:type="dxa"/>
              <w:left w:w="40" w:type="dxa"/>
              <w:bottom w:w="40" w:type="dxa"/>
              <w:right w:w="40" w:type="dxa"/>
            </w:tcMar>
            <w:vAlign w:val="bottom"/>
          </w:tcPr>
          <w:p w14:paraId="510E0A12"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MH</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22A52D2F"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0.427914</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35C31E72"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0.014016</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1973C200"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0.205049</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08E63187"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1</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0206AC03" w14:textId="77777777" w:rsidR="00F174F9" w:rsidRPr="00F9363B" w:rsidRDefault="00F174F9" w:rsidP="00F174F9">
            <w:pPr>
              <w:widowControl w:val="0"/>
              <w:jc w:val="center"/>
              <w:rPr>
                <w:rFonts w:ascii="Times New Roman" w:hAnsi="Times New Roman" w:cs="Times New Roman"/>
                <w:sz w:val="20"/>
                <w:szCs w:val="20"/>
              </w:rPr>
            </w:pPr>
          </w:p>
        </w:tc>
      </w:tr>
      <w:tr w:rsidR="00F174F9" w14:paraId="4E405732" w14:textId="77777777" w:rsidTr="00226C78">
        <w:trPr>
          <w:trHeight w:val="330"/>
        </w:trPr>
        <w:tc>
          <w:tcPr>
            <w:tcW w:w="1500" w:type="dxa"/>
            <w:tcBorders>
              <w:top w:val="single" w:sz="5" w:space="0" w:color="CCCCCC"/>
              <w:left w:val="single" w:sz="11" w:space="0" w:color="434343"/>
              <w:bottom w:val="single" w:sz="11" w:space="0" w:color="434343"/>
              <w:right w:val="single" w:sz="11" w:space="0" w:color="434343"/>
            </w:tcBorders>
            <w:tcMar>
              <w:top w:w="40" w:type="dxa"/>
              <w:left w:w="40" w:type="dxa"/>
              <w:bottom w:w="40" w:type="dxa"/>
              <w:right w:w="40" w:type="dxa"/>
            </w:tcMar>
            <w:vAlign w:val="bottom"/>
          </w:tcPr>
          <w:p w14:paraId="3BDA59EF"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b/>
                <w:bCs/>
                <w:sz w:val="20"/>
                <w:szCs w:val="20"/>
              </w:rPr>
              <w:t>SAM</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42B90A3A"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-0.188967</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4FCA3C32"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-0.029479</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1C741DF0"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-0.089782</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2DAD3683"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-0.047526</w:t>
            </w:r>
          </w:p>
        </w:tc>
        <w:tc>
          <w:tcPr>
            <w:tcW w:w="1500" w:type="dxa"/>
            <w:tcBorders>
              <w:top w:val="single" w:sz="5" w:space="0" w:color="CCCCCC"/>
              <w:left w:val="single" w:sz="5" w:space="0" w:color="CCCCCC"/>
              <w:bottom w:val="single" w:sz="11" w:space="0" w:color="434343"/>
              <w:right w:val="single" w:sz="11" w:space="0" w:color="434343"/>
            </w:tcBorders>
            <w:tcMar>
              <w:top w:w="40" w:type="dxa"/>
              <w:left w:w="40" w:type="dxa"/>
              <w:bottom w:w="40" w:type="dxa"/>
              <w:right w:w="40" w:type="dxa"/>
            </w:tcMar>
            <w:vAlign w:val="bottom"/>
          </w:tcPr>
          <w:p w14:paraId="69110D83" w14:textId="77777777" w:rsidR="00F174F9" w:rsidRPr="00F9363B" w:rsidRDefault="00F174F9" w:rsidP="00F174F9">
            <w:pPr>
              <w:widowControl w:val="0"/>
              <w:jc w:val="center"/>
              <w:rPr>
                <w:rFonts w:ascii="Times New Roman" w:hAnsi="Times New Roman" w:cs="Times New Roman"/>
                <w:sz w:val="20"/>
                <w:szCs w:val="20"/>
              </w:rPr>
            </w:pPr>
            <w:r w:rsidRPr="00F9363B">
              <w:rPr>
                <w:rFonts w:ascii="Times New Roman" w:hAnsi="Times New Roman" w:cs="Times New Roman"/>
                <w:sz w:val="20"/>
                <w:szCs w:val="20"/>
              </w:rPr>
              <w:t>1</w:t>
            </w:r>
          </w:p>
        </w:tc>
      </w:tr>
    </w:tbl>
    <w:p w14:paraId="44A02D52" w14:textId="77777777" w:rsidR="00F174F9" w:rsidRDefault="00F174F9" w:rsidP="00F43D52">
      <w:pPr>
        <w:jc w:val="both"/>
        <w:rPr>
          <w:rFonts w:ascii="Times New Roman" w:eastAsia="Times New Roman" w:hAnsi="Times New Roman" w:cs="Times New Roman"/>
          <w:b/>
          <w:bCs/>
          <w:iCs/>
          <w:sz w:val="24"/>
          <w:szCs w:val="24"/>
        </w:rPr>
      </w:pPr>
    </w:p>
    <w:p w14:paraId="000000BD" w14:textId="400F3EE7" w:rsidR="006770FC" w:rsidRPr="000C5DB9" w:rsidRDefault="00000000" w:rsidP="00F43D52">
      <w:pPr>
        <w:jc w:val="both"/>
        <w:rPr>
          <w:iCs/>
          <w:sz w:val="20"/>
          <w:szCs w:val="20"/>
        </w:rPr>
      </w:pPr>
      <w:r w:rsidRPr="000C5DB9">
        <w:rPr>
          <w:rFonts w:ascii="Times New Roman" w:eastAsia="Times New Roman" w:hAnsi="Times New Roman" w:cs="Times New Roman"/>
          <w:b/>
          <w:bCs/>
          <w:iCs/>
          <w:sz w:val="20"/>
          <w:szCs w:val="20"/>
        </w:rPr>
        <w:t>Table S2</w:t>
      </w:r>
      <w:r w:rsidRPr="000C5DB9">
        <w:rPr>
          <w:rFonts w:ascii="Times New Roman" w:eastAsia="Times New Roman" w:hAnsi="Times New Roman" w:cs="Times New Roman"/>
          <w:iCs/>
          <w:sz w:val="20"/>
          <w:szCs w:val="20"/>
        </w:rPr>
        <w:t xml:space="preserve">: Correlation between </w:t>
      </w:r>
      <w:r w:rsidR="009C5D7E" w:rsidRPr="000C5DB9">
        <w:rPr>
          <w:rFonts w:ascii="Times New Roman" w:eastAsia="Times New Roman" w:hAnsi="Times New Roman" w:cs="Times New Roman"/>
          <w:iCs/>
          <w:sz w:val="20"/>
          <w:szCs w:val="20"/>
        </w:rPr>
        <w:t xml:space="preserve">SEIO residual WSC PC1 (Fig. 5b) and </w:t>
      </w:r>
      <w:r w:rsidRPr="000C5DB9">
        <w:rPr>
          <w:rFonts w:ascii="Times New Roman" w:eastAsia="Times New Roman" w:hAnsi="Times New Roman" w:cs="Times New Roman"/>
          <w:iCs/>
          <w:sz w:val="20"/>
          <w:szCs w:val="20"/>
        </w:rPr>
        <w:t xml:space="preserve">various climate indices. The Mascarene High Index is defined based on the leading EOFs of decadal SLP over the South Indian Ocean (30–120°E, 50–30°S). The SAM Index is defined as the zonal mean </w:t>
      </w:r>
      <w:r w:rsidR="009C5D7E" w:rsidRPr="000C5DB9">
        <w:rPr>
          <w:rFonts w:ascii="Times New Roman" w:eastAsia="Times New Roman" w:hAnsi="Times New Roman" w:cs="Times New Roman"/>
          <w:iCs/>
          <w:sz w:val="20"/>
          <w:szCs w:val="20"/>
        </w:rPr>
        <w:t>sea-level pressure difference between 40°S and 65°S</w:t>
      </w:r>
      <w:r w:rsidRPr="000C5DB9">
        <w:rPr>
          <w:rFonts w:ascii="Times New Roman" w:eastAsia="Times New Roman" w:hAnsi="Times New Roman" w:cs="Times New Roman"/>
          <w:iCs/>
          <w:sz w:val="20"/>
          <w:szCs w:val="20"/>
        </w:rPr>
        <w:t>. The IOD and SIOD indices follow their conventional definitions. All indices are computed from the residual fields.</w:t>
      </w:r>
    </w:p>
    <w:sectPr w:rsidR="006770FC" w:rsidRPr="000C5DB9">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C72E8" w14:textId="77777777" w:rsidR="00560196" w:rsidRDefault="00560196" w:rsidP="00F43D52">
      <w:pPr>
        <w:spacing w:line="240" w:lineRule="auto"/>
      </w:pPr>
      <w:r>
        <w:separator/>
      </w:r>
    </w:p>
  </w:endnote>
  <w:endnote w:type="continuationSeparator" w:id="0">
    <w:p w14:paraId="16273562" w14:textId="77777777" w:rsidR="00560196" w:rsidRDefault="00560196" w:rsidP="00F43D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A0C7699-6243-4028-A45C-28410F275C19}"/>
  </w:font>
  <w:font w:name="Calibri">
    <w:panose1 w:val="020F0502020204030204"/>
    <w:charset w:val="00"/>
    <w:family w:val="swiss"/>
    <w:pitch w:val="variable"/>
    <w:sig w:usb0="E4002EFF" w:usb1="C200247B" w:usb2="00000009" w:usb3="00000000" w:csb0="000001FF" w:csb1="00000000"/>
    <w:embedRegular r:id="rId2" w:fontKey="{E37D0500-D260-48BF-8FD1-BA5D8264106B}"/>
  </w:font>
  <w:font w:name="Cambria">
    <w:panose1 w:val="02040503050406030204"/>
    <w:charset w:val="00"/>
    <w:family w:val="roman"/>
    <w:pitch w:val="variable"/>
    <w:sig w:usb0="E00006FF" w:usb1="420024FF" w:usb2="02000000" w:usb3="00000000" w:csb0="0000019F" w:csb1="00000000"/>
    <w:embedRegular r:id="rId3" w:fontKey="{8D9074B5-0D4A-4524-B04B-23210457CF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740797"/>
      <w:docPartObj>
        <w:docPartGallery w:val="Page Numbers (Bottom of Page)"/>
        <w:docPartUnique/>
      </w:docPartObj>
    </w:sdtPr>
    <w:sdtEndPr>
      <w:rPr>
        <w:noProof/>
      </w:rPr>
    </w:sdtEndPr>
    <w:sdtContent>
      <w:p w14:paraId="3947B09F" w14:textId="1D66E540" w:rsidR="00F43D52" w:rsidRDefault="00F43D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C29DE6" w14:textId="77777777" w:rsidR="00F43D52" w:rsidRDefault="00F43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72BEE" w14:textId="77777777" w:rsidR="00560196" w:rsidRDefault="00560196" w:rsidP="00F43D52">
      <w:pPr>
        <w:spacing w:line="240" w:lineRule="auto"/>
      </w:pPr>
      <w:r>
        <w:separator/>
      </w:r>
    </w:p>
  </w:footnote>
  <w:footnote w:type="continuationSeparator" w:id="0">
    <w:p w14:paraId="7FA63B0E" w14:textId="77777777" w:rsidR="00560196" w:rsidRDefault="00560196" w:rsidP="00F43D5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0FC"/>
    <w:rsid w:val="00066CFC"/>
    <w:rsid w:val="000C5DB9"/>
    <w:rsid w:val="001540A8"/>
    <w:rsid w:val="001E3CB4"/>
    <w:rsid w:val="001E459B"/>
    <w:rsid w:val="00245D07"/>
    <w:rsid w:val="00294468"/>
    <w:rsid w:val="002E57B4"/>
    <w:rsid w:val="003D1D0B"/>
    <w:rsid w:val="003F6385"/>
    <w:rsid w:val="0048228A"/>
    <w:rsid w:val="005020C8"/>
    <w:rsid w:val="00543241"/>
    <w:rsid w:val="00560196"/>
    <w:rsid w:val="0056422E"/>
    <w:rsid w:val="0063650D"/>
    <w:rsid w:val="00645457"/>
    <w:rsid w:val="006770FC"/>
    <w:rsid w:val="00682DF1"/>
    <w:rsid w:val="008748F4"/>
    <w:rsid w:val="008C2B9E"/>
    <w:rsid w:val="009842C6"/>
    <w:rsid w:val="009C5D7E"/>
    <w:rsid w:val="00A05340"/>
    <w:rsid w:val="00A564BC"/>
    <w:rsid w:val="00A61742"/>
    <w:rsid w:val="00A66605"/>
    <w:rsid w:val="00AD41BD"/>
    <w:rsid w:val="00AD6A32"/>
    <w:rsid w:val="00AF1E9F"/>
    <w:rsid w:val="00AF409D"/>
    <w:rsid w:val="00B07A6B"/>
    <w:rsid w:val="00B13A29"/>
    <w:rsid w:val="00B17AEE"/>
    <w:rsid w:val="00BB15BE"/>
    <w:rsid w:val="00C32100"/>
    <w:rsid w:val="00D929DD"/>
    <w:rsid w:val="00DC0D3C"/>
    <w:rsid w:val="00DC5561"/>
    <w:rsid w:val="00DC5C71"/>
    <w:rsid w:val="00E124C3"/>
    <w:rsid w:val="00E405F4"/>
    <w:rsid w:val="00E761F5"/>
    <w:rsid w:val="00F174F9"/>
    <w:rsid w:val="00F43396"/>
    <w:rsid w:val="00F43D52"/>
    <w:rsid w:val="00F9363B"/>
    <w:rsid w:val="00FD75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A603"/>
  <w15:docId w15:val="{6A5C9721-CF3B-4154-83E4-28B629E7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500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090"/>
    <w:rPr>
      <w:rFonts w:ascii="Tahoma" w:hAnsi="Tahoma" w:cs="Tahoma"/>
      <w:sz w:val="16"/>
      <w:szCs w:val="16"/>
    </w:rPr>
  </w:style>
  <w:style w:type="character" w:styleId="CommentReference">
    <w:name w:val="annotation reference"/>
    <w:basedOn w:val="DefaultParagraphFont"/>
    <w:uiPriority w:val="99"/>
    <w:semiHidden/>
    <w:unhideWhenUsed/>
    <w:rsid w:val="00CF552F"/>
    <w:rPr>
      <w:sz w:val="16"/>
      <w:szCs w:val="16"/>
    </w:rPr>
  </w:style>
  <w:style w:type="paragraph" w:styleId="CommentText">
    <w:name w:val="annotation text"/>
    <w:basedOn w:val="Normal"/>
    <w:link w:val="CommentTextChar"/>
    <w:uiPriority w:val="99"/>
    <w:unhideWhenUsed/>
    <w:rsid w:val="00CF552F"/>
    <w:pPr>
      <w:spacing w:line="240" w:lineRule="auto"/>
    </w:pPr>
    <w:rPr>
      <w:sz w:val="20"/>
      <w:szCs w:val="20"/>
    </w:rPr>
  </w:style>
  <w:style w:type="character" w:customStyle="1" w:styleId="CommentTextChar">
    <w:name w:val="Comment Text Char"/>
    <w:basedOn w:val="DefaultParagraphFont"/>
    <w:link w:val="CommentText"/>
    <w:uiPriority w:val="99"/>
    <w:rsid w:val="00CF552F"/>
    <w:rPr>
      <w:sz w:val="20"/>
      <w:szCs w:val="20"/>
    </w:rPr>
  </w:style>
  <w:style w:type="paragraph" w:styleId="CommentSubject">
    <w:name w:val="annotation subject"/>
    <w:basedOn w:val="CommentText"/>
    <w:next w:val="CommentText"/>
    <w:link w:val="CommentSubjectChar"/>
    <w:uiPriority w:val="99"/>
    <w:semiHidden/>
    <w:unhideWhenUsed/>
    <w:rsid w:val="00CF552F"/>
    <w:rPr>
      <w:b/>
      <w:bCs/>
    </w:rPr>
  </w:style>
  <w:style w:type="character" w:customStyle="1" w:styleId="CommentSubjectChar">
    <w:name w:val="Comment Subject Char"/>
    <w:basedOn w:val="CommentTextChar"/>
    <w:link w:val="CommentSubject"/>
    <w:uiPriority w:val="99"/>
    <w:semiHidden/>
    <w:rsid w:val="00CF552F"/>
    <w:rPr>
      <w:b/>
      <w:bCs/>
      <w:sz w:val="20"/>
      <w:szCs w:val="20"/>
    </w:rPr>
  </w:style>
  <w:style w:type="paragraph" w:styleId="Revision">
    <w:name w:val="Revision"/>
    <w:hidden/>
    <w:uiPriority w:val="99"/>
    <w:semiHidden/>
    <w:rsid w:val="006E0F28"/>
    <w:pPr>
      <w:spacing w:line="240" w:lineRule="auto"/>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604AD8"/>
    <w:pPr>
      <w:spacing w:after="200" w:line="240" w:lineRule="auto"/>
    </w:pPr>
    <w:rPr>
      <w:i/>
      <w:iCs/>
      <w:color w:val="1F497D" w:themeColor="text2"/>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F43D52"/>
    <w:pPr>
      <w:tabs>
        <w:tab w:val="center" w:pos="4513"/>
        <w:tab w:val="right" w:pos="9026"/>
      </w:tabs>
      <w:spacing w:line="240" w:lineRule="auto"/>
    </w:pPr>
  </w:style>
  <w:style w:type="character" w:customStyle="1" w:styleId="HeaderChar">
    <w:name w:val="Header Char"/>
    <w:basedOn w:val="DefaultParagraphFont"/>
    <w:link w:val="Header"/>
    <w:uiPriority w:val="99"/>
    <w:rsid w:val="00F43D52"/>
  </w:style>
  <w:style w:type="paragraph" w:styleId="Footer">
    <w:name w:val="footer"/>
    <w:basedOn w:val="Normal"/>
    <w:link w:val="FooterChar"/>
    <w:uiPriority w:val="99"/>
    <w:unhideWhenUsed/>
    <w:rsid w:val="00F43D52"/>
    <w:pPr>
      <w:tabs>
        <w:tab w:val="center" w:pos="4513"/>
        <w:tab w:val="right" w:pos="9026"/>
      </w:tabs>
      <w:spacing w:line="240" w:lineRule="auto"/>
    </w:pPr>
  </w:style>
  <w:style w:type="character" w:customStyle="1" w:styleId="FooterChar">
    <w:name w:val="Footer Char"/>
    <w:basedOn w:val="DefaultParagraphFont"/>
    <w:link w:val="Footer"/>
    <w:uiPriority w:val="99"/>
    <w:rsid w:val="00F43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L4IHdn1QtuWucUFUifqabzMzBw==">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Nidheesh A G</cp:lastModifiedBy>
  <cp:revision>19</cp:revision>
  <dcterms:created xsi:type="dcterms:W3CDTF">2025-06-10T04:53:00Z</dcterms:created>
  <dcterms:modified xsi:type="dcterms:W3CDTF">2026-04-20T12:22:00Z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03cc5955-f56f-497a-87e1-bf7fff342296</vt:lpwstr>
  </property>
</Properties>
</file>