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2768" w14:textId="77777777" w:rsidR="004F40C1" w:rsidRDefault="00000000">
      <w:pPr>
        <w:spacing w:line="360" w:lineRule="auto"/>
        <w:ind w:firstLineChars="0" w:firstLine="0"/>
        <w:jc w:val="center"/>
        <w:outlineLvl w:val="0"/>
        <w:rPr>
          <w:b/>
          <w:bCs/>
          <w:szCs w:val="24"/>
        </w:rPr>
      </w:pPr>
      <w:r w:rsidRPr="009D6DE0">
        <w:rPr>
          <w:b/>
          <w:bCs/>
          <w:sz w:val="28"/>
          <w:szCs w:val="28"/>
        </w:rPr>
        <w:t>Supporting Information</w:t>
      </w:r>
      <w:r>
        <w:rPr>
          <w:b/>
          <w:bCs/>
          <w:szCs w:val="24"/>
        </w:rPr>
        <w:t xml:space="preserve"> </w:t>
      </w:r>
    </w:p>
    <w:p w14:paraId="14482769" w14:textId="77777777" w:rsidR="004F40C1" w:rsidRDefault="00000000">
      <w:pPr>
        <w:ind w:firstLineChars="0" w:firstLine="0"/>
        <w:jc w:val="center"/>
        <w:rPr>
          <w:b/>
          <w:bCs/>
        </w:rPr>
      </w:pPr>
      <w:bookmarkStart w:id="0" w:name="OLE_LINK112"/>
      <w:bookmarkStart w:id="1" w:name="OLE_LINK64"/>
      <w:bookmarkStart w:id="2" w:name="_Ref132790909"/>
      <w:bookmarkStart w:id="3" w:name="_Hlk90754111"/>
      <w:r>
        <w:rPr>
          <w:b/>
          <w:bCs/>
        </w:rPr>
        <w:t xml:space="preserve">Electrochemical and failure of high-mass loading </w:t>
      </w:r>
      <w:bookmarkStart w:id="4" w:name="OLE_LINK2"/>
      <w:r>
        <w:rPr>
          <w:b/>
          <w:bCs/>
        </w:rPr>
        <w:t>lithium cobalt oxide electrode</w:t>
      </w:r>
      <w:bookmarkEnd w:id="0"/>
      <w:bookmarkEnd w:id="4"/>
      <w:r>
        <w:rPr>
          <w:b/>
          <w:bCs/>
        </w:rPr>
        <w:t xml:space="preserve"> via </w:t>
      </w:r>
      <w:bookmarkStart w:id="5" w:name="OLE_LINK51"/>
      <w:r>
        <w:rPr>
          <w:b/>
          <w:bCs/>
          <w:szCs w:val="24"/>
        </w:rPr>
        <w:t>cold sintering process</w:t>
      </w:r>
    </w:p>
    <w:bookmarkEnd w:id="1"/>
    <w:bookmarkEnd w:id="5"/>
    <w:p w14:paraId="1448276B" w14:textId="7EC4AC89" w:rsidR="004F40C1" w:rsidRDefault="00C61C5F" w:rsidP="00C61C5F">
      <w:pPr>
        <w:pStyle w:val="a3"/>
        <w:jc w:val="center"/>
        <w:rPr>
          <w:vertAlign w:val="superscript"/>
        </w:rPr>
      </w:pPr>
      <w:r>
        <w:t>Zhong Lin</w:t>
      </w:r>
      <w:r>
        <w:rPr>
          <w:vertAlign w:val="superscript"/>
        </w:rPr>
        <w:t>1</w:t>
      </w:r>
      <w:r>
        <w:t>, Kelin Zhu</w:t>
      </w:r>
      <w:r>
        <w:rPr>
          <w:rFonts w:hint="eastAsia"/>
          <w:vertAlign w:val="superscript"/>
        </w:rPr>
        <w:t>1</w:t>
      </w:r>
      <w:r>
        <w:t>,Guoan Cheng</w:t>
      </w:r>
      <w:r>
        <w:rPr>
          <w:vertAlign w:val="superscript"/>
        </w:rPr>
        <w:t>1</w:t>
      </w:r>
      <w:r>
        <w:t>,</w:t>
      </w:r>
      <w:r>
        <w:rPr>
          <w:rFonts w:hint="eastAsia"/>
        </w:rPr>
        <w:t xml:space="preserve"> </w:t>
      </w:r>
      <w:proofErr w:type="spellStart"/>
      <w:r>
        <w:t>Ruiting</w:t>
      </w:r>
      <w:proofErr w:type="spellEnd"/>
      <w:r>
        <w:t xml:space="preserve"> Zheng</w:t>
      </w:r>
      <w:r>
        <w:rPr>
          <w:rFonts w:hint="eastAsia"/>
          <w:vertAlign w:val="superscript"/>
        </w:rPr>
        <w:t>1</w:t>
      </w:r>
      <w:r>
        <w:t xml:space="preserve">*, </w:t>
      </w:r>
      <w:proofErr w:type="spellStart"/>
      <w:r>
        <w:t>Hongtao</w:t>
      </w:r>
      <w:proofErr w:type="spellEnd"/>
      <w:r>
        <w:t xml:space="preserve"> Zhang</w:t>
      </w:r>
      <w:r>
        <w:rPr>
          <w:rFonts w:hint="eastAsia"/>
          <w:vertAlign w:val="superscript"/>
        </w:rPr>
        <w:t>2</w:t>
      </w:r>
      <w:r>
        <w:t>*</w:t>
      </w:r>
    </w:p>
    <w:bookmarkEnd w:id="2"/>
    <w:p w14:paraId="1448276C" w14:textId="77777777" w:rsidR="004F40C1" w:rsidRDefault="004F40C1">
      <w:pPr>
        <w:spacing w:line="360" w:lineRule="auto"/>
        <w:ind w:firstLineChars="0" w:firstLine="0"/>
      </w:pPr>
    </w:p>
    <w:p w14:paraId="1448276D" w14:textId="77777777" w:rsidR="004F40C1" w:rsidRDefault="00000000">
      <w:pPr>
        <w:keepNext/>
        <w:spacing w:line="360" w:lineRule="auto"/>
        <w:ind w:firstLineChars="0" w:firstLine="0"/>
        <w:jc w:val="center"/>
      </w:pPr>
      <w:r>
        <w:object w:dxaOrig="7055" w:dyaOrig="5399" w14:anchorId="14482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270pt" o:ole="">
            <v:imagedata r:id="rId8" o:title=""/>
          </v:shape>
          <o:OLEObject Type="Embed" ProgID="Origin95.Graph" ShapeID="_x0000_i1025" DrawAspect="Content" ObjectID="_1838183737" r:id="rId9"/>
        </w:object>
      </w:r>
    </w:p>
    <w:p w14:paraId="1448276E" w14:textId="77777777" w:rsidR="004F40C1" w:rsidRDefault="00000000">
      <w:pPr>
        <w:pStyle w:val="a3"/>
        <w:jc w:val="center"/>
      </w:pPr>
      <w:r>
        <w:rPr>
          <w:b/>
          <w:bCs w:val="0"/>
        </w:rPr>
        <w:t>Figure S</w:t>
      </w:r>
      <w:r>
        <w:rPr>
          <w:b/>
          <w:bCs w:val="0"/>
        </w:rPr>
        <w:fldChar w:fldCharType="begin"/>
      </w:r>
      <w:r>
        <w:rPr>
          <w:b/>
          <w:bCs w:val="0"/>
        </w:rPr>
        <w:instrText xml:space="preserve"> SEQ Figure_S \* ARABIC </w:instrText>
      </w:r>
      <w:r>
        <w:rPr>
          <w:b/>
          <w:bCs w:val="0"/>
        </w:rPr>
        <w:fldChar w:fldCharType="separate"/>
      </w:r>
      <w:r>
        <w:rPr>
          <w:b/>
          <w:bCs w:val="0"/>
        </w:rPr>
        <w:t>1</w:t>
      </w:r>
      <w:r>
        <w:rPr>
          <w:b/>
          <w:bCs w:val="0"/>
        </w:rPr>
        <w:fldChar w:fldCharType="end"/>
      </w:r>
      <w:r>
        <w:rPr>
          <w:rFonts w:hint="eastAsia"/>
          <w:b/>
          <w:bCs w:val="0"/>
        </w:rPr>
        <w:t>.</w:t>
      </w:r>
      <w:r>
        <w:rPr>
          <w:rFonts w:hint="eastAsia"/>
        </w:rPr>
        <w:t xml:space="preserve"> P</w:t>
      </w:r>
      <w:r>
        <w:t>article</w:t>
      </w:r>
      <w:r>
        <w:rPr>
          <w:rFonts w:hint="eastAsia"/>
        </w:rPr>
        <w:t xml:space="preserve"> size of milled LCO powder used for CSP.</w:t>
      </w:r>
    </w:p>
    <w:p w14:paraId="1448276F" w14:textId="77777777" w:rsidR="004F40C1" w:rsidRDefault="004F40C1">
      <w:pPr>
        <w:spacing w:line="360" w:lineRule="auto"/>
        <w:ind w:firstLineChars="0" w:firstLine="0"/>
      </w:pPr>
    </w:p>
    <w:p w14:paraId="14482770" w14:textId="77777777" w:rsidR="004F40C1" w:rsidRDefault="00000000">
      <w:pPr>
        <w:keepNext/>
        <w:spacing w:line="360" w:lineRule="auto"/>
        <w:ind w:firstLineChars="0" w:firstLine="0"/>
        <w:jc w:val="center"/>
      </w:pPr>
      <w:r>
        <w:rPr>
          <w:rFonts w:hint="eastAsia"/>
          <w:noProof/>
        </w:rPr>
        <w:drawing>
          <wp:inline distT="0" distB="0" distL="0" distR="0" wp14:anchorId="144827DD" wp14:editId="144827DE">
            <wp:extent cx="4029710" cy="1455420"/>
            <wp:effectExtent l="0" t="0" r="0" b="0"/>
            <wp:docPr id="2107642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42132"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68468" cy="1469877"/>
                    </a:xfrm>
                    <a:prstGeom prst="rect">
                      <a:avLst/>
                    </a:prstGeom>
                  </pic:spPr>
                </pic:pic>
              </a:graphicData>
            </a:graphic>
          </wp:inline>
        </w:drawing>
      </w:r>
    </w:p>
    <w:p w14:paraId="14482771" w14:textId="3505BB5F" w:rsidR="004F40C1" w:rsidRDefault="00000000">
      <w:pPr>
        <w:pStyle w:val="a3"/>
        <w:jc w:val="center"/>
      </w:pPr>
      <w:r>
        <w:rPr>
          <w:b/>
          <w:bCs w:val="0"/>
        </w:rPr>
        <w:t>Figure S</w:t>
      </w:r>
      <w:r>
        <w:rPr>
          <w:b/>
          <w:bCs w:val="0"/>
        </w:rPr>
        <w:fldChar w:fldCharType="begin"/>
      </w:r>
      <w:r>
        <w:rPr>
          <w:b/>
          <w:bCs w:val="0"/>
        </w:rPr>
        <w:instrText xml:space="preserve"> SEQ Figure_S \* ARABIC </w:instrText>
      </w:r>
      <w:r>
        <w:rPr>
          <w:b/>
          <w:bCs w:val="0"/>
        </w:rPr>
        <w:fldChar w:fldCharType="separate"/>
      </w:r>
      <w:r>
        <w:rPr>
          <w:b/>
          <w:bCs w:val="0"/>
        </w:rPr>
        <w:t>2</w:t>
      </w:r>
      <w:r>
        <w:rPr>
          <w:b/>
          <w:bCs w:val="0"/>
        </w:rPr>
        <w:fldChar w:fldCharType="end"/>
      </w:r>
      <w:r>
        <w:rPr>
          <w:rFonts w:hint="eastAsia"/>
          <w:b/>
          <w:bCs w:val="0"/>
        </w:rPr>
        <w:t>.</w:t>
      </w:r>
      <w:r>
        <w:rPr>
          <w:rFonts w:hint="eastAsia"/>
        </w:rPr>
        <w:t xml:space="preserve"> </w:t>
      </w:r>
      <w:r>
        <w:t>(a) Optical photograph of the C-LCO electrode surface</w:t>
      </w:r>
      <w:r>
        <w:rPr>
          <w:rFonts w:hint="eastAsia"/>
        </w:rPr>
        <w:t>.</w:t>
      </w:r>
      <w:r>
        <w:t xml:space="preserve"> (b) Optical photograph of the gold-sputtered reverse surface of the C-LCO electrode sheet</w:t>
      </w:r>
      <w:r>
        <w:rPr>
          <w:rFonts w:hint="eastAsia"/>
        </w:rPr>
        <w:t>.</w:t>
      </w:r>
    </w:p>
    <w:p w14:paraId="14482772" w14:textId="77777777" w:rsidR="004F40C1" w:rsidRDefault="004F40C1"/>
    <w:p w14:paraId="14482773" w14:textId="77777777" w:rsidR="004F40C1" w:rsidRDefault="00000000">
      <w:pPr>
        <w:keepNext/>
        <w:spacing w:line="360" w:lineRule="auto"/>
        <w:ind w:firstLineChars="0" w:firstLine="0"/>
        <w:jc w:val="center"/>
      </w:pPr>
      <w:r>
        <w:object w:dxaOrig="6455" w:dyaOrig="4565" w14:anchorId="144827DF">
          <v:shape id="_x0000_i1026" type="#_x0000_t75" style="width:323pt;height:228.5pt" o:ole="">
            <v:imagedata r:id="rId11" o:title=""/>
          </v:shape>
          <o:OLEObject Type="Embed" ProgID="Origin95.Graph" ShapeID="_x0000_i1026" DrawAspect="Content" ObjectID="_1838183738" r:id="rId12"/>
        </w:object>
      </w:r>
    </w:p>
    <w:p w14:paraId="14482774" w14:textId="77777777" w:rsidR="004F40C1" w:rsidRDefault="00000000">
      <w:pPr>
        <w:pStyle w:val="a3"/>
        <w:jc w:val="center"/>
      </w:pPr>
      <w:r>
        <w:rPr>
          <w:b/>
          <w:bCs w:val="0"/>
        </w:rPr>
        <w:t>Figure S</w:t>
      </w:r>
      <w:r>
        <w:rPr>
          <w:b/>
          <w:bCs w:val="0"/>
        </w:rPr>
        <w:fldChar w:fldCharType="begin"/>
      </w:r>
      <w:r>
        <w:rPr>
          <w:b/>
          <w:bCs w:val="0"/>
        </w:rPr>
        <w:instrText xml:space="preserve"> SEQ Figure_S \* ARABIC </w:instrText>
      </w:r>
      <w:r>
        <w:rPr>
          <w:b/>
          <w:bCs w:val="0"/>
        </w:rPr>
        <w:fldChar w:fldCharType="separate"/>
      </w:r>
      <w:r>
        <w:rPr>
          <w:b/>
          <w:bCs w:val="0"/>
        </w:rPr>
        <w:t>3</w:t>
      </w:r>
      <w:r>
        <w:rPr>
          <w:b/>
          <w:bCs w:val="0"/>
        </w:rPr>
        <w:fldChar w:fldCharType="end"/>
      </w:r>
      <w:r>
        <w:rPr>
          <w:rFonts w:hint="eastAsia"/>
          <w:b/>
          <w:bCs w:val="0"/>
        </w:rPr>
        <w:t>.</w:t>
      </w:r>
      <w:r>
        <w:rPr>
          <w:rFonts w:hint="eastAsia"/>
        </w:rPr>
        <w:t xml:space="preserve"> R</w:t>
      </w:r>
      <w:r>
        <w:t xml:space="preserve">esistance values </w:t>
      </w:r>
      <w:r>
        <w:rPr>
          <w:rFonts w:hint="eastAsia"/>
        </w:rPr>
        <w:t xml:space="preserve">of C-LCO/Li cell </w:t>
      </w:r>
      <w:r>
        <w:t>extracted by EIS fitting data</w:t>
      </w:r>
      <w:r>
        <w:rPr>
          <w:rFonts w:hint="eastAsia"/>
        </w:rPr>
        <w:t>.</w:t>
      </w:r>
    </w:p>
    <w:p w14:paraId="14482775" w14:textId="77777777" w:rsidR="004F40C1" w:rsidRDefault="004F40C1">
      <w:pPr>
        <w:spacing w:line="360" w:lineRule="auto"/>
        <w:ind w:firstLineChars="0" w:firstLine="0"/>
      </w:pPr>
    </w:p>
    <w:p w14:paraId="14482776" w14:textId="77777777" w:rsidR="004F40C1" w:rsidRDefault="00000000">
      <w:pPr>
        <w:ind w:firstLineChars="0" w:firstLine="0"/>
      </w:pPr>
      <w:bookmarkStart w:id="6" w:name="_Ref24978"/>
      <w:r>
        <w:rPr>
          <w:b/>
          <w:bCs/>
        </w:rPr>
        <w:t>Table S</w:t>
      </w:r>
      <w:bookmarkEnd w:id="6"/>
      <w:r>
        <w:rPr>
          <w:rFonts w:hint="eastAsia"/>
          <w:b/>
          <w:bCs/>
        </w:rPr>
        <w:t>1</w:t>
      </w:r>
      <w:r>
        <w:rPr>
          <w:rFonts w:hint="eastAsia"/>
        </w:rPr>
        <w:t xml:space="preserve">. </w:t>
      </w:r>
      <w:r>
        <w:t>Electrochemical performance comparison of this work with previously reported studies.</w:t>
      </w:r>
    </w:p>
    <w:tbl>
      <w:tblPr>
        <w:tblW w:w="4858" w:type="pct"/>
        <w:tblLayout w:type="fixed"/>
        <w:tblLook w:val="04A0" w:firstRow="1" w:lastRow="0" w:firstColumn="1" w:lastColumn="0" w:noHBand="0" w:noVBand="1"/>
      </w:tblPr>
      <w:tblGrid>
        <w:gridCol w:w="992"/>
        <w:gridCol w:w="1701"/>
        <w:gridCol w:w="1559"/>
        <w:gridCol w:w="1417"/>
        <w:gridCol w:w="1843"/>
        <w:gridCol w:w="564"/>
      </w:tblGrid>
      <w:tr w:rsidR="004F40C1" w14:paraId="1448277E"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77"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 xml:space="preserve">Electrode material  </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78"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technical route</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79"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Mass loading@</w:t>
            </w:r>
          </w:p>
          <w:p w14:paraId="1448277A"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Thickness</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7B"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 xml:space="preserve">Capacity </w:t>
            </w:r>
          </w:p>
        </w:tc>
        <w:tc>
          <w:tcPr>
            <w:tcW w:w="1141" w:type="pct"/>
            <w:tcBorders>
              <w:top w:val="single" w:sz="4" w:space="0" w:color="auto"/>
              <w:left w:val="single" w:sz="4" w:space="0" w:color="auto"/>
              <w:bottom w:val="single" w:sz="4" w:space="0" w:color="auto"/>
              <w:right w:val="single" w:sz="4" w:space="0" w:color="auto"/>
            </w:tcBorders>
            <w:vAlign w:val="center"/>
          </w:tcPr>
          <w:p w14:paraId="1448277C"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 xml:space="preserve">No. of cycles </w:t>
            </w:r>
            <w:r>
              <w:rPr>
                <w:bCs/>
                <w:color w:val="000000" w:themeColor="text1"/>
                <w:sz w:val="16"/>
                <w:szCs w:val="15"/>
              </w:rPr>
              <w:t>(Capacity retention)</w:t>
            </w:r>
            <w:r>
              <w:rPr>
                <w:b/>
                <w:color w:val="000000" w:themeColor="text1"/>
                <w:sz w:val="16"/>
                <w:szCs w:val="15"/>
              </w:rPr>
              <w:t>@C-rate</w:t>
            </w:r>
          </w:p>
        </w:tc>
        <w:tc>
          <w:tcPr>
            <w:tcW w:w="349" w:type="pct"/>
            <w:tcBorders>
              <w:top w:val="single" w:sz="4" w:space="0" w:color="auto"/>
              <w:left w:val="single" w:sz="4" w:space="0" w:color="auto"/>
              <w:bottom w:val="single" w:sz="4" w:space="0" w:color="auto"/>
              <w:right w:val="nil"/>
            </w:tcBorders>
            <w:noWrap/>
            <w:vAlign w:val="center"/>
          </w:tcPr>
          <w:p w14:paraId="1448277D"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Ref.</w:t>
            </w:r>
          </w:p>
        </w:tc>
      </w:tr>
      <w:tr w:rsidR="004F40C1" w14:paraId="14482785"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7F"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 xml:space="preserve">NCM811 </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80" w14:textId="77777777" w:rsidR="004F40C1" w:rsidRDefault="00000000">
            <w:pPr>
              <w:spacing w:line="360" w:lineRule="auto"/>
              <w:ind w:firstLineChars="0" w:firstLine="0"/>
              <w:rPr>
                <w:color w:val="000000" w:themeColor="text1"/>
                <w:sz w:val="16"/>
                <w:szCs w:val="15"/>
              </w:rPr>
            </w:pPr>
            <w:r>
              <w:rPr>
                <w:sz w:val="16"/>
                <w:szCs w:val="15"/>
              </w:rPr>
              <w:t>tape casting</w:t>
            </w:r>
            <w:r>
              <w:rPr>
                <w:rFonts w:eastAsia="宋体"/>
                <w:color w:val="000000" w:themeColor="text1"/>
                <w:kern w:val="0"/>
                <w:sz w:val="16"/>
                <w:szCs w:val="15"/>
              </w:rPr>
              <w:t xml:space="preserve"> </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81" w14:textId="7BA3FC3E" w:rsidR="004F40C1" w:rsidRDefault="00000000">
            <w:pPr>
              <w:spacing w:line="360" w:lineRule="auto"/>
              <w:ind w:firstLineChars="0" w:firstLine="0"/>
              <w:rPr>
                <w:b/>
                <w:bCs/>
                <w:color w:val="000000" w:themeColor="text1"/>
                <w:sz w:val="16"/>
                <w:szCs w:val="15"/>
              </w:rPr>
            </w:pPr>
            <w:r>
              <w:rPr>
                <w:rFonts w:eastAsia="宋体"/>
                <w:b/>
                <w:bCs/>
                <w:color w:val="000000" w:themeColor="text1"/>
                <w:kern w:val="0"/>
                <w:sz w:val="16"/>
                <w:szCs w:val="15"/>
              </w:rPr>
              <w:t>~23 mg</w:t>
            </w:r>
            <w:r>
              <w:rPr>
                <w:rFonts w:eastAsia="宋体" w:hint="eastAsia"/>
                <w:b/>
                <w:bCs/>
                <w:color w:val="000000" w:themeColor="text1"/>
                <w:kern w:val="0"/>
                <w:sz w:val="16"/>
                <w:szCs w:val="15"/>
              </w:rPr>
              <w:t xml:space="preserve"> </w:t>
            </w:r>
            <w:r>
              <w:rPr>
                <w:rFonts w:eastAsia="宋体"/>
                <w:b/>
                <w:bCs/>
                <w:color w:val="000000" w:themeColor="text1"/>
                <w:kern w:val="0"/>
                <w:sz w:val="16"/>
                <w:szCs w:val="15"/>
              </w:rPr>
              <w:t>cm</w:t>
            </w:r>
            <w:r w:rsidRPr="009D6DE0">
              <w:rPr>
                <w:rFonts w:eastAsia="宋体"/>
                <w:b/>
                <w:bCs/>
                <w:color w:val="000000" w:themeColor="text1"/>
                <w:kern w:val="0"/>
                <w:sz w:val="16"/>
                <w:szCs w:val="15"/>
                <w:vertAlign w:val="superscript"/>
              </w:rPr>
              <w:t>-</w:t>
            </w:r>
            <w:r>
              <w:rPr>
                <w:rFonts w:eastAsia="宋体"/>
                <w:b/>
                <w:bCs/>
                <w:color w:val="000000" w:themeColor="text1"/>
                <w:kern w:val="0"/>
                <w:sz w:val="16"/>
                <w:szCs w:val="15"/>
              </w:rPr>
              <w:t>²</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82"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 xml:space="preserve">4.1 </w:t>
            </w:r>
            <w:proofErr w:type="spellStart"/>
            <w:r>
              <w:rPr>
                <w:bCs/>
                <w:color w:val="000000" w:themeColor="text1"/>
                <w:sz w:val="16"/>
                <w:szCs w:val="15"/>
              </w:rPr>
              <w:t>mAh</w:t>
            </w:r>
            <w:proofErr w:type="spellEnd"/>
            <w:r>
              <w:rPr>
                <w:rFonts w:hint="eastAsia"/>
                <w:bCs/>
                <w:color w:val="000000" w:themeColor="text1"/>
                <w:sz w:val="16"/>
                <w:szCs w:val="15"/>
              </w:rPr>
              <w:t xml:space="preserve"> </w:t>
            </w:r>
            <w:r>
              <w:rPr>
                <w:bCs/>
                <w:color w:val="000000" w:themeColor="text1"/>
                <w:sz w:val="16"/>
                <w:szCs w:val="15"/>
              </w:rPr>
              <w:t>cm</w:t>
            </w:r>
            <w:r>
              <w:rPr>
                <w:bCs/>
                <w:color w:val="000000" w:themeColor="text1"/>
                <w:sz w:val="16"/>
                <w:szCs w:val="15"/>
                <w:vertAlign w:val="superscript"/>
              </w:rPr>
              <w:t>–2</w:t>
            </w:r>
            <w:r>
              <w:rPr>
                <w:bCs/>
                <w:color w:val="000000" w:themeColor="text1"/>
                <w:sz w:val="16"/>
                <w:szCs w:val="15"/>
              </w:rPr>
              <w:t xml:space="preserve"> </w:t>
            </w:r>
          </w:p>
        </w:tc>
        <w:tc>
          <w:tcPr>
            <w:tcW w:w="1141" w:type="pct"/>
            <w:tcBorders>
              <w:top w:val="single" w:sz="4" w:space="0" w:color="auto"/>
              <w:left w:val="single" w:sz="4" w:space="0" w:color="auto"/>
              <w:bottom w:val="single" w:sz="4" w:space="0" w:color="auto"/>
              <w:right w:val="single" w:sz="4" w:space="0" w:color="auto"/>
            </w:tcBorders>
            <w:vAlign w:val="center"/>
          </w:tcPr>
          <w:p w14:paraId="14482783"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70</w:t>
            </w:r>
            <w:r>
              <w:rPr>
                <w:bCs/>
                <w:color w:val="000000" w:themeColor="text1"/>
                <w:sz w:val="16"/>
                <w:szCs w:val="15"/>
              </w:rPr>
              <w:t xml:space="preserve"> (94.8%)</w:t>
            </w:r>
            <w:r>
              <w:rPr>
                <w:b/>
                <w:color w:val="000000" w:themeColor="text1"/>
                <w:sz w:val="16"/>
                <w:szCs w:val="15"/>
              </w:rPr>
              <w:t xml:space="preserve"> @ 0.2 C</w:t>
            </w:r>
          </w:p>
        </w:tc>
        <w:tc>
          <w:tcPr>
            <w:tcW w:w="349" w:type="pct"/>
            <w:tcBorders>
              <w:top w:val="single" w:sz="4" w:space="0" w:color="auto"/>
              <w:left w:val="single" w:sz="4" w:space="0" w:color="auto"/>
              <w:bottom w:val="single" w:sz="4" w:space="0" w:color="auto"/>
              <w:right w:val="nil"/>
            </w:tcBorders>
            <w:noWrap/>
            <w:vAlign w:val="center"/>
          </w:tcPr>
          <w:p w14:paraId="14482784"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{"citationID":"9EtCMB8P","properties":{"formattedCitation":"[1]","plainCitation":"[1]","noteIndex":0},"citationItems":[{"id":503,"uris":["http://zotero.org/users/15800058/items/D9RYEQXG"],"itemData":{"id":503,"type":"article-journal","abstract":"Lithium-ion batteries serve as a key technology, establishing the advancement of energy storage devices and playing a vital role in the global shift toward sustainable and green energy. However, the growing demand for high capacity nickel (Ni)-rich lithium-ion batteries accelerates the optimization of their energy density. A high-mass loading electrode design is a promising strategy for enhancing the energy density of LIBs, enabling the improved performance for commercial applications. The factors that limit the rate capability of the high-mass loading electrode are associated with the underutilization of active materials and increased polarization, which can be further attributed to slow electronic/ionic transport within the electrode. In this work, the conductive networks and porous characteristics of the Ni-rich LiNi0.8Co0.1Mn0.1O2 (NCM811) cathode electrode is preciously tailored through the incorporation of multidimensional carbon conductive additives, facilitating enhanced electron transport and optimized porosity enhancing lithium-ion diffusion within the high-mass loading electrode. As a result, the NCM811 cathode electrode with dual-multidimensional conductive additives, such as carbon black and carbon nanofiber (CB + CNF), exhibits an outstanding performance, achieving a capacity retention of 94.8% over 100 cycles at 1 C. It is also observed that long-structured CNFs contributes significantly to the formation of efficient conductive networks in a high-mass loading thick electrode (∼23 mg cm–2) exhibiting excellent performance at 0.2 C. The simple yet fundamental principle uncovered through this work demonstrates that the integration of the dual-carbon system synergistically enhances the conductive networks and optimizes electrode porosity. This microstructural optimization effectively reduces Ohmic contact resistance, contributing to a significantly enhanced electrochemical performance.","container-title":"ACS Applied Materials &amp; Interfaces","DOI":"10.1021/acsami.5c12663","ISSN":"1944-8244","issue":"34","journalAbbreviation":"ACS Appl. Mater. Interfaces","page":"48429-48439","publisher":"American Chemical Society","source":"ACS Publications","title":"High-Mass Loading Nickel-Rich Cathode Electrode Design Incorporating Multidimensional Carbon Conductive Additives to Minimize Ohmic Contact Resistance for High-Performance Lithium-Ion Batteries","URL":"https://doi.org/10.1021/acsami.5c12663","volume":"17","author":[{"family":"Saqib","given":"Kashif Saleem"},{"family":"Choi","given":"Jae Hong"},{"family":"Park","given":"Sungwoo"},{"family":"Lim","given":"Hyuntae"},{"family":"Ali","given":"Jahanzaib"},{"family":"Hwang","given":"Mingi"},{"family":"Kim","given":"Minhu"},{"family":"Lim","given":"Heesoo"},{"family":"Oh","given":"Mirim"},{"family":"Kaveevivitchai","given":"Watchareeya"},{"family":"Lee","given":"Woo-Jae"},{"family":"Park","given":"Minjoon"},{"family":"Oh","given":"Pilgun"}],"accessed":{"date-parts":[["2026",4,17]]},"issued":{"date-parts":[["2025",8,27]]}}}],"schema":"https://github.com/citation-style-language/schema/raw/master/csl-citation.json"} </w:instrText>
            </w:r>
            <w:r>
              <w:rPr>
                <w:sz w:val="18"/>
                <w:szCs w:val="18"/>
              </w:rPr>
              <w:fldChar w:fldCharType="separate"/>
            </w:r>
            <w:r>
              <w:rPr>
                <w:sz w:val="18"/>
                <w:szCs w:val="18"/>
              </w:rPr>
              <w:t>[1]</w:t>
            </w:r>
            <w:r>
              <w:rPr>
                <w:sz w:val="18"/>
                <w:szCs w:val="18"/>
              </w:rPr>
              <w:fldChar w:fldCharType="end"/>
            </w:r>
          </w:p>
        </w:tc>
      </w:tr>
      <w:tr w:rsidR="004F40C1" w14:paraId="1448278E"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86" w14:textId="77777777" w:rsidR="004F40C1" w:rsidRDefault="00000000">
            <w:pPr>
              <w:ind w:firstLineChars="0" w:firstLine="0"/>
              <w:rPr>
                <w:bCs/>
                <w:color w:val="000000" w:themeColor="text1"/>
                <w:sz w:val="16"/>
                <w:szCs w:val="15"/>
              </w:rPr>
            </w:pPr>
            <w:r>
              <w:rPr>
                <w:bCs/>
                <w:sz w:val="16"/>
                <w:szCs w:val="15"/>
              </w:rPr>
              <w:t>NCM622</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87" w14:textId="77777777" w:rsidR="004F40C1" w:rsidRDefault="00000000">
            <w:pPr>
              <w:spacing w:line="360" w:lineRule="auto"/>
              <w:ind w:firstLineChars="0" w:firstLine="0"/>
              <w:rPr>
                <w:rFonts w:eastAsia="宋体"/>
                <w:color w:val="000000" w:themeColor="text1"/>
                <w:kern w:val="0"/>
                <w:sz w:val="16"/>
                <w:szCs w:val="15"/>
              </w:rPr>
            </w:pPr>
            <w:r>
              <w:rPr>
                <w:sz w:val="16"/>
                <w:szCs w:val="15"/>
              </w:rPr>
              <w:t>tape casting</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88" w14:textId="3F7B5328" w:rsidR="004F40C1" w:rsidRDefault="00000000">
            <w:pPr>
              <w:spacing w:line="360" w:lineRule="auto"/>
              <w:ind w:firstLineChars="0" w:firstLine="0"/>
              <w:rPr>
                <w:rFonts w:eastAsia="宋体"/>
                <w:b/>
                <w:bCs/>
                <w:sz w:val="16"/>
                <w:szCs w:val="15"/>
              </w:rPr>
            </w:pPr>
            <w:r>
              <w:rPr>
                <w:rFonts w:eastAsia="宋体"/>
                <w:b/>
                <w:bCs/>
                <w:color w:val="000000" w:themeColor="text1"/>
                <w:kern w:val="0"/>
                <w:sz w:val="16"/>
                <w:szCs w:val="15"/>
              </w:rPr>
              <w:t>20 mg</w:t>
            </w:r>
            <w:r>
              <w:rPr>
                <w:rFonts w:eastAsia="宋体" w:hint="eastAsia"/>
                <w:b/>
                <w:bCs/>
                <w:color w:val="000000" w:themeColor="text1"/>
                <w:kern w:val="0"/>
                <w:sz w:val="16"/>
                <w:szCs w:val="15"/>
              </w:rPr>
              <w:t xml:space="preserve"> </w:t>
            </w:r>
            <w:r>
              <w:rPr>
                <w:rFonts w:eastAsia="宋体"/>
                <w:b/>
                <w:bCs/>
                <w:color w:val="000000" w:themeColor="text1"/>
                <w:kern w:val="0"/>
                <w:sz w:val="16"/>
                <w:szCs w:val="15"/>
              </w:rPr>
              <w:t>cm</w:t>
            </w:r>
            <w:r>
              <w:rPr>
                <w:rFonts w:eastAsia="宋体" w:hint="eastAsia"/>
                <w:b/>
                <w:bCs/>
                <w:color w:val="000000" w:themeColor="text1"/>
                <w:kern w:val="0"/>
                <w:sz w:val="16"/>
                <w:szCs w:val="15"/>
                <w:vertAlign w:val="superscript"/>
              </w:rPr>
              <w:t>-</w:t>
            </w:r>
            <w:r>
              <w:rPr>
                <w:rFonts w:eastAsia="宋体"/>
                <w:b/>
                <w:bCs/>
                <w:color w:val="000000" w:themeColor="text1"/>
                <w:kern w:val="0"/>
                <w:sz w:val="16"/>
                <w:szCs w:val="15"/>
              </w:rPr>
              <w:t>²</w:t>
            </w:r>
          </w:p>
          <w:p w14:paraId="14482789" w14:textId="77777777" w:rsidR="004F40C1" w:rsidRDefault="00000000">
            <w:pPr>
              <w:spacing w:line="360" w:lineRule="auto"/>
              <w:ind w:firstLineChars="0" w:firstLine="0"/>
              <w:rPr>
                <w:rFonts w:eastAsia="宋体"/>
                <w:color w:val="000000" w:themeColor="text1"/>
                <w:kern w:val="0"/>
                <w:sz w:val="16"/>
                <w:szCs w:val="15"/>
              </w:rPr>
            </w:pPr>
            <w:r>
              <w:rPr>
                <w:sz w:val="16"/>
                <w:szCs w:val="15"/>
              </w:rPr>
              <w:t>@70μm</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8A"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 xml:space="preserve">~56 </w:t>
            </w:r>
            <w:proofErr w:type="spellStart"/>
            <w:r>
              <w:rPr>
                <w:bCs/>
                <w:color w:val="000000" w:themeColor="text1"/>
                <w:sz w:val="16"/>
                <w:szCs w:val="15"/>
              </w:rPr>
              <w:t>mAh</w:t>
            </w:r>
            <w:proofErr w:type="spellEnd"/>
            <w:r>
              <w:rPr>
                <w:rFonts w:hint="eastAsia"/>
                <w:bCs/>
                <w:color w:val="000000" w:themeColor="text1"/>
                <w:sz w:val="16"/>
                <w:szCs w:val="15"/>
              </w:rPr>
              <w:t xml:space="preserve"> </w:t>
            </w:r>
            <w:r>
              <w:rPr>
                <w:bCs/>
                <w:color w:val="000000" w:themeColor="text1"/>
                <w:sz w:val="16"/>
                <w:szCs w:val="15"/>
              </w:rPr>
              <w:t>g</w:t>
            </w:r>
            <w:r>
              <w:rPr>
                <w:bCs/>
                <w:color w:val="000000" w:themeColor="text1"/>
                <w:sz w:val="16"/>
                <w:szCs w:val="15"/>
                <w:vertAlign w:val="superscript"/>
              </w:rPr>
              <w:t>-1</w:t>
            </w:r>
            <w:r>
              <w:rPr>
                <w:bCs/>
                <w:color w:val="000000" w:themeColor="text1"/>
                <w:sz w:val="16"/>
                <w:szCs w:val="15"/>
              </w:rPr>
              <w:t xml:space="preserve"> @</w:t>
            </w:r>
          </w:p>
          <w:p w14:paraId="1448278B"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(100</w:t>
            </w:r>
            <w:r>
              <w:rPr>
                <w:bCs/>
                <w:color w:val="000000" w:themeColor="text1"/>
                <w:sz w:val="16"/>
                <w:szCs w:val="15"/>
                <w:vertAlign w:val="superscript"/>
              </w:rPr>
              <w:t>th</w:t>
            </w:r>
            <w:r>
              <w:rPr>
                <w:bCs/>
                <w:color w:val="000000" w:themeColor="text1"/>
                <w:sz w:val="16"/>
                <w:szCs w:val="15"/>
              </w:rPr>
              <w:t xml:space="preserve"> cycle)</w:t>
            </w:r>
          </w:p>
        </w:tc>
        <w:tc>
          <w:tcPr>
            <w:tcW w:w="1141" w:type="pct"/>
            <w:tcBorders>
              <w:top w:val="single" w:sz="4" w:space="0" w:color="auto"/>
              <w:left w:val="single" w:sz="4" w:space="0" w:color="auto"/>
              <w:bottom w:val="single" w:sz="4" w:space="0" w:color="auto"/>
              <w:right w:val="single" w:sz="4" w:space="0" w:color="auto"/>
            </w:tcBorders>
            <w:vAlign w:val="center"/>
          </w:tcPr>
          <w:p w14:paraId="1448278C"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 xml:space="preserve">100 </w:t>
            </w:r>
            <w:r>
              <w:rPr>
                <w:bCs/>
                <w:color w:val="000000" w:themeColor="text1"/>
                <w:sz w:val="16"/>
                <w:szCs w:val="15"/>
              </w:rPr>
              <w:t>(36%)</w:t>
            </w:r>
            <w:bookmarkStart w:id="7" w:name="OLE_LINK6"/>
            <w:r>
              <w:rPr>
                <w:b/>
                <w:color w:val="000000" w:themeColor="text1"/>
                <w:sz w:val="16"/>
                <w:szCs w:val="15"/>
              </w:rPr>
              <w:t xml:space="preserve"> @1</w:t>
            </w:r>
            <w:r>
              <w:rPr>
                <w:rFonts w:hint="eastAsia"/>
                <w:b/>
                <w:color w:val="000000" w:themeColor="text1"/>
                <w:sz w:val="16"/>
                <w:szCs w:val="15"/>
              </w:rPr>
              <w:t xml:space="preserve"> </w:t>
            </w:r>
            <w:r>
              <w:rPr>
                <w:b/>
                <w:color w:val="000000" w:themeColor="text1"/>
                <w:sz w:val="16"/>
                <w:szCs w:val="15"/>
              </w:rPr>
              <w:t>C</w:t>
            </w:r>
            <w:bookmarkEnd w:id="7"/>
          </w:p>
        </w:tc>
        <w:tc>
          <w:tcPr>
            <w:tcW w:w="349" w:type="pct"/>
            <w:tcBorders>
              <w:top w:val="single" w:sz="4" w:space="0" w:color="auto"/>
              <w:left w:val="single" w:sz="4" w:space="0" w:color="auto"/>
              <w:bottom w:val="single" w:sz="4" w:space="0" w:color="auto"/>
              <w:right w:val="nil"/>
            </w:tcBorders>
            <w:noWrap/>
            <w:vAlign w:val="center"/>
          </w:tcPr>
          <w:p w14:paraId="1448278D"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{"citationID":"78lLCFVi","properties":{"formattedCitation":"[2]","plainCitation":"[2]","noteIndex":0},"citationItems":[{"id":391,"uris":["http://zotero.org/users/15800058/items/96KXS8ZV"],"itemData":{"id":391,"type":"article-journal","abstract":"The use of thick electrodes with high-loading density of active material is one of the most practical strategies to increase the volumetric/specific energy density of lithium-ion battery, while taking advantage of the current electrode chemistry. However, their use is accompanied by serious deterioration of electrochemical performance, especially exhibiting poor capacity retention with low power capability. Here, the degradation behavior of the LiNi0·6Co0·2Mn0·2O2, one of widely adopted cathodes, is comparatively investigated under high loading levels as high as 28 mg cm−2 over the extended cycling. It is revealed that the charge transport limitation is cumulatively dominated by the lithium ionic diffusion rather than the electronic conduction in the thick electrode. More importantly, as the cycle proceeds, the thick electrode gets exposed to a serious reaction inhomogeneity because of the negative feedback between the accumulated ion transport limitation and locally increasing resistance. It leads to the generation of current hot spot in the electrode and the corresponding local material degradation, which further inhibit the charge transport, resulting in unavoidable capacity fading. This finding proposes that rational electrode architecture detouring the hot spot generation needs to be considered with respect to the ion transport and the electrode material degradation toward the high-loading electrodes.","container-title":"Journal of Power Sources","DOI":"10.1016/j.jpowsour.2020.228369","ISSN":"0378-7753","journalAbbreviation":"Journal of Power Sources","page":"228369","source":"ScienceDirect","title":"Understanding capacity fading mechanism of thick electrodes for lithium-ion rechargeable batteries","URL":"https://www.sciencedirect.com/science/article/pii/S037877532030673X","volume":"468","author":[{"family":"Park","given":"Kyu-Young"},{"family":"Park","given":"Ji-Won"},{"family":"Seong","given":"Won Mo"},{"family":"Yoon","given":"Kyungho"},{"family":"Hwang","given":"Tae-Hyun"},{"family":"Ko","given":"Kun-Hee"},{"family":"Han","given":"Ju-Hyeong"},{"family":"Jaedong","given":"Yang"},{"family":"Kang","given":"Kisuk"}],"accessed":{"date-parts":[["2026",4,13]]},"issued":{"date-parts":[["2020",8,31]]}}}],"schema":"https://github.com/citation-style-language/schema/raw/master/csl-citation.json"} </w:instrText>
            </w:r>
            <w:r>
              <w:rPr>
                <w:sz w:val="18"/>
                <w:szCs w:val="18"/>
              </w:rPr>
              <w:fldChar w:fldCharType="separate"/>
            </w:r>
            <w:r>
              <w:rPr>
                <w:sz w:val="18"/>
                <w:szCs w:val="18"/>
              </w:rPr>
              <w:t>[2]</w:t>
            </w:r>
            <w:r>
              <w:rPr>
                <w:sz w:val="18"/>
                <w:szCs w:val="18"/>
              </w:rPr>
              <w:fldChar w:fldCharType="end"/>
            </w:r>
          </w:p>
        </w:tc>
      </w:tr>
      <w:tr w:rsidR="004F40C1" w14:paraId="14482796"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8F"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LFP</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90" w14:textId="77777777" w:rsidR="004F40C1" w:rsidRDefault="00000000">
            <w:pPr>
              <w:spacing w:line="360" w:lineRule="auto"/>
              <w:ind w:firstLineChars="0" w:firstLine="0"/>
              <w:rPr>
                <w:sz w:val="16"/>
                <w:szCs w:val="15"/>
              </w:rPr>
            </w:pPr>
            <w:r>
              <w:rPr>
                <w:sz w:val="16"/>
                <w:szCs w:val="15"/>
              </w:rPr>
              <w:t>Sintering at 650℃</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91" w14:textId="7932012A" w:rsidR="004F40C1" w:rsidRDefault="00000000">
            <w:pPr>
              <w:spacing w:line="360" w:lineRule="auto"/>
              <w:ind w:firstLineChars="0" w:firstLine="0"/>
              <w:rPr>
                <w:b/>
                <w:bCs/>
                <w:sz w:val="16"/>
                <w:szCs w:val="15"/>
              </w:rPr>
            </w:pPr>
            <w:r>
              <w:rPr>
                <w:b/>
                <w:bCs/>
                <w:sz w:val="16"/>
                <w:szCs w:val="15"/>
              </w:rPr>
              <w:t>2.3 g</w:t>
            </w:r>
            <w:r>
              <w:rPr>
                <w:rFonts w:hint="eastAsia"/>
                <w:b/>
                <w:bCs/>
                <w:sz w:val="16"/>
                <w:szCs w:val="15"/>
              </w:rPr>
              <w:t xml:space="preserve"> </w:t>
            </w:r>
            <w:r>
              <w:rPr>
                <w:b/>
                <w:bCs/>
                <w:sz w:val="16"/>
                <w:szCs w:val="15"/>
              </w:rPr>
              <w:t>cm</w:t>
            </w:r>
            <w:r>
              <w:rPr>
                <w:rFonts w:eastAsia="宋体" w:hint="eastAsia"/>
                <w:b/>
                <w:bCs/>
                <w:color w:val="000000" w:themeColor="text1"/>
                <w:kern w:val="0"/>
                <w:sz w:val="16"/>
                <w:szCs w:val="15"/>
                <w:vertAlign w:val="superscript"/>
              </w:rPr>
              <w:t>-</w:t>
            </w:r>
            <w:r>
              <w:rPr>
                <w:b/>
                <w:bCs/>
                <w:sz w:val="16"/>
                <w:szCs w:val="15"/>
              </w:rPr>
              <w:t>³</w:t>
            </w:r>
          </w:p>
          <w:p w14:paraId="14482792" w14:textId="77777777" w:rsidR="004F40C1" w:rsidRDefault="00000000">
            <w:pPr>
              <w:spacing w:line="360" w:lineRule="auto"/>
              <w:ind w:firstLineChars="0" w:firstLine="0"/>
              <w:rPr>
                <w:sz w:val="16"/>
                <w:szCs w:val="15"/>
              </w:rPr>
            </w:pPr>
            <w:r>
              <w:rPr>
                <w:sz w:val="16"/>
                <w:szCs w:val="15"/>
              </w:rPr>
              <w:t>@500 </w:t>
            </w:r>
            <w:proofErr w:type="spellStart"/>
            <w:r>
              <w:rPr>
                <w:sz w:val="16"/>
                <w:szCs w:val="15"/>
              </w:rPr>
              <w:t>μm</w:t>
            </w:r>
            <w:proofErr w:type="spellEnd"/>
          </w:p>
        </w:tc>
        <w:tc>
          <w:tcPr>
            <w:tcW w:w="877" w:type="pct"/>
            <w:tcBorders>
              <w:top w:val="single" w:sz="4" w:space="0" w:color="auto"/>
              <w:left w:val="single" w:sz="4" w:space="0" w:color="auto"/>
              <w:bottom w:val="single" w:sz="4" w:space="0" w:color="auto"/>
              <w:right w:val="single" w:sz="4" w:space="0" w:color="auto"/>
            </w:tcBorders>
            <w:noWrap/>
            <w:vAlign w:val="center"/>
          </w:tcPr>
          <w:p w14:paraId="14482793" w14:textId="77777777" w:rsidR="004F40C1" w:rsidRDefault="00000000">
            <w:pPr>
              <w:spacing w:line="360" w:lineRule="auto"/>
              <w:ind w:firstLineChars="0" w:firstLine="0"/>
              <w:rPr>
                <w:bCs/>
                <w:sz w:val="16"/>
                <w:szCs w:val="15"/>
              </w:rPr>
            </w:pPr>
            <w:r>
              <w:rPr>
                <w:bCs/>
                <w:sz w:val="16"/>
                <w:szCs w:val="15"/>
              </w:rPr>
              <w:t>~13.7 </w:t>
            </w:r>
            <w:proofErr w:type="spellStart"/>
            <w:r>
              <w:rPr>
                <w:bCs/>
                <w:sz w:val="16"/>
                <w:szCs w:val="15"/>
              </w:rPr>
              <w:t>mAh</w:t>
            </w:r>
            <w:proofErr w:type="spellEnd"/>
            <w:r>
              <w:rPr>
                <w:bCs/>
                <w:sz w:val="16"/>
                <w:szCs w:val="15"/>
              </w:rPr>
              <w:t xml:space="preserve"> cm</w:t>
            </w:r>
            <w:r>
              <w:rPr>
                <w:bCs/>
                <w:sz w:val="16"/>
                <w:szCs w:val="15"/>
                <w:vertAlign w:val="superscript"/>
              </w:rPr>
              <w:t>-2</w:t>
            </w:r>
            <w:r>
              <w:rPr>
                <w:bCs/>
                <w:sz w:val="16"/>
                <w:szCs w:val="15"/>
              </w:rPr>
              <w:t>  </w:t>
            </w:r>
          </w:p>
        </w:tc>
        <w:tc>
          <w:tcPr>
            <w:tcW w:w="1141" w:type="pct"/>
            <w:tcBorders>
              <w:top w:val="single" w:sz="4" w:space="0" w:color="auto"/>
              <w:left w:val="single" w:sz="4" w:space="0" w:color="auto"/>
              <w:bottom w:val="single" w:sz="4" w:space="0" w:color="auto"/>
              <w:right w:val="single" w:sz="4" w:space="0" w:color="auto"/>
            </w:tcBorders>
            <w:vAlign w:val="center"/>
          </w:tcPr>
          <w:p w14:paraId="14482794" w14:textId="77777777" w:rsidR="004F40C1" w:rsidRDefault="00000000">
            <w:pPr>
              <w:spacing w:line="360" w:lineRule="auto"/>
              <w:ind w:firstLineChars="0" w:firstLine="0"/>
              <w:rPr>
                <w:b/>
                <w:bCs/>
                <w:color w:val="000000" w:themeColor="text1"/>
                <w:sz w:val="16"/>
                <w:szCs w:val="15"/>
              </w:rPr>
            </w:pPr>
            <w:r>
              <w:rPr>
                <w:b/>
                <w:bCs/>
                <w:sz w:val="16"/>
                <w:szCs w:val="15"/>
              </w:rPr>
              <w:t>20 @0.1</w:t>
            </w:r>
            <w:r>
              <w:rPr>
                <w:rFonts w:hint="eastAsia"/>
                <w:b/>
                <w:bCs/>
                <w:sz w:val="16"/>
                <w:szCs w:val="15"/>
              </w:rPr>
              <w:t xml:space="preserve"> </w:t>
            </w:r>
            <w:r>
              <w:rPr>
                <w:b/>
                <w:bCs/>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95"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{"citationID":"jqktiwoc","properties":{"formattedCitation":"[3]","plainCitation":"[3]","noteIndex":0},"citationItems":[{"id":410,"uris":["http://zotero.org/users/15800058/items/JEGWTFMY"],"itemData":{"id":410,"type":"article-journal","abstract":"We report the preparation of thick ceramic electrodes of the olivine LiFePO4 (LFP) with high mass loading. These electrodes are preparated by means of Powder Extrusion Moulding (PEM), which is a technology easily scalable and cheap. These LFP cathodes are additive-free (neither binder nor extra carbon black) with ~0.5 mm thickness, allowing to develop very high areal capacity (13.7 mA h cm−2). By means of a strict control of sintering process, the carbon coating of the commercial LFP powder remains and the decomposition of the active material is prevented. The optimized self-supported LFP cathode presents good cyclability over 20 cycles at C/10 with no capacity loss. The good electrochemical performance of these novel LFP thick electrodes and their non-flammability make them interesting candidates for both mobile and stationary applications.","container-title":"Journal of Power Sources","DOI":"10.1016/j.jpowsour.2020.228033","ISSN":"0378-7753","journalAbbreviation":"Journal of Power Sources","page":"228033","source":"ScienceDirect","title":"High mass loading additive-free LiFePO4 cathodes with 500 μm thickness for high areal capacity Li-ion batteries","URL":"https://www.sciencedirect.com/science/article/pii/S0378775320303360","volume":"458","author":[{"family":"Torre-Gamarra","given":"Carmen","non-dropping-particle":"de la"},{"family":"Sotomayor","given":"María Eugenia"},{"family":"Sanchez","given":"Jean-Yves"},{"family":"Levenfeld","given":"Belén"},{"family":"Várez","given":"Alejandro"},{"family":"Laïk","given":"Barbara"},{"family":"Pereira-Ramos","given":"Jean-Pierre"}],"accessed":{"date-parts":[["2026",4,15]]},"issued":{"date-parts":[["2020",5,15]]}}}],"schema":"https://github.com/citation-style-language/schema/raw/master/csl-citation.json"} </w:instrText>
            </w:r>
            <w:r>
              <w:rPr>
                <w:sz w:val="18"/>
                <w:szCs w:val="18"/>
              </w:rPr>
              <w:fldChar w:fldCharType="separate"/>
            </w:r>
            <w:r>
              <w:rPr>
                <w:sz w:val="18"/>
                <w:szCs w:val="18"/>
              </w:rPr>
              <w:t>[3]</w:t>
            </w:r>
            <w:r>
              <w:rPr>
                <w:sz w:val="18"/>
                <w:szCs w:val="18"/>
              </w:rPr>
              <w:fldChar w:fldCharType="end"/>
            </w:r>
          </w:p>
        </w:tc>
      </w:tr>
      <w:tr w:rsidR="004F40C1" w14:paraId="1448279E"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97"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LFP</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98" w14:textId="77777777" w:rsidR="004F40C1" w:rsidRDefault="00000000">
            <w:pPr>
              <w:spacing w:line="360" w:lineRule="auto"/>
              <w:ind w:firstLineChars="0" w:firstLine="0"/>
              <w:rPr>
                <w:color w:val="000000" w:themeColor="text1"/>
                <w:sz w:val="16"/>
                <w:szCs w:val="15"/>
              </w:rPr>
            </w:pPr>
            <w:r>
              <w:rPr>
                <w:sz w:val="16"/>
                <w:szCs w:val="15"/>
              </w:rPr>
              <w:t>CSP LFP+CNF</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99" w14:textId="0E63AE15" w:rsidR="004F40C1" w:rsidRDefault="00000000">
            <w:pPr>
              <w:spacing w:line="360" w:lineRule="auto"/>
              <w:ind w:firstLineChars="0" w:firstLine="0"/>
              <w:rPr>
                <w:b/>
                <w:bCs/>
                <w:sz w:val="16"/>
                <w:szCs w:val="15"/>
                <w:vertAlign w:val="superscript"/>
              </w:rPr>
            </w:pPr>
            <w:r>
              <w:rPr>
                <w:b/>
                <w:bCs/>
                <w:sz w:val="16"/>
                <w:szCs w:val="15"/>
              </w:rPr>
              <w:t>8.0 mg</w:t>
            </w:r>
            <w:r>
              <w:rPr>
                <w:rFonts w:hint="eastAsia"/>
                <w:b/>
                <w:bCs/>
                <w:sz w:val="16"/>
                <w:szCs w:val="15"/>
              </w:rPr>
              <w:t xml:space="preserve"> </w:t>
            </w:r>
            <w:r>
              <w:rPr>
                <w:b/>
                <w:bCs/>
                <w:sz w:val="16"/>
                <w:szCs w:val="15"/>
              </w:rPr>
              <w:t>cm</w:t>
            </w:r>
            <w:r>
              <w:rPr>
                <w:rFonts w:eastAsia="宋体" w:hint="eastAsia"/>
                <w:b/>
                <w:bCs/>
                <w:color w:val="000000" w:themeColor="text1"/>
                <w:kern w:val="0"/>
                <w:sz w:val="16"/>
                <w:szCs w:val="15"/>
                <w:vertAlign w:val="superscript"/>
              </w:rPr>
              <w:t>-</w:t>
            </w:r>
            <w:r>
              <w:rPr>
                <w:b/>
                <w:bCs/>
                <w:sz w:val="16"/>
                <w:szCs w:val="15"/>
                <w:vertAlign w:val="superscript"/>
              </w:rPr>
              <w:t>2</w:t>
            </w:r>
          </w:p>
          <w:p w14:paraId="1448279A" w14:textId="77777777" w:rsidR="004F40C1" w:rsidRDefault="00000000">
            <w:pPr>
              <w:spacing w:line="360" w:lineRule="auto"/>
              <w:ind w:firstLineChars="0" w:firstLine="0"/>
              <w:rPr>
                <w:b/>
                <w:color w:val="000000" w:themeColor="text1"/>
                <w:sz w:val="16"/>
                <w:szCs w:val="15"/>
              </w:rPr>
            </w:pPr>
            <w:r>
              <w:rPr>
                <w:sz w:val="16"/>
                <w:szCs w:val="15"/>
              </w:rPr>
              <w:t>@33um thick</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9B" w14:textId="211A1EFE" w:rsidR="004F40C1" w:rsidRDefault="00000000">
            <w:pPr>
              <w:spacing w:line="360" w:lineRule="auto"/>
              <w:ind w:firstLineChars="0" w:firstLine="0"/>
              <w:rPr>
                <w:bCs/>
                <w:color w:val="000000" w:themeColor="text1"/>
                <w:sz w:val="16"/>
                <w:szCs w:val="15"/>
                <w:lang w:val="fr-CA"/>
              </w:rPr>
            </w:pPr>
            <w:r>
              <w:rPr>
                <w:bCs/>
                <w:sz w:val="16"/>
                <w:szCs w:val="15"/>
                <w:lang w:val="fr-CA"/>
              </w:rPr>
              <w:t>~ 127 mAh</w:t>
            </w:r>
            <w:r>
              <w:rPr>
                <w:rFonts w:hint="eastAsia"/>
                <w:bCs/>
                <w:sz w:val="16"/>
                <w:szCs w:val="15"/>
              </w:rPr>
              <w:t xml:space="preserve"> </w:t>
            </w:r>
            <w:r>
              <w:rPr>
                <w:bCs/>
                <w:sz w:val="16"/>
                <w:szCs w:val="15"/>
                <w:lang w:val="fr-CA"/>
              </w:rPr>
              <w:t>g</w:t>
            </w:r>
            <w:r w:rsidRPr="009D6DE0">
              <w:rPr>
                <w:bCs/>
                <w:sz w:val="16"/>
                <w:szCs w:val="15"/>
                <w:vertAlign w:val="superscript"/>
              </w:rPr>
              <w:t>-1</w:t>
            </w:r>
            <w:r>
              <w:rPr>
                <w:bCs/>
                <w:sz w:val="16"/>
                <w:szCs w:val="15"/>
                <w:lang w:val="fr-CA"/>
              </w:rPr>
              <w:t>@ 1</w:t>
            </w:r>
            <w:r>
              <w:rPr>
                <w:rFonts w:hint="eastAsia"/>
                <w:bCs/>
                <w:sz w:val="16"/>
                <w:szCs w:val="15"/>
              </w:rPr>
              <w:t xml:space="preserve"> </w:t>
            </w:r>
            <w:r>
              <w:rPr>
                <w:bCs/>
                <w:sz w:val="16"/>
                <w:szCs w:val="15"/>
                <w:lang w:val="fr-CA"/>
              </w:rPr>
              <w:t>C</w:t>
            </w:r>
            <w:r>
              <w:rPr>
                <w:bCs/>
                <w:color w:val="000000" w:themeColor="text1"/>
                <w:sz w:val="16"/>
                <w:szCs w:val="15"/>
                <w:lang w:val="fr-CA"/>
              </w:rPr>
              <w:t>@(100</w:t>
            </w:r>
            <w:r>
              <w:rPr>
                <w:bCs/>
                <w:color w:val="000000" w:themeColor="text1"/>
                <w:sz w:val="16"/>
                <w:szCs w:val="15"/>
                <w:vertAlign w:val="superscript"/>
                <w:lang w:val="fr-CA"/>
              </w:rPr>
              <w:t>th</w:t>
            </w:r>
            <w:r>
              <w:rPr>
                <w:bCs/>
                <w:color w:val="000000" w:themeColor="text1"/>
                <w:sz w:val="16"/>
                <w:szCs w:val="15"/>
                <w:lang w:val="fr-CA"/>
              </w:rPr>
              <w:t xml:space="preserve"> cycle)</w:t>
            </w:r>
          </w:p>
        </w:tc>
        <w:tc>
          <w:tcPr>
            <w:tcW w:w="1141" w:type="pct"/>
            <w:tcBorders>
              <w:top w:val="single" w:sz="4" w:space="0" w:color="auto"/>
              <w:left w:val="single" w:sz="4" w:space="0" w:color="auto"/>
              <w:bottom w:val="single" w:sz="4" w:space="0" w:color="auto"/>
              <w:right w:val="single" w:sz="4" w:space="0" w:color="auto"/>
            </w:tcBorders>
            <w:vAlign w:val="center"/>
          </w:tcPr>
          <w:p w14:paraId="1448279C"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100</w:t>
            </w:r>
            <w:r>
              <w:rPr>
                <w:bCs/>
                <w:color w:val="000000" w:themeColor="text1"/>
                <w:sz w:val="16"/>
                <w:szCs w:val="15"/>
              </w:rPr>
              <w:t xml:space="preserve"> (90%)</w:t>
            </w:r>
            <w:r>
              <w:rPr>
                <w:b/>
                <w:color w:val="000000" w:themeColor="text1"/>
                <w:sz w:val="16"/>
                <w:szCs w:val="15"/>
              </w:rPr>
              <w:t xml:space="preserve"> @1</w:t>
            </w:r>
            <w:r>
              <w:rPr>
                <w:rFonts w:hint="eastAsia"/>
                <w:b/>
                <w:color w:val="000000" w:themeColor="text1"/>
                <w:sz w:val="16"/>
                <w:szCs w:val="15"/>
              </w:rPr>
              <w:t xml:space="preserve"> </w:t>
            </w:r>
            <w:r>
              <w:rPr>
                <w:b/>
                <w:color w:val="000000" w:themeColor="text1"/>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9D"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{"citationID":"qr9IpmDS","properties":{"formattedCitation":"[4]","plainCitation":"[4]","noteIndex":0},"citationItems":[{"id":"FB6iq5cM/kylMYdZO","uris":["http://zotero.org/users/15800058/items/D9ZSL4WE"],"itemData":{"id":394,"type":"article-journal","abstract":"The cold sintering process (CSP) is an attractive method for densifying ceramic-based materials by using a transient aqueous solution at low temperature under high pressure. CSP was applied to increase the volumetric capacity density of lithium iron phosphate (LiFePO4, LFP) based cathodes by densifying the cathode structure directly formed on a current collector. The binderless LFP cathode had a density of ~2.42g/cm3 and was capable of being cycled even at the high current rate of 10C. The gravimetric and volumetric capacity of the cold sintered LFP at 10C were ~102mAh/g and 247mAh/cm3, respectively.","container-title":"Scripta Materialia","DOI":"10.1016/j.scriptamat.2017.12.005","ISSN":"1359-6462","journalAbbreviation":"Scripta Materialia","page":"267-271","source":"ScienceDirect","title":"Cold sintering approach to fabrication of high rate performance binderless LiFePO4 cathode with high volumetric capacity","volume":"146","author":[{"family":"Seo","given":"Joo-Hwan"},{"family":"Verlinde","given":"Kris"},{"family":"Guo","given":"Jing"},{"family":"Heidary","given":"Damoon Sohrabi Baba"},{"family":"Rajagopalan","given":"Ramakrishnan"},{"family":"Mallouk","given":"Thomas E."},{"family":"Randall","given":"Clive A."}],"issued":{"date-parts":[["2018",3,15]]}}}],"schema":"https://github.com/citation-style-language/schema/raw/master/csl-citation.json"} </w:instrText>
            </w:r>
            <w:r>
              <w:rPr>
                <w:sz w:val="18"/>
                <w:szCs w:val="18"/>
              </w:rPr>
              <w:fldChar w:fldCharType="separate"/>
            </w:r>
            <w:r>
              <w:rPr>
                <w:sz w:val="18"/>
                <w:szCs w:val="18"/>
              </w:rPr>
              <w:t>[4]</w:t>
            </w:r>
            <w:r>
              <w:rPr>
                <w:sz w:val="18"/>
                <w:szCs w:val="18"/>
              </w:rPr>
              <w:fldChar w:fldCharType="end"/>
            </w:r>
          </w:p>
        </w:tc>
      </w:tr>
      <w:tr w:rsidR="004F40C1" w14:paraId="144827A5"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9F"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LFP</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A0" w14:textId="77777777" w:rsidR="004F40C1" w:rsidRDefault="00000000">
            <w:pPr>
              <w:spacing w:line="360" w:lineRule="auto"/>
              <w:ind w:firstLineChars="0" w:firstLine="0"/>
              <w:rPr>
                <w:sz w:val="16"/>
                <w:szCs w:val="15"/>
              </w:rPr>
            </w:pPr>
            <w:r>
              <w:rPr>
                <w:sz w:val="16"/>
                <w:szCs w:val="15"/>
              </w:rPr>
              <w:t xml:space="preserve">CSP </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A1" w14:textId="0223B511" w:rsidR="004F40C1" w:rsidRDefault="00000000">
            <w:pPr>
              <w:spacing w:line="360" w:lineRule="auto"/>
              <w:ind w:firstLineChars="0" w:firstLine="0"/>
              <w:rPr>
                <w:sz w:val="16"/>
                <w:szCs w:val="15"/>
              </w:rPr>
            </w:pPr>
            <w:r>
              <w:rPr>
                <w:sz w:val="16"/>
                <w:szCs w:val="15"/>
              </w:rPr>
              <w:t>2.70 g</w:t>
            </w:r>
            <w:r>
              <w:rPr>
                <w:rFonts w:hint="eastAsia"/>
                <w:sz w:val="16"/>
                <w:szCs w:val="15"/>
              </w:rPr>
              <w:t xml:space="preserve"> </w:t>
            </w:r>
            <w:r>
              <w:rPr>
                <w:sz w:val="16"/>
                <w:szCs w:val="15"/>
              </w:rPr>
              <w:t>cm</w:t>
            </w:r>
            <w:r>
              <w:rPr>
                <w:sz w:val="16"/>
                <w:szCs w:val="15"/>
                <w:vertAlign w:val="superscript"/>
              </w:rPr>
              <w:t>−3</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A2" w14:textId="77777777" w:rsidR="004F40C1" w:rsidRDefault="00000000">
            <w:pPr>
              <w:spacing w:line="360" w:lineRule="auto"/>
              <w:ind w:firstLineChars="0" w:firstLine="0"/>
              <w:rPr>
                <w:bCs/>
                <w:sz w:val="16"/>
                <w:szCs w:val="15"/>
              </w:rPr>
            </w:pPr>
            <w:r>
              <w:rPr>
                <w:bCs/>
                <w:sz w:val="16"/>
                <w:szCs w:val="15"/>
              </w:rPr>
              <w:t>155 </w:t>
            </w:r>
            <w:proofErr w:type="spellStart"/>
            <w:r>
              <w:rPr>
                <w:bCs/>
                <w:sz w:val="16"/>
                <w:szCs w:val="15"/>
              </w:rPr>
              <w:t>mAh</w:t>
            </w:r>
            <w:proofErr w:type="spellEnd"/>
            <w:r>
              <w:rPr>
                <w:rFonts w:hint="eastAsia"/>
                <w:bCs/>
                <w:sz w:val="16"/>
                <w:szCs w:val="15"/>
              </w:rPr>
              <w:t xml:space="preserve"> </w:t>
            </w:r>
            <w:r>
              <w:rPr>
                <w:bCs/>
                <w:sz w:val="16"/>
                <w:szCs w:val="15"/>
              </w:rPr>
              <w:t>g</w:t>
            </w:r>
            <w:r>
              <w:rPr>
                <w:bCs/>
                <w:sz w:val="16"/>
                <w:szCs w:val="15"/>
                <w:vertAlign w:val="superscript"/>
              </w:rPr>
              <w:t>−1</w:t>
            </w:r>
            <w:r>
              <w:rPr>
                <w:bCs/>
                <w:sz w:val="16"/>
                <w:szCs w:val="15"/>
              </w:rPr>
              <w:t> @ 0.1</w:t>
            </w:r>
            <w:r>
              <w:rPr>
                <w:rFonts w:hint="eastAsia"/>
                <w:bCs/>
                <w:sz w:val="16"/>
                <w:szCs w:val="15"/>
              </w:rPr>
              <w:t xml:space="preserve"> </w:t>
            </w:r>
            <w:r>
              <w:rPr>
                <w:bCs/>
                <w:sz w:val="16"/>
                <w:szCs w:val="15"/>
              </w:rPr>
              <w:t>C@</w:t>
            </w:r>
            <w:r>
              <w:rPr>
                <w:bCs/>
                <w:color w:val="000000" w:themeColor="text1"/>
                <w:sz w:val="16"/>
                <w:szCs w:val="15"/>
              </w:rPr>
              <w:t>(40</w:t>
            </w:r>
            <w:r>
              <w:rPr>
                <w:bCs/>
                <w:color w:val="000000" w:themeColor="text1"/>
                <w:sz w:val="16"/>
                <w:szCs w:val="15"/>
                <w:vertAlign w:val="superscript"/>
              </w:rPr>
              <w:t>th</w:t>
            </w:r>
            <w:r>
              <w:rPr>
                <w:bCs/>
                <w:color w:val="000000" w:themeColor="text1"/>
                <w:sz w:val="16"/>
                <w:szCs w:val="15"/>
              </w:rPr>
              <w:t xml:space="preserve"> cycle)</w:t>
            </w:r>
          </w:p>
        </w:tc>
        <w:tc>
          <w:tcPr>
            <w:tcW w:w="1141" w:type="pct"/>
            <w:tcBorders>
              <w:top w:val="single" w:sz="4" w:space="0" w:color="auto"/>
              <w:left w:val="single" w:sz="4" w:space="0" w:color="auto"/>
              <w:bottom w:val="single" w:sz="4" w:space="0" w:color="auto"/>
              <w:right w:val="single" w:sz="4" w:space="0" w:color="auto"/>
            </w:tcBorders>
            <w:vAlign w:val="center"/>
          </w:tcPr>
          <w:p w14:paraId="144827A3"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40</w:t>
            </w:r>
            <w:r>
              <w:rPr>
                <w:bCs/>
                <w:color w:val="000000" w:themeColor="text1"/>
                <w:sz w:val="16"/>
                <w:szCs w:val="15"/>
              </w:rPr>
              <w:t xml:space="preserve"> (87%)</w:t>
            </w:r>
            <w:r>
              <w:rPr>
                <w:b/>
                <w:color w:val="000000" w:themeColor="text1"/>
                <w:sz w:val="16"/>
                <w:szCs w:val="15"/>
              </w:rPr>
              <w:t xml:space="preserve"> @0.2</w:t>
            </w:r>
            <w:r>
              <w:rPr>
                <w:rFonts w:hint="eastAsia"/>
                <w:b/>
                <w:color w:val="000000" w:themeColor="text1"/>
                <w:sz w:val="16"/>
                <w:szCs w:val="15"/>
              </w:rPr>
              <w:t xml:space="preserve"> </w:t>
            </w:r>
            <w:r>
              <w:rPr>
                <w:b/>
                <w:color w:val="000000" w:themeColor="text1"/>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A4"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{"citationID":"eavzcxWw","properties":{"formattedCitation":"[5]","plainCitation":"[5]","noteIndex":0},"citationItems":[{"id":506,"uris":["http://zotero.org/users/15800058/items/QBMT47CJ"],"itemData":{"id":506,"type":"article-journal","abstract":"Cold Sintering Process (CSP) is a new emerging technique to consolidate ceramic particulates and ceramic-based composites at ultralow temperatures with assistance of pressures and transient aqueous phases. In consideration of the low-temperature advantage that bridges the sintering conditions of different types of materials (e.g. ceramics and polymers), it thus opens up a new route to integrate materials and devices, as well as to enable the fabrication of novel composites particularly with the ceramic material as matrix. In this communication, we demonstrated the feasibility of applying CSP to achieve dense LiFePO4-based cathode composites at an extraordinary low-temperature ~240°C. The cold-sintered composite cathodes exhibited ~89% of its theoretical density. A half-cell was subsequently assembled, and a good electrochemical performance was manifested by a high volumetric capacity ~340mAh/cm3 and a gravimetric capacity ~158mAh/g. Furthermore a good rate performance and capacity retention during cycling test at 0.2C was observed on these composites.","container-title":"Ceramics International","DOI":"10.1016/j.ceramint.2017.08.077","ISSN":"0272-8842","issue":"17","journalAbbreviation":"Ceramics International","page":"15370-15374","source":"ScienceDirect","title":"Cold sintering of a Li-ion cathode: LiFePO4-composite with high volumetric capacity","title-short":"Cold sintering of a Li-ion cathode","URL":"https://www.sciencedirect.com/science/article/pii/S0272884217317753","volume":"43","author":[{"family":"Seo","given":"Joo-Hwan"},{"family":"Guo","given":"Jing"},{"family":"Guo","given":"Hanzheng"},{"family":"Verlinde","given":"Kris"},{"family":"Heidary","given":"Damoon Sohrabi Baba"},{"family":"Rajagopalan","given":"Ramakrishnan"},{"family":"Randall","given":"Clive A."}],"accessed":{"date-parts":[["2026",4,17]]},"issued":{"date-parts":[["2017",12,1]]}}}],"schema":"https://github.com/citation-style-language/schema/raw/master/csl-citation.json"} </w:instrText>
            </w:r>
            <w:r>
              <w:rPr>
                <w:sz w:val="18"/>
                <w:szCs w:val="18"/>
              </w:rPr>
              <w:fldChar w:fldCharType="separate"/>
            </w:r>
            <w:r>
              <w:rPr>
                <w:sz w:val="18"/>
                <w:szCs w:val="18"/>
              </w:rPr>
              <w:t>[5]</w:t>
            </w:r>
            <w:r>
              <w:rPr>
                <w:sz w:val="18"/>
                <w:szCs w:val="18"/>
              </w:rPr>
              <w:fldChar w:fldCharType="end"/>
            </w:r>
          </w:p>
        </w:tc>
      </w:tr>
      <w:tr w:rsidR="004F40C1" w14:paraId="144827AE"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A6"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Li</w:t>
            </w:r>
            <w:r>
              <w:rPr>
                <w:bCs/>
                <w:color w:val="000000" w:themeColor="text1"/>
                <w:sz w:val="16"/>
                <w:szCs w:val="15"/>
                <w:vertAlign w:val="subscript"/>
              </w:rPr>
              <w:t>4</w:t>
            </w:r>
            <w:r>
              <w:rPr>
                <w:bCs/>
                <w:color w:val="000000" w:themeColor="text1"/>
                <w:sz w:val="16"/>
                <w:szCs w:val="15"/>
              </w:rPr>
              <w:t>Ti</w:t>
            </w:r>
            <w:r>
              <w:rPr>
                <w:bCs/>
                <w:color w:val="000000" w:themeColor="text1"/>
                <w:sz w:val="16"/>
                <w:szCs w:val="15"/>
                <w:vertAlign w:val="subscript"/>
              </w:rPr>
              <w:t>5</w:t>
            </w:r>
            <w:r>
              <w:rPr>
                <w:bCs/>
                <w:color w:val="000000" w:themeColor="text1"/>
                <w:sz w:val="16"/>
                <w:szCs w:val="15"/>
              </w:rPr>
              <w:t>O</w:t>
            </w:r>
            <w:r>
              <w:rPr>
                <w:bCs/>
                <w:color w:val="000000" w:themeColor="text1"/>
                <w:sz w:val="16"/>
                <w:szCs w:val="15"/>
                <w:vertAlign w:val="subscript"/>
              </w:rPr>
              <w:t>12</w:t>
            </w:r>
            <w:r>
              <w:rPr>
                <w:bCs/>
                <w:color w:val="000000" w:themeColor="text1"/>
                <w:sz w:val="16"/>
                <w:szCs w:val="15"/>
              </w:rPr>
              <w:t>@MOF</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A7" w14:textId="77777777" w:rsidR="004F40C1" w:rsidRDefault="00000000">
            <w:pPr>
              <w:spacing w:line="360" w:lineRule="auto"/>
              <w:ind w:firstLineChars="0" w:firstLine="0"/>
              <w:rPr>
                <w:sz w:val="16"/>
                <w:szCs w:val="15"/>
              </w:rPr>
            </w:pPr>
            <w:r>
              <w:rPr>
                <w:sz w:val="16"/>
                <w:szCs w:val="15"/>
              </w:rPr>
              <w:t>3D-Printed</w:t>
            </w:r>
          </w:p>
          <w:p w14:paraId="144827A8" w14:textId="77777777" w:rsidR="004F40C1" w:rsidRDefault="00000000">
            <w:pPr>
              <w:spacing w:line="360" w:lineRule="auto"/>
              <w:ind w:firstLineChars="0" w:firstLine="0"/>
              <w:rPr>
                <w:color w:val="000000" w:themeColor="text1"/>
                <w:sz w:val="16"/>
                <w:szCs w:val="15"/>
              </w:rPr>
            </w:pPr>
            <w:r>
              <w:rPr>
                <w:color w:val="000000" w:themeColor="text1"/>
                <w:sz w:val="16"/>
                <w:szCs w:val="15"/>
              </w:rPr>
              <w:t>hierarchical porous structure</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A9" w14:textId="2EE608E5" w:rsidR="004F40C1" w:rsidRDefault="00000000">
            <w:pPr>
              <w:spacing w:line="360" w:lineRule="auto"/>
              <w:ind w:firstLineChars="0" w:firstLine="0"/>
              <w:rPr>
                <w:b/>
                <w:bCs/>
                <w:sz w:val="16"/>
                <w:szCs w:val="15"/>
              </w:rPr>
            </w:pPr>
            <w:r>
              <w:rPr>
                <w:b/>
                <w:bCs/>
                <w:sz w:val="16"/>
                <w:szCs w:val="15"/>
              </w:rPr>
              <w:t>11 mg</w:t>
            </w:r>
            <w:r>
              <w:rPr>
                <w:rFonts w:hint="eastAsia"/>
                <w:b/>
                <w:bCs/>
                <w:sz w:val="16"/>
                <w:szCs w:val="15"/>
              </w:rPr>
              <w:t xml:space="preserve"> </w:t>
            </w:r>
            <w:r>
              <w:rPr>
                <w:b/>
                <w:bCs/>
                <w:sz w:val="16"/>
                <w:szCs w:val="15"/>
              </w:rPr>
              <w:t>cm</w:t>
            </w:r>
            <w:r>
              <w:rPr>
                <w:rFonts w:eastAsia="宋体" w:hint="eastAsia"/>
                <w:b/>
                <w:bCs/>
                <w:color w:val="000000" w:themeColor="text1"/>
                <w:kern w:val="0"/>
                <w:sz w:val="16"/>
                <w:szCs w:val="15"/>
                <w:vertAlign w:val="superscript"/>
              </w:rPr>
              <w:t>-</w:t>
            </w:r>
            <w:r>
              <w:rPr>
                <w:b/>
                <w:bCs/>
                <w:sz w:val="16"/>
                <w:szCs w:val="15"/>
              </w:rPr>
              <w:t>²</w:t>
            </w:r>
          </w:p>
          <w:p w14:paraId="144827AA" w14:textId="77777777" w:rsidR="004F40C1" w:rsidRDefault="00000000">
            <w:pPr>
              <w:spacing w:line="360" w:lineRule="auto"/>
              <w:ind w:firstLineChars="0" w:firstLine="0"/>
              <w:rPr>
                <w:b/>
                <w:color w:val="000000" w:themeColor="text1"/>
                <w:sz w:val="16"/>
                <w:szCs w:val="15"/>
              </w:rPr>
            </w:pPr>
            <w:r>
              <w:rPr>
                <w:sz w:val="16"/>
                <w:szCs w:val="15"/>
              </w:rPr>
              <w:t>@316 </w:t>
            </w:r>
            <w:proofErr w:type="spellStart"/>
            <w:r>
              <w:rPr>
                <w:sz w:val="16"/>
                <w:szCs w:val="15"/>
              </w:rPr>
              <w:t>μm</w:t>
            </w:r>
            <w:proofErr w:type="spellEnd"/>
          </w:p>
        </w:tc>
        <w:tc>
          <w:tcPr>
            <w:tcW w:w="877" w:type="pct"/>
            <w:tcBorders>
              <w:top w:val="single" w:sz="4" w:space="0" w:color="auto"/>
              <w:left w:val="single" w:sz="4" w:space="0" w:color="auto"/>
              <w:bottom w:val="single" w:sz="4" w:space="0" w:color="auto"/>
              <w:right w:val="single" w:sz="4" w:space="0" w:color="auto"/>
            </w:tcBorders>
            <w:noWrap/>
            <w:vAlign w:val="center"/>
          </w:tcPr>
          <w:p w14:paraId="144827AB" w14:textId="49F00A1E" w:rsidR="004F40C1" w:rsidRDefault="00000000">
            <w:pPr>
              <w:spacing w:line="360" w:lineRule="auto"/>
              <w:ind w:firstLineChars="0" w:firstLine="0"/>
              <w:rPr>
                <w:bCs/>
                <w:color w:val="000000" w:themeColor="text1"/>
                <w:sz w:val="16"/>
                <w:szCs w:val="15"/>
              </w:rPr>
            </w:pPr>
            <w:r>
              <w:rPr>
                <w:bCs/>
                <w:sz w:val="16"/>
                <w:szCs w:val="15"/>
              </w:rPr>
              <w:t>5.37 </w:t>
            </w:r>
            <w:proofErr w:type="spellStart"/>
            <w:r>
              <w:rPr>
                <w:bCs/>
                <w:sz w:val="16"/>
                <w:szCs w:val="15"/>
              </w:rPr>
              <w:t>mAh</w:t>
            </w:r>
            <w:proofErr w:type="spellEnd"/>
            <w:r>
              <w:rPr>
                <w:rFonts w:hint="eastAsia"/>
                <w:bCs/>
                <w:sz w:val="16"/>
                <w:szCs w:val="15"/>
              </w:rPr>
              <w:t xml:space="preserve"> </w:t>
            </w:r>
            <w:r>
              <w:rPr>
                <w:bCs/>
                <w:sz w:val="16"/>
                <w:szCs w:val="15"/>
              </w:rPr>
              <w:t>cm</w:t>
            </w:r>
            <w:r>
              <w:rPr>
                <w:rFonts w:eastAsia="宋体" w:hint="eastAsia"/>
                <w:b/>
                <w:bCs/>
                <w:color w:val="000000" w:themeColor="text1"/>
                <w:kern w:val="0"/>
                <w:sz w:val="16"/>
                <w:szCs w:val="15"/>
                <w:vertAlign w:val="superscript"/>
              </w:rPr>
              <w:t>-</w:t>
            </w:r>
            <w:r>
              <w:rPr>
                <w:bCs/>
                <w:sz w:val="16"/>
                <w:szCs w:val="15"/>
                <w:vertAlign w:val="superscript"/>
              </w:rPr>
              <w:t>2</w:t>
            </w:r>
          </w:p>
        </w:tc>
        <w:tc>
          <w:tcPr>
            <w:tcW w:w="1141" w:type="pct"/>
            <w:tcBorders>
              <w:top w:val="single" w:sz="4" w:space="0" w:color="auto"/>
              <w:left w:val="single" w:sz="4" w:space="0" w:color="auto"/>
              <w:bottom w:val="single" w:sz="4" w:space="0" w:color="auto"/>
              <w:right w:val="single" w:sz="4" w:space="0" w:color="auto"/>
            </w:tcBorders>
            <w:vAlign w:val="center"/>
          </w:tcPr>
          <w:p w14:paraId="144827AC"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150</w:t>
            </w:r>
            <w:r>
              <w:rPr>
                <w:bCs/>
                <w:color w:val="000000" w:themeColor="text1"/>
                <w:sz w:val="16"/>
                <w:szCs w:val="15"/>
              </w:rPr>
              <w:t xml:space="preserve"> (78.9 %)</w:t>
            </w:r>
            <w:r>
              <w:rPr>
                <w:b/>
                <w:color w:val="000000" w:themeColor="text1"/>
                <w:sz w:val="16"/>
                <w:szCs w:val="15"/>
              </w:rPr>
              <w:t xml:space="preserve"> @5</w:t>
            </w:r>
            <w:r>
              <w:rPr>
                <w:rFonts w:hint="eastAsia"/>
                <w:b/>
                <w:color w:val="000000" w:themeColor="text1"/>
                <w:sz w:val="16"/>
                <w:szCs w:val="15"/>
              </w:rPr>
              <w:t xml:space="preserve"> </w:t>
            </w:r>
            <w:r>
              <w:rPr>
                <w:b/>
                <w:color w:val="000000" w:themeColor="text1"/>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AD"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{"citationID":"43RNSvmo","properties":{"formattedCitation":"[6]","plainCitation":"[6]","noteIndex":0},"citationItems":[{"id":395,"uris":["http://zotero.org/users/15800058/items/YJJVATQN"],"itemData":{"id":395,"type":"article-journal","abstract":"Li4Ti5O12 (LTO) anode is a promising candidate for high-energy–density lithium-ion batteries (LIBs), but achieving high mass loading, a porous structure, and efficient ion transport remains a challenge. Herein, we present a high-mass-loading, hierarchically porous LTO anode with a conductive network and grid-lined micropores, embedded with a metal–organic framework (MOF) as both an electrode additive and surface protective layer. This novel structure is fabricated using extrusion-based three-dimensional (3D) printing technology. The self-standing framework provides mechanical stability and high conductivity, enabling a thick (316 μm) 3D-printed LTO@UiO-66-MOF (3D-LTO@U) anode with a mass loading of 11 mg/cm2. It delivers a high-rate capability of 161 mAh/g at 5C, an areal specific capacity of 5.37 mAh/cm2, and 78.9 % areal capacity retention after 150 cycles. Additionally, it achieves a high specific energy density of 382.35 Wh/kg. The UiO-66 MOF provides strong binding affinity, suppressing side reactions and enhancing Li-ion/electron transport within the 3D-printed interconnected channels. This improves active material utilization during charge and discharge. Furthermore, a 3D-printed full cell integrating a grid-lined 3D-LTO@U anode and a 3D-printed LiFePO4 cathode exhibits enhanced electrochemical performance. This work demonstrates an effective strategy for designing thick, high-mass-loading, and porous conductive network anodes for advanced LIBs.","container-title":"Journal of Colloid and Interface Science","DOI":"10.1016/j.jcis.2025.137883","ISSN":"0021-9797","journalAbbreviation":"Journal of Colloid and Interface Science","page":"137883","source":"ScienceDirect","title":"Thick 3D-Printed Hierarchical Li4Ti5O12@MOF anode and Grid-Lined micropores for High-Performance Lithium-Ion batteries","URL":"https://www.sciencedirect.com/science/article/pii/S0021979725012743","volume":"696","author":[{"family":"Mwizerwa","given":"Jean Pierre"},{"family":"Li","given":"Jie"},{"family":"Nsengiyumva","given":"Walter"},{"family":"Li","given":"Chen"},{"family":"Xu","given":"Kun"},{"family":"Rasaki","given":"Sefiu Abolaji"},{"family":"Liu","given":"Changyong"}],"accessed":{"date-parts":[["2026",4,13]]},"issued":{"date-parts":[["2025",10,15]]}}}],"schema":"https://github.com/citation-style-language/schema/raw/master/csl-citation.json"} </w:instrText>
            </w:r>
            <w:r>
              <w:rPr>
                <w:sz w:val="18"/>
                <w:szCs w:val="18"/>
              </w:rPr>
              <w:fldChar w:fldCharType="separate"/>
            </w:r>
            <w:r>
              <w:rPr>
                <w:sz w:val="18"/>
                <w:szCs w:val="18"/>
              </w:rPr>
              <w:t>[6]</w:t>
            </w:r>
            <w:r>
              <w:rPr>
                <w:sz w:val="18"/>
                <w:szCs w:val="18"/>
              </w:rPr>
              <w:fldChar w:fldCharType="end"/>
            </w:r>
          </w:p>
        </w:tc>
      </w:tr>
      <w:tr w:rsidR="004F40C1" w14:paraId="144827B6"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AF"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LTO</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B0" w14:textId="77777777" w:rsidR="004F40C1" w:rsidRDefault="00000000">
            <w:pPr>
              <w:spacing w:line="360" w:lineRule="auto"/>
              <w:ind w:firstLineChars="0" w:firstLine="0"/>
              <w:rPr>
                <w:sz w:val="16"/>
                <w:szCs w:val="15"/>
              </w:rPr>
            </w:pPr>
            <w:r>
              <w:rPr>
                <w:sz w:val="16"/>
                <w:szCs w:val="15"/>
              </w:rPr>
              <w:t>CSP of tape casting LTO</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B1" w14:textId="18C0F1F9" w:rsidR="004F40C1" w:rsidRDefault="00000000">
            <w:pPr>
              <w:spacing w:line="360" w:lineRule="auto"/>
              <w:ind w:firstLineChars="0" w:firstLine="0"/>
              <w:rPr>
                <w:b/>
                <w:bCs/>
                <w:sz w:val="16"/>
                <w:szCs w:val="15"/>
                <w:vertAlign w:val="superscript"/>
              </w:rPr>
            </w:pPr>
            <w:r>
              <w:rPr>
                <w:b/>
                <w:bCs/>
                <w:sz w:val="16"/>
                <w:szCs w:val="15"/>
              </w:rPr>
              <w:t>~9 mg</w:t>
            </w:r>
            <w:r>
              <w:rPr>
                <w:rFonts w:hint="eastAsia"/>
                <w:b/>
                <w:bCs/>
                <w:sz w:val="16"/>
                <w:szCs w:val="15"/>
              </w:rPr>
              <w:t xml:space="preserve"> </w:t>
            </w:r>
            <w:r>
              <w:rPr>
                <w:b/>
                <w:bCs/>
                <w:sz w:val="16"/>
                <w:szCs w:val="15"/>
              </w:rPr>
              <w:t>cm</w:t>
            </w:r>
            <w:r>
              <w:rPr>
                <w:rFonts w:eastAsia="宋体" w:hint="eastAsia"/>
                <w:b/>
                <w:bCs/>
                <w:color w:val="000000" w:themeColor="text1"/>
                <w:kern w:val="0"/>
                <w:sz w:val="16"/>
                <w:szCs w:val="15"/>
                <w:vertAlign w:val="superscript"/>
              </w:rPr>
              <w:t>-</w:t>
            </w:r>
            <w:r>
              <w:rPr>
                <w:b/>
                <w:bCs/>
                <w:sz w:val="16"/>
                <w:szCs w:val="15"/>
                <w:vertAlign w:val="superscript"/>
              </w:rPr>
              <w:t>2</w:t>
            </w:r>
          </w:p>
          <w:p w14:paraId="144827B2" w14:textId="77777777" w:rsidR="004F40C1" w:rsidRDefault="00000000">
            <w:pPr>
              <w:spacing w:line="360" w:lineRule="auto"/>
              <w:ind w:firstLineChars="0" w:firstLine="0"/>
              <w:rPr>
                <w:sz w:val="16"/>
                <w:szCs w:val="15"/>
              </w:rPr>
            </w:pPr>
            <w:r>
              <w:rPr>
                <w:sz w:val="16"/>
                <w:szCs w:val="15"/>
              </w:rPr>
              <w:t>@35μm</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B3" w14:textId="1C4B8F10" w:rsidR="004F40C1" w:rsidRDefault="00000000">
            <w:pPr>
              <w:spacing w:line="360" w:lineRule="auto"/>
              <w:ind w:firstLineChars="0" w:firstLine="0"/>
              <w:rPr>
                <w:bCs/>
                <w:sz w:val="16"/>
                <w:szCs w:val="15"/>
              </w:rPr>
            </w:pPr>
            <w:r>
              <w:rPr>
                <w:bCs/>
                <w:sz w:val="16"/>
                <w:szCs w:val="15"/>
              </w:rPr>
              <w:t> 225 </w:t>
            </w:r>
            <w:proofErr w:type="spellStart"/>
            <w:r>
              <w:rPr>
                <w:bCs/>
                <w:sz w:val="16"/>
                <w:szCs w:val="15"/>
              </w:rPr>
              <w:t>mAh</w:t>
            </w:r>
            <w:proofErr w:type="spellEnd"/>
            <w:r>
              <w:rPr>
                <w:rFonts w:hint="eastAsia"/>
                <w:bCs/>
                <w:sz w:val="16"/>
                <w:szCs w:val="15"/>
              </w:rPr>
              <w:t xml:space="preserve"> </w:t>
            </w:r>
            <w:r>
              <w:rPr>
                <w:bCs/>
                <w:sz w:val="16"/>
                <w:szCs w:val="15"/>
              </w:rPr>
              <w:t>cm</w:t>
            </w:r>
            <w:r>
              <w:rPr>
                <w:rFonts w:hint="eastAsia"/>
                <w:bCs/>
                <w:sz w:val="16"/>
                <w:szCs w:val="15"/>
                <w:vertAlign w:val="superscript"/>
              </w:rPr>
              <w:t>-3</w:t>
            </w:r>
            <w:r>
              <w:rPr>
                <w:bCs/>
                <w:sz w:val="16"/>
                <w:szCs w:val="15"/>
              </w:rPr>
              <w:t> @ (150</w:t>
            </w:r>
            <w:r>
              <w:rPr>
                <w:bCs/>
                <w:sz w:val="16"/>
                <w:szCs w:val="15"/>
                <w:vertAlign w:val="superscript"/>
              </w:rPr>
              <w:t>th</w:t>
            </w:r>
            <w:r>
              <w:rPr>
                <w:bCs/>
                <w:sz w:val="16"/>
                <w:szCs w:val="15"/>
              </w:rPr>
              <w:t xml:space="preserve"> cycle)</w:t>
            </w:r>
          </w:p>
        </w:tc>
        <w:tc>
          <w:tcPr>
            <w:tcW w:w="1141" w:type="pct"/>
            <w:tcBorders>
              <w:top w:val="single" w:sz="4" w:space="0" w:color="auto"/>
              <w:left w:val="single" w:sz="4" w:space="0" w:color="auto"/>
              <w:bottom w:val="single" w:sz="4" w:space="0" w:color="auto"/>
              <w:right w:val="single" w:sz="4" w:space="0" w:color="auto"/>
            </w:tcBorders>
            <w:vAlign w:val="center"/>
          </w:tcPr>
          <w:p w14:paraId="144827B4"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 xml:space="preserve">150 </w:t>
            </w:r>
            <w:r>
              <w:rPr>
                <w:bCs/>
                <w:color w:val="000000" w:themeColor="text1"/>
                <w:sz w:val="16"/>
                <w:szCs w:val="15"/>
              </w:rPr>
              <w:t>(69%)</w:t>
            </w:r>
            <w:r>
              <w:rPr>
                <w:b/>
                <w:color w:val="000000" w:themeColor="text1"/>
                <w:sz w:val="16"/>
                <w:szCs w:val="15"/>
              </w:rPr>
              <w:t xml:space="preserve"> @0.2</w:t>
            </w:r>
            <w:r>
              <w:rPr>
                <w:rFonts w:hint="eastAsia"/>
                <w:b/>
                <w:color w:val="000000" w:themeColor="text1"/>
                <w:sz w:val="16"/>
                <w:szCs w:val="15"/>
              </w:rPr>
              <w:t xml:space="preserve"> </w:t>
            </w:r>
            <w:r>
              <w:rPr>
                <w:b/>
                <w:color w:val="000000" w:themeColor="text1"/>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B5"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{"citationID":"lIbKNmDS","properties":{"formattedCitation":"[7]","plainCitation":"[7]","noteIndex":0},"citationItems":[{"id":508,"uris":["http://zotero.org/users/15800058/items/W787E82X"],"itemData":{"id":508,"type":"article-journal","abstract":"The cold sintering process (CSP) is useful for densifying lithium ion battery composite electrodes to achieve higher volumetric capacity density. Lithium titanate is one of the most promising anode materials to replace graphite in conventional anodes, as it enhances safety in large scale applications. A densified binder-free LTO based anode was fabricated by the cold sintering process. The composite anode was first formed by tape casting with a binder and then was heat treated to remove the binder. The binder-free composite was humidified with water to provide a transient liquid phase and then moved onto a current collector. The wetted composite was cold sintered at 120 °C under a uniaxial pressure of 500 MPa and directly deposited on a current collector. The density of the LTO/CNF composite anode was 2.82 g/cm3 (87% relative density). The volumetric capacity densities of the cold sintered anodes were found to be ~380 mAh/cm3.","container-title":"Materials Science and Engineering: B","DOI":"10.1016/j.mseb.2019.114435","ISSN":"0921-5107","journalAbbreviation":"Materials Science and Engineering: B","page":"114435","source":"ScienceDirect","title":"Cold sintering process for fabrication of a high volumetric capacity Li4Ti5O12 anode","URL":"https://www.sciencedirect.com/science/article/pii/S0921510719302387","volume":"250","author":[{"family":"Seo","given":"Joo-Hwan"},{"family":"Verlinde","given":"Kris"},{"family":"Rajagopalan","given":"Ramakrishnan"},{"family":"Gomez","given":"Enrique D."},{"family":"Mallouk","given":"Thomas E."},{"family":"Randall","given":"Clive A."}],"accessed":{"date-parts":[["2026",4,17]]},"issued":{"date-parts":[["2019",11,1]]}}}],"schema":"https://github.com/citation-style-language/schema/raw/master/csl-citation.json"} </w:instrText>
            </w:r>
            <w:r>
              <w:rPr>
                <w:sz w:val="18"/>
                <w:szCs w:val="18"/>
              </w:rPr>
              <w:fldChar w:fldCharType="separate"/>
            </w:r>
            <w:r>
              <w:rPr>
                <w:sz w:val="18"/>
                <w:szCs w:val="18"/>
              </w:rPr>
              <w:t>[7]</w:t>
            </w:r>
            <w:r>
              <w:rPr>
                <w:sz w:val="18"/>
                <w:szCs w:val="18"/>
              </w:rPr>
              <w:fldChar w:fldCharType="end"/>
            </w:r>
          </w:p>
        </w:tc>
      </w:tr>
      <w:tr w:rsidR="004F40C1" w14:paraId="144827BE"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B7" w14:textId="77777777" w:rsidR="004F40C1" w:rsidRDefault="00000000">
            <w:pPr>
              <w:spacing w:line="360" w:lineRule="auto"/>
              <w:ind w:firstLineChars="0" w:firstLine="0"/>
              <w:rPr>
                <w:bCs/>
                <w:color w:val="000000" w:themeColor="text1"/>
                <w:sz w:val="16"/>
                <w:szCs w:val="15"/>
              </w:rPr>
            </w:pPr>
            <w:r>
              <w:rPr>
                <w:bCs/>
                <w:sz w:val="16"/>
                <w:szCs w:val="15"/>
              </w:rPr>
              <w:t>LCO</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B8" w14:textId="77777777" w:rsidR="004F40C1" w:rsidRDefault="00000000">
            <w:pPr>
              <w:spacing w:line="360" w:lineRule="auto"/>
              <w:ind w:firstLineChars="0" w:firstLine="0"/>
              <w:rPr>
                <w:rFonts w:eastAsia="宋体"/>
                <w:color w:val="000000" w:themeColor="text1"/>
                <w:kern w:val="0"/>
                <w:sz w:val="16"/>
                <w:szCs w:val="15"/>
              </w:rPr>
            </w:pPr>
            <w:r>
              <w:rPr>
                <w:sz w:val="16"/>
                <w:szCs w:val="15"/>
              </w:rPr>
              <w:t>ice-templating method</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B9" w14:textId="19BC2192" w:rsidR="004F40C1" w:rsidRDefault="00000000">
            <w:pPr>
              <w:spacing w:line="360" w:lineRule="auto"/>
              <w:ind w:firstLineChars="0" w:firstLine="0"/>
              <w:rPr>
                <w:b/>
                <w:bCs/>
                <w:color w:val="000000" w:themeColor="text1"/>
                <w:kern w:val="0"/>
                <w:sz w:val="16"/>
                <w:szCs w:val="15"/>
              </w:rPr>
            </w:pPr>
            <w:r>
              <w:rPr>
                <w:b/>
                <w:bCs/>
                <w:sz w:val="16"/>
                <w:szCs w:val="15"/>
              </w:rPr>
              <w:t>25 mg</w:t>
            </w:r>
            <w:r>
              <w:rPr>
                <w:rFonts w:hint="eastAsia"/>
                <w:b/>
                <w:bCs/>
                <w:sz w:val="16"/>
                <w:szCs w:val="15"/>
              </w:rPr>
              <w:t xml:space="preserve"> </w:t>
            </w:r>
            <w:r>
              <w:rPr>
                <w:b/>
                <w:bCs/>
                <w:sz w:val="16"/>
                <w:szCs w:val="15"/>
              </w:rPr>
              <w:t>cm</w:t>
            </w:r>
            <w:r w:rsidRPr="009D6DE0">
              <w:rPr>
                <w:b/>
                <w:bCs/>
                <w:sz w:val="16"/>
                <w:szCs w:val="15"/>
                <w:vertAlign w:val="superscript"/>
              </w:rPr>
              <w:t>-</w:t>
            </w:r>
            <w:r>
              <w:rPr>
                <w:b/>
                <w:bCs/>
                <w:sz w:val="16"/>
                <w:szCs w:val="15"/>
              </w:rPr>
              <w:t>²</w:t>
            </w:r>
          </w:p>
        </w:tc>
        <w:tc>
          <w:tcPr>
            <w:tcW w:w="877" w:type="pct"/>
            <w:tcBorders>
              <w:top w:val="single" w:sz="4" w:space="0" w:color="auto"/>
              <w:left w:val="single" w:sz="4" w:space="0" w:color="auto"/>
              <w:bottom w:val="single" w:sz="4" w:space="0" w:color="auto"/>
              <w:right w:val="single" w:sz="4" w:space="0" w:color="auto"/>
            </w:tcBorders>
            <w:noWrap/>
            <w:vAlign w:val="center"/>
          </w:tcPr>
          <w:p w14:paraId="144827BA" w14:textId="77777777" w:rsidR="004F40C1" w:rsidRDefault="00000000">
            <w:pPr>
              <w:spacing w:line="360" w:lineRule="auto"/>
              <w:ind w:firstLineChars="0" w:firstLine="0"/>
              <w:rPr>
                <w:bCs/>
                <w:color w:val="000000" w:themeColor="text1"/>
                <w:sz w:val="16"/>
                <w:szCs w:val="15"/>
                <w:vertAlign w:val="superscript"/>
              </w:rPr>
            </w:pPr>
            <w:r>
              <w:rPr>
                <w:bCs/>
                <w:color w:val="000000" w:themeColor="text1"/>
                <w:sz w:val="16"/>
                <w:szCs w:val="15"/>
              </w:rPr>
              <w:t xml:space="preserve">139 </w:t>
            </w:r>
            <w:proofErr w:type="spellStart"/>
            <w:r>
              <w:rPr>
                <w:bCs/>
                <w:color w:val="000000" w:themeColor="text1"/>
                <w:sz w:val="16"/>
                <w:szCs w:val="15"/>
              </w:rPr>
              <w:t>mAh</w:t>
            </w:r>
            <w:proofErr w:type="spellEnd"/>
            <w:r>
              <w:rPr>
                <w:rFonts w:hint="eastAsia"/>
                <w:bCs/>
                <w:color w:val="000000" w:themeColor="text1"/>
                <w:sz w:val="16"/>
                <w:szCs w:val="15"/>
              </w:rPr>
              <w:t xml:space="preserve"> </w:t>
            </w:r>
            <w:r>
              <w:rPr>
                <w:bCs/>
                <w:color w:val="000000" w:themeColor="text1"/>
                <w:sz w:val="16"/>
                <w:szCs w:val="15"/>
              </w:rPr>
              <w:t>g</w:t>
            </w:r>
            <w:r>
              <w:rPr>
                <w:bCs/>
                <w:color w:val="000000" w:themeColor="text1"/>
                <w:sz w:val="16"/>
                <w:szCs w:val="15"/>
                <w:vertAlign w:val="superscript"/>
              </w:rPr>
              <w:t>−1</w:t>
            </w:r>
          </w:p>
          <w:p w14:paraId="144827BB"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@(100</w:t>
            </w:r>
            <w:r>
              <w:rPr>
                <w:bCs/>
                <w:color w:val="000000" w:themeColor="text1"/>
                <w:sz w:val="16"/>
                <w:szCs w:val="15"/>
                <w:vertAlign w:val="superscript"/>
              </w:rPr>
              <w:t>th</w:t>
            </w:r>
            <w:r>
              <w:rPr>
                <w:bCs/>
                <w:color w:val="000000" w:themeColor="text1"/>
                <w:sz w:val="16"/>
                <w:szCs w:val="15"/>
              </w:rPr>
              <w:t xml:space="preserve"> cycle)</w:t>
            </w:r>
          </w:p>
        </w:tc>
        <w:tc>
          <w:tcPr>
            <w:tcW w:w="1141" w:type="pct"/>
            <w:tcBorders>
              <w:top w:val="single" w:sz="4" w:space="0" w:color="auto"/>
              <w:left w:val="single" w:sz="4" w:space="0" w:color="auto"/>
              <w:bottom w:val="single" w:sz="4" w:space="0" w:color="auto"/>
              <w:right w:val="single" w:sz="4" w:space="0" w:color="auto"/>
            </w:tcBorders>
            <w:vAlign w:val="center"/>
          </w:tcPr>
          <w:p w14:paraId="144827BC"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200</w:t>
            </w:r>
            <w:r>
              <w:rPr>
                <w:bCs/>
                <w:color w:val="000000" w:themeColor="text1"/>
                <w:sz w:val="16"/>
                <w:szCs w:val="15"/>
              </w:rPr>
              <w:t xml:space="preserve"> (94.4%)</w:t>
            </w:r>
            <w:r>
              <w:rPr>
                <w:b/>
                <w:color w:val="000000" w:themeColor="text1"/>
                <w:sz w:val="16"/>
                <w:szCs w:val="15"/>
              </w:rPr>
              <w:t xml:space="preserve"> @0.5</w:t>
            </w:r>
            <w:r>
              <w:rPr>
                <w:rFonts w:hint="eastAsia"/>
                <w:b/>
                <w:color w:val="000000" w:themeColor="text1"/>
                <w:sz w:val="16"/>
                <w:szCs w:val="15"/>
              </w:rPr>
              <w:t xml:space="preserve"> </w:t>
            </w:r>
            <w:r>
              <w:rPr>
                <w:b/>
                <w:color w:val="000000" w:themeColor="text1"/>
                <w:sz w:val="16"/>
                <w:szCs w:val="15"/>
              </w:rPr>
              <w:t>C cutoff voltages of 4.3 V</w:t>
            </w:r>
          </w:p>
        </w:tc>
        <w:tc>
          <w:tcPr>
            <w:tcW w:w="349" w:type="pct"/>
            <w:tcBorders>
              <w:top w:val="single" w:sz="4" w:space="0" w:color="auto"/>
              <w:left w:val="single" w:sz="4" w:space="0" w:color="auto"/>
              <w:bottom w:val="single" w:sz="4" w:space="0" w:color="auto"/>
              <w:right w:val="nil"/>
            </w:tcBorders>
            <w:noWrap/>
            <w:vAlign w:val="center"/>
          </w:tcPr>
          <w:p w14:paraId="144827BD"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{"citationID":"0vipzPsM","properties":{"formattedCitation":"[8]","plainCitation":"[8]","noteIndex":0},"citationItems":[{"id":511,"uris":["http://zotero.org/users/15800058/items/8HNA7TDS"],"itemData":{"id":511,"type":"article-journal","abstract":"Lithium cobalt oxide (LCO) is a widely used cathode material for lithium-ion batteries. However, it suffers from irreversible phase transition during cycling because of high cutoff voltage or huge concentration polarization in thick electrode, resulting in deteriorated cyclability. Here, we design a low tortuous LiCoO2 (LCO-LT) electrode by ice-templating method and investigate the reversibility of LCO phase transition. LCO-LT thick electrode shows accelerated lithium-ion transport and reduced concentration polarization, achieving excellent rate capability and homogeneous actual operating voltage. Moreover, LCO-LT thick electrode exhibits a durable phase transition between O2 and H1–3, mitigated volume expansion, and suppressed microcrack formation. LCO-LT electrode (25 mg cm–2) delivers improved capacity retentions of 94.4% after 200 cycles and 93.3% after 150 cycles at cutoff voltages of 4.3 and 4.5 V, respectively. This strategy provides a new concept to improve the reversibility of LCO phase transition in thick electrode by low tortuosity design.","container-title":"Nano Letters","DOI":"10.1021/acs.nanolett.2c00123","ISSN":"1530-6984","issue":"6","journalAbbreviation":"Nano Lett.","page":"2429-2436","publisher":"American Chemical Society","source":"ACS Publications","title":"Enhancing the Reversibility of Lithium Cobalt Oxide Phase Transition in Thick Electrode via Low Tortuosity Design","URL":"https://doi.org/10.1021/acs.nanolett.2c00123","volume":"22","author":[{"family":"He","given":"Renjie"},{"family":"Tian","given":"Gangling"},{"family":"Li","given":"Shuping"},{"family":"Han","given":"Zhilong"},{"family":"Zhong","given":"Wei"},{"family":"Cheng","given":"Shijie"},{"family":"Xie","given":"Jia"}],"accessed":{"date-parts":[["2026",4,17]]},"issued":{"date-parts":[["2022",3,23]]}}}],"schema":"https://github.com/citation-style-language/schema/raw/master/csl-citation.json"} </w:instrText>
            </w:r>
            <w:r>
              <w:rPr>
                <w:sz w:val="18"/>
                <w:szCs w:val="18"/>
              </w:rPr>
              <w:fldChar w:fldCharType="separate"/>
            </w:r>
            <w:r>
              <w:rPr>
                <w:sz w:val="18"/>
                <w:szCs w:val="18"/>
              </w:rPr>
              <w:t>[8]</w:t>
            </w:r>
            <w:r>
              <w:rPr>
                <w:sz w:val="18"/>
                <w:szCs w:val="18"/>
              </w:rPr>
              <w:fldChar w:fldCharType="end"/>
            </w:r>
          </w:p>
        </w:tc>
      </w:tr>
      <w:tr w:rsidR="004F40C1" w14:paraId="144827C7"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BF"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LCO</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C0" w14:textId="77777777" w:rsidR="004F40C1" w:rsidRDefault="00000000">
            <w:pPr>
              <w:spacing w:line="360" w:lineRule="auto"/>
              <w:ind w:firstLineChars="0" w:firstLine="0"/>
              <w:rPr>
                <w:color w:val="000000" w:themeColor="text1"/>
                <w:sz w:val="16"/>
                <w:szCs w:val="15"/>
                <w:lang w:val="es-ES"/>
              </w:rPr>
            </w:pPr>
            <w:r>
              <w:rPr>
                <w:color w:val="000000" w:themeColor="text1"/>
                <w:sz w:val="16"/>
                <w:szCs w:val="15"/>
                <w:lang w:val="es-ES"/>
              </w:rPr>
              <w:t>CSP LCO/LLZTO/PEO/C</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C1" w14:textId="77777777" w:rsidR="004F40C1" w:rsidRDefault="00000000">
            <w:pPr>
              <w:spacing w:line="360" w:lineRule="auto"/>
              <w:ind w:firstLineChars="0" w:firstLine="0"/>
              <w:rPr>
                <w:b/>
                <w:color w:val="000000" w:themeColor="text1"/>
                <w:sz w:val="16"/>
                <w:szCs w:val="15"/>
                <w:vertAlign w:val="superscript"/>
              </w:rPr>
            </w:pPr>
            <w:r>
              <w:rPr>
                <w:b/>
                <w:color w:val="000000" w:themeColor="text1"/>
                <w:sz w:val="16"/>
                <w:szCs w:val="15"/>
              </w:rPr>
              <w:t>110 mg cm</w:t>
            </w:r>
            <w:r>
              <w:rPr>
                <w:b/>
                <w:color w:val="000000" w:themeColor="text1"/>
                <w:sz w:val="16"/>
                <w:szCs w:val="15"/>
                <w:vertAlign w:val="superscript"/>
              </w:rPr>
              <w:t>-2</w:t>
            </w:r>
          </w:p>
          <w:p w14:paraId="144827C2"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 xml:space="preserve">@400 </w:t>
            </w:r>
            <w:proofErr w:type="spellStart"/>
            <w:r>
              <w:rPr>
                <w:bCs/>
                <w:color w:val="000000" w:themeColor="text1"/>
                <w:sz w:val="16"/>
                <w:szCs w:val="15"/>
              </w:rPr>
              <w:t>μm</w:t>
            </w:r>
            <w:proofErr w:type="spellEnd"/>
          </w:p>
        </w:tc>
        <w:tc>
          <w:tcPr>
            <w:tcW w:w="877" w:type="pct"/>
            <w:tcBorders>
              <w:top w:val="single" w:sz="4" w:space="0" w:color="auto"/>
              <w:left w:val="single" w:sz="4" w:space="0" w:color="auto"/>
              <w:bottom w:val="single" w:sz="4" w:space="0" w:color="auto"/>
              <w:right w:val="single" w:sz="4" w:space="0" w:color="auto"/>
            </w:tcBorders>
            <w:noWrap/>
            <w:vAlign w:val="center"/>
          </w:tcPr>
          <w:p w14:paraId="144827C3" w14:textId="52E04DEC" w:rsidR="004F40C1" w:rsidRDefault="00000000">
            <w:pPr>
              <w:spacing w:line="360" w:lineRule="auto"/>
              <w:ind w:firstLineChars="0" w:firstLine="0"/>
              <w:rPr>
                <w:bCs/>
                <w:sz w:val="16"/>
                <w:szCs w:val="15"/>
                <w:vertAlign w:val="superscript"/>
              </w:rPr>
            </w:pPr>
            <w:r>
              <w:rPr>
                <w:bCs/>
                <w:color w:val="000000" w:themeColor="text1"/>
                <w:sz w:val="16"/>
                <w:szCs w:val="15"/>
              </w:rPr>
              <w:t>~15</w:t>
            </w:r>
            <w:r>
              <w:rPr>
                <w:bCs/>
                <w:sz w:val="16"/>
                <w:szCs w:val="15"/>
              </w:rPr>
              <w:t xml:space="preserve"> </w:t>
            </w:r>
            <w:proofErr w:type="spellStart"/>
            <w:r>
              <w:rPr>
                <w:bCs/>
                <w:sz w:val="16"/>
                <w:szCs w:val="15"/>
              </w:rPr>
              <w:t>mAh</w:t>
            </w:r>
            <w:proofErr w:type="spellEnd"/>
            <w:r>
              <w:rPr>
                <w:rFonts w:hint="eastAsia"/>
                <w:bCs/>
                <w:sz w:val="16"/>
                <w:szCs w:val="15"/>
              </w:rPr>
              <w:t xml:space="preserve"> </w:t>
            </w:r>
            <w:r>
              <w:rPr>
                <w:bCs/>
                <w:sz w:val="16"/>
                <w:szCs w:val="15"/>
              </w:rPr>
              <w:t>cm</w:t>
            </w:r>
            <w:r>
              <w:rPr>
                <w:rFonts w:hint="eastAsia"/>
                <w:bCs/>
                <w:sz w:val="16"/>
                <w:szCs w:val="15"/>
                <w:vertAlign w:val="superscript"/>
              </w:rPr>
              <w:t>-2</w:t>
            </w:r>
          </w:p>
          <w:p w14:paraId="144827C4" w14:textId="77777777" w:rsidR="004F40C1" w:rsidRDefault="004F40C1">
            <w:pPr>
              <w:spacing w:line="360" w:lineRule="auto"/>
              <w:ind w:firstLineChars="0" w:firstLine="0"/>
              <w:rPr>
                <w:bCs/>
                <w:color w:val="000000" w:themeColor="text1"/>
                <w:sz w:val="16"/>
                <w:szCs w:val="15"/>
              </w:rPr>
            </w:pPr>
          </w:p>
        </w:tc>
        <w:tc>
          <w:tcPr>
            <w:tcW w:w="1141" w:type="pct"/>
            <w:tcBorders>
              <w:top w:val="single" w:sz="4" w:space="0" w:color="auto"/>
              <w:left w:val="single" w:sz="4" w:space="0" w:color="auto"/>
              <w:bottom w:val="single" w:sz="4" w:space="0" w:color="auto"/>
              <w:right w:val="single" w:sz="4" w:space="0" w:color="auto"/>
            </w:tcBorders>
            <w:vAlign w:val="center"/>
          </w:tcPr>
          <w:p w14:paraId="144827C5" w14:textId="77777777" w:rsidR="004F40C1" w:rsidRDefault="00000000">
            <w:pPr>
              <w:spacing w:line="360" w:lineRule="auto"/>
              <w:ind w:firstLineChars="0" w:firstLine="0"/>
              <w:rPr>
                <w:b/>
                <w:color w:val="000000" w:themeColor="text1"/>
                <w:sz w:val="16"/>
                <w:szCs w:val="15"/>
              </w:rPr>
            </w:pPr>
            <w:r>
              <w:rPr>
                <w:b/>
                <w:color w:val="000000" w:themeColor="text1"/>
                <w:sz w:val="16"/>
                <w:szCs w:val="15"/>
              </w:rPr>
              <w:t>150</w:t>
            </w:r>
            <w:r>
              <w:rPr>
                <w:bCs/>
                <w:color w:val="000000" w:themeColor="text1"/>
                <w:sz w:val="16"/>
                <w:szCs w:val="15"/>
              </w:rPr>
              <w:t xml:space="preserve"> (96%)</w:t>
            </w:r>
            <w:r>
              <w:rPr>
                <w:b/>
                <w:color w:val="000000" w:themeColor="text1"/>
                <w:sz w:val="16"/>
                <w:szCs w:val="15"/>
              </w:rPr>
              <w:t xml:space="preserve"> @0.1</w:t>
            </w:r>
            <w:r>
              <w:rPr>
                <w:rFonts w:hint="eastAsia"/>
                <w:b/>
                <w:color w:val="000000" w:themeColor="text1"/>
                <w:sz w:val="16"/>
                <w:szCs w:val="15"/>
              </w:rPr>
              <w:t xml:space="preserve"> </w:t>
            </w:r>
            <w:r>
              <w:rPr>
                <w:b/>
                <w:color w:val="000000" w:themeColor="text1"/>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C6" w14:textId="77777777" w:rsidR="004F40C1" w:rsidRDefault="00000000">
            <w:pPr>
              <w:spacing w:line="360" w:lineRule="auto"/>
              <w:ind w:firstLineChars="0" w:firstLine="0"/>
              <w:rPr>
                <w:b/>
                <w:color w:val="000000" w:themeColor="text1"/>
                <w:sz w:val="18"/>
                <w:szCs w:val="18"/>
              </w:rPr>
            </w:pPr>
            <w:r>
              <w:rPr>
                <w:sz w:val="18"/>
                <w:szCs w:val="18"/>
              </w:rPr>
              <w:fldChar w:fldCharType="begin"/>
            </w:r>
            <w:r>
              <w:rPr>
                <w:sz w:val="18"/>
                <w:szCs w:val="18"/>
              </w:rPr>
              <w:instrText xml:space="preserve"> ADDIN ZOTERO_ITEM CSL_CITATION {"citationID":"aDXDNeF2","properties":{"formattedCitation":"[9]","plainCitation":"[9]","noteIndex":0},"citationItems":[{"id":414,"uris":["http://zotero.org/users/15800058/items/GITSLGK3"],"itemData":{"id":414,"type":"article-journal","abstract":"Lithium-ion batteries have undergone a remarkable development in the past 30 years. However, conventional electrodes are insufficient for the ever-increasing demand of high-energy batteries. Here, reported is a thick electrode with a dense structure, as an alternative to the commonly recognized porous framework. A low-temperature sintering technology with the aid of aqueous solvent, high pressure, and an ion-conductive additive is originally developed for preparing the LiCoO2 (LCO)/Li4Ti5O12 (LTO) dense-structure electrode as the representative cathode/anode material. The 400 µm thick cathode with 110 mg cm−2 mass loading achieves a high specific capacity of 131.2 mAh g−1 with a good capacity retention of 96% over 150 cycles, far exceeding the commercial counterpart (</w:instrText>
            </w:r>
            <w:r>
              <w:rPr>
                <w:rFonts w:hint="eastAsia"/>
                <w:sz w:val="18"/>
                <w:szCs w:val="18"/>
              </w:rPr>
              <w:instrText>≈</w:instrText>
            </w:r>
            <w:r>
              <w:rPr>
                <w:sz w:val="18"/>
                <w:szCs w:val="18"/>
              </w:rPr>
              <w:instrText xml:space="preserve">40 µm) of 54.1 mAh g−1 with 39%. The ultrathick electrode of 1300 µm thickness presents a remarkable area capacity of 28.6 mAh cm−2 that is 16 times that of the commercial electrode. The full cell based on the dense electrodes delivers an extremely high areal capacity of 14.4 mAh cm−2. The ion-diffusion coefficients of the densely sintered electrodes increase by nearly three orders of magnitude. This design opens up a new avenue for scalable and sustainable material manufacturing towards various practical applications.","container-title":"Advanced Functional Materials","DOI":"10.1002/adfm.201903961","ISSN":"1616-3028","issue":"34","language":"en","license":"© 2019 WILEY-VCH Verlag GmbH &amp; Co. KGaA, Weinheim","note":"_eprint: https://onlinelibrary.wiley.com/doi/pdf/10.1002/adfm.201903961","page":"1903961","source":"Wiley Online Library","title":"High-Performance, Low-Cost, and Dense-Structure Electrodes with High Mass Loading for Lithium-Ion Batteries","URL":"https://onlinelibrary.wiley.com/doi/abs/10.1002/adfm.201903961","volume":"29","author":[{"family":"Wu","given":"Xinsheng"},{"family":"Xia","given":"Shuixin"},{"family":"Huang","given":"Yuanqi"},{"family":"Hu","given":"Xiangchen"},{"family":"Yuan","given":"Biao"},{"family":"Chen","given":"Shaojie"},{"family":"Yu","given":"Yi"},{"family":"Liu","given":"Wei"}],"accessed":{"date-parts":[["2026",4,15]]},"issued":{"date-parts":[["2019"]]}}}],"schema":"https://github.com/citation-style-language/schema/raw/master/csl-citation.json"} </w:instrText>
            </w:r>
            <w:r>
              <w:rPr>
                <w:sz w:val="18"/>
                <w:szCs w:val="18"/>
              </w:rPr>
              <w:fldChar w:fldCharType="separate"/>
            </w:r>
            <w:r>
              <w:rPr>
                <w:sz w:val="18"/>
                <w:szCs w:val="18"/>
              </w:rPr>
              <w:t>[9]</w:t>
            </w:r>
            <w:r>
              <w:rPr>
                <w:sz w:val="18"/>
                <w:szCs w:val="18"/>
              </w:rPr>
              <w:fldChar w:fldCharType="end"/>
            </w:r>
          </w:p>
        </w:tc>
      </w:tr>
      <w:tr w:rsidR="004F40C1" w14:paraId="144827CF" w14:textId="77777777">
        <w:trPr>
          <w:trHeight w:val="285"/>
        </w:trPr>
        <w:tc>
          <w:tcPr>
            <w:tcW w:w="614" w:type="pct"/>
            <w:tcBorders>
              <w:top w:val="single" w:sz="4" w:space="0" w:color="auto"/>
              <w:left w:val="nil"/>
              <w:bottom w:val="single" w:sz="4" w:space="0" w:color="auto"/>
              <w:right w:val="single" w:sz="4" w:space="0" w:color="auto"/>
            </w:tcBorders>
            <w:noWrap/>
            <w:vAlign w:val="center"/>
          </w:tcPr>
          <w:p w14:paraId="144827C8" w14:textId="77777777" w:rsidR="004F40C1" w:rsidRDefault="00000000">
            <w:pPr>
              <w:spacing w:line="360" w:lineRule="auto"/>
              <w:ind w:firstLineChars="0" w:firstLine="0"/>
              <w:rPr>
                <w:bCs/>
                <w:color w:val="000000" w:themeColor="text1"/>
                <w:sz w:val="16"/>
                <w:szCs w:val="15"/>
              </w:rPr>
            </w:pPr>
            <w:r>
              <w:rPr>
                <w:bCs/>
                <w:color w:val="000000" w:themeColor="text1"/>
                <w:sz w:val="16"/>
                <w:szCs w:val="15"/>
              </w:rPr>
              <w:t>This study</w:t>
            </w:r>
          </w:p>
        </w:tc>
        <w:tc>
          <w:tcPr>
            <w:tcW w:w="1053" w:type="pct"/>
            <w:tcBorders>
              <w:top w:val="single" w:sz="4" w:space="0" w:color="auto"/>
              <w:left w:val="single" w:sz="4" w:space="0" w:color="auto"/>
              <w:bottom w:val="single" w:sz="4" w:space="0" w:color="auto"/>
              <w:right w:val="single" w:sz="4" w:space="0" w:color="auto"/>
            </w:tcBorders>
            <w:noWrap/>
            <w:vAlign w:val="center"/>
          </w:tcPr>
          <w:p w14:paraId="144827C9" w14:textId="77777777" w:rsidR="004F40C1" w:rsidRDefault="00000000">
            <w:pPr>
              <w:spacing w:line="360" w:lineRule="auto"/>
              <w:ind w:firstLineChars="0" w:firstLine="0"/>
              <w:rPr>
                <w:color w:val="000000" w:themeColor="text1"/>
                <w:sz w:val="16"/>
                <w:szCs w:val="15"/>
              </w:rPr>
            </w:pPr>
            <w:r>
              <w:rPr>
                <w:color w:val="000000" w:themeColor="text1"/>
                <w:sz w:val="16"/>
                <w:szCs w:val="15"/>
              </w:rPr>
              <w:t>CSP LCO/CNTs</w:t>
            </w:r>
          </w:p>
        </w:tc>
        <w:tc>
          <w:tcPr>
            <w:tcW w:w="965" w:type="pct"/>
            <w:tcBorders>
              <w:top w:val="single" w:sz="4" w:space="0" w:color="auto"/>
              <w:left w:val="single" w:sz="4" w:space="0" w:color="auto"/>
              <w:bottom w:val="single" w:sz="4" w:space="0" w:color="auto"/>
              <w:right w:val="single" w:sz="4" w:space="0" w:color="auto"/>
            </w:tcBorders>
            <w:noWrap/>
            <w:vAlign w:val="center"/>
          </w:tcPr>
          <w:p w14:paraId="144827CA" w14:textId="447B09E8" w:rsidR="004F40C1" w:rsidRDefault="00000000">
            <w:pPr>
              <w:spacing w:line="360" w:lineRule="auto"/>
              <w:ind w:firstLineChars="0" w:firstLine="0"/>
              <w:rPr>
                <w:b/>
                <w:color w:val="000000" w:themeColor="text1"/>
                <w:sz w:val="16"/>
                <w:szCs w:val="15"/>
                <w:vertAlign w:val="superscript"/>
              </w:rPr>
            </w:pPr>
            <w:r>
              <w:rPr>
                <w:b/>
                <w:color w:val="000000" w:themeColor="text1"/>
                <w:sz w:val="16"/>
                <w:szCs w:val="15"/>
              </w:rPr>
              <w:t>48mg</w:t>
            </w:r>
            <w:r>
              <w:rPr>
                <w:rFonts w:hint="eastAsia"/>
                <w:b/>
                <w:color w:val="000000" w:themeColor="text1"/>
                <w:sz w:val="16"/>
                <w:szCs w:val="15"/>
              </w:rPr>
              <w:t xml:space="preserve"> </w:t>
            </w:r>
            <w:r>
              <w:rPr>
                <w:b/>
                <w:color w:val="000000" w:themeColor="text1"/>
                <w:sz w:val="16"/>
                <w:szCs w:val="15"/>
              </w:rPr>
              <w:t>cm</w:t>
            </w:r>
            <w:r>
              <w:rPr>
                <w:rFonts w:hint="eastAsia"/>
                <w:b/>
                <w:color w:val="000000" w:themeColor="text1"/>
                <w:sz w:val="16"/>
                <w:szCs w:val="15"/>
                <w:vertAlign w:val="superscript"/>
              </w:rPr>
              <w:t>-2</w:t>
            </w:r>
          </w:p>
          <w:p w14:paraId="144827CB" w14:textId="77777777" w:rsidR="004F40C1" w:rsidRDefault="00000000">
            <w:pPr>
              <w:spacing w:line="360" w:lineRule="auto"/>
              <w:ind w:firstLineChars="0" w:firstLine="0"/>
              <w:rPr>
                <w:b/>
                <w:color w:val="000000" w:themeColor="text1"/>
                <w:sz w:val="16"/>
                <w:szCs w:val="15"/>
              </w:rPr>
            </w:pPr>
            <w:r>
              <w:rPr>
                <w:sz w:val="16"/>
                <w:szCs w:val="15"/>
              </w:rPr>
              <w:t>@200 </w:t>
            </w:r>
            <w:proofErr w:type="spellStart"/>
            <w:r>
              <w:rPr>
                <w:sz w:val="16"/>
                <w:szCs w:val="15"/>
              </w:rPr>
              <w:t>μm</w:t>
            </w:r>
            <w:proofErr w:type="spellEnd"/>
          </w:p>
        </w:tc>
        <w:tc>
          <w:tcPr>
            <w:tcW w:w="877" w:type="pct"/>
            <w:tcBorders>
              <w:top w:val="single" w:sz="4" w:space="0" w:color="auto"/>
              <w:left w:val="single" w:sz="4" w:space="0" w:color="auto"/>
              <w:bottom w:val="single" w:sz="4" w:space="0" w:color="auto"/>
              <w:right w:val="single" w:sz="4" w:space="0" w:color="auto"/>
            </w:tcBorders>
            <w:noWrap/>
            <w:vAlign w:val="center"/>
          </w:tcPr>
          <w:p w14:paraId="144827CC" w14:textId="5EA39E57" w:rsidR="004F40C1" w:rsidRDefault="00000000">
            <w:pPr>
              <w:spacing w:line="360" w:lineRule="auto"/>
              <w:ind w:firstLineChars="0" w:firstLine="0"/>
              <w:rPr>
                <w:bCs/>
                <w:color w:val="000000" w:themeColor="text1"/>
                <w:sz w:val="16"/>
                <w:szCs w:val="15"/>
              </w:rPr>
            </w:pPr>
            <w:r>
              <w:rPr>
                <w:bCs/>
                <w:color w:val="000000" w:themeColor="text1"/>
                <w:sz w:val="16"/>
                <w:szCs w:val="15"/>
              </w:rPr>
              <w:t>5.6</w:t>
            </w:r>
            <w:r>
              <w:rPr>
                <w:bCs/>
                <w:sz w:val="16"/>
                <w:szCs w:val="15"/>
              </w:rPr>
              <w:t xml:space="preserve"> </w:t>
            </w:r>
            <w:proofErr w:type="spellStart"/>
            <w:r>
              <w:rPr>
                <w:bCs/>
                <w:sz w:val="16"/>
                <w:szCs w:val="15"/>
              </w:rPr>
              <w:t>mAh</w:t>
            </w:r>
            <w:proofErr w:type="spellEnd"/>
            <w:r>
              <w:rPr>
                <w:rFonts w:hint="eastAsia"/>
                <w:bCs/>
                <w:sz w:val="16"/>
                <w:szCs w:val="15"/>
              </w:rPr>
              <w:t xml:space="preserve"> </w:t>
            </w:r>
            <w:r>
              <w:rPr>
                <w:bCs/>
                <w:sz w:val="16"/>
                <w:szCs w:val="15"/>
              </w:rPr>
              <w:t>cm</w:t>
            </w:r>
            <w:r>
              <w:rPr>
                <w:rFonts w:hint="eastAsia"/>
                <w:bCs/>
                <w:sz w:val="16"/>
                <w:szCs w:val="15"/>
                <w:vertAlign w:val="superscript"/>
              </w:rPr>
              <w:t>-2</w:t>
            </w:r>
          </w:p>
        </w:tc>
        <w:tc>
          <w:tcPr>
            <w:tcW w:w="1141" w:type="pct"/>
            <w:tcBorders>
              <w:top w:val="single" w:sz="4" w:space="0" w:color="auto"/>
              <w:left w:val="single" w:sz="4" w:space="0" w:color="auto"/>
              <w:bottom w:val="single" w:sz="4" w:space="0" w:color="auto"/>
              <w:right w:val="single" w:sz="4" w:space="0" w:color="auto"/>
            </w:tcBorders>
            <w:vAlign w:val="center"/>
          </w:tcPr>
          <w:p w14:paraId="144827CD" w14:textId="77777777" w:rsidR="004F40C1" w:rsidRDefault="00000000">
            <w:pPr>
              <w:spacing w:line="360" w:lineRule="auto"/>
              <w:ind w:firstLineChars="0" w:firstLine="0"/>
              <w:rPr>
                <w:b/>
                <w:bCs/>
                <w:color w:val="000000" w:themeColor="text1"/>
                <w:sz w:val="16"/>
                <w:szCs w:val="15"/>
              </w:rPr>
            </w:pPr>
            <w:r>
              <w:rPr>
                <w:b/>
                <w:bCs/>
                <w:sz w:val="16"/>
                <w:szCs w:val="15"/>
              </w:rPr>
              <w:t xml:space="preserve">100 </w:t>
            </w:r>
            <w:r>
              <w:rPr>
                <w:sz w:val="16"/>
                <w:szCs w:val="15"/>
              </w:rPr>
              <w:t>(86.8%)</w:t>
            </w:r>
            <w:r>
              <w:rPr>
                <w:b/>
                <w:bCs/>
                <w:sz w:val="16"/>
                <w:szCs w:val="15"/>
              </w:rPr>
              <w:t xml:space="preserve"> @ 0.1</w:t>
            </w:r>
            <w:r>
              <w:rPr>
                <w:rFonts w:hint="eastAsia"/>
                <w:b/>
                <w:bCs/>
                <w:sz w:val="16"/>
                <w:szCs w:val="15"/>
              </w:rPr>
              <w:t xml:space="preserve"> </w:t>
            </w:r>
            <w:r>
              <w:rPr>
                <w:b/>
                <w:bCs/>
                <w:sz w:val="16"/>
                <w:szCs w:val="15"/>
              </w:rPr>
              <w:t>C</w:t>
            </w:r>
          </w:p>
        </w:tc>
        <w:tc>
          <w:tcPr>
            <w:tcW w:w="349" w:type="pct"/>
            <w:tcBorders>
              <w:top w:val="single" w:sz="4" w:space="0" w:color="auto"/>
              <w:left w:val="single" w:sz="4" w:space="0" w:color="auto"/>
              <w:bottom w:val="single" w:sz="4" w:space="0" w:color="auto"/>
              <w:right w:val="nil"/>
            </w:tcBorders>
            <w:noWrap/>
            <w:vAlign w:val="center"/>
          </w:tcPr>
          <w:p w14:paraId="144827CE" w14:textId="77777777" w:rsidR="004F40C1" w:rsidRDefault="004F40C1">
            <w:pPr>
              <w:spacing w:line="360" w:lineRule="auto"/>
              <w:ind w:firstLine="320"/>
              <w:rPr>
                <w:b/>
                <w:color w:val="000000" w:themeColor="text1"/>
                <w:sz w:val="16"/>
                <w:szCs w:val="15"/>
              </w:rPr>
            </w:pPr>
          </w:p>
        </w:tc>
      </w:tr>
    </w:tbl>
    <w:p w14:paraId="144827D0" w14:textId="77777777" w:rsidR="004F40C1" w:rsidRDefault="004F40C1">
      <w:pPr>
        <w:overflowPunct w:val="0"/>
        <w:snapToGrid w:val="0"/>
        <w:spacing w:line="360" w:lineRule="auto"/>
        <w:ind w:firstLineChars="0" w:firstLine="0"/>
        <w:rPr>
          <w:b/>
          <w:bCs/>
          <w:szCs w:val="24"/>
        </w:rPr>
      </w:pPr>
    </w:p>
    <w:p w14:paraId="144827D1" w14:textId="77777777" w:rsidR="004F40C1" w:rsidRDefault="00000000">
      <w:pPr>
        <w:overflowPunct w:val="0"/>
        <w:snapToGrid w:val="0"/>
        <w:spacing w:line="360" w:lineRule="auto"/>
        <w:ind w:firstLineChars="0" w:firstLine="0"/>
        <w:rPr>
          <w:b/>
          <w:bCs/>
          <w:szCs w:val="24"/>
        </w:rPr>
      </w:pPr>
      <w:r>
        <w:rPr>
          <w:b/>
          <w:bCs/>
          <w:szCs w:val="24"/>
        </w:rPr>
        <w:lastRenderedPageBreak/>
        <w:t>Reference</w:t>
      </w:r>
      <w:bookmarkEnd w:id="3"/>
      <w:r>
        <w:rPr>
          <w:rFonts w:hint="eastAsia"/>
          <w:b/>
          <w:bCs/>
          <w:szCs w:val="24"/>
        </w:rPr>
        <w:t>s</w:t>
      </w:r>
    </w:p>
    <w:p w14:paraId="144827D2" w14:textId="77777777" w:rsidR="004F40C1" w:rsidRDefault="00000000">
      <w:pPr>
        <w:pStyle w:val="13"/>
        <w:ind w:firstLine="480"/>
      </w:pPr>
      <w:r>
        <w:rPr>
          <w:szCs w:val="24"/>
        </w:rPr>
        <w:fldChar w:fldCharType="begin"/>
      </w:r>
      <w:r>
        <w:rPr>
          <w:szCs w:val="24"/>
        </w:rPr>
        <w:instrText xml:space="preserve"> ADDIN ZOTERO_BIBL {"uncited":[],"omitted":[],"custom":[]} CSL_BIBLIOGRAPHY </w:instrText>
      </w:r>
      <w:r>
        <w:rPr>
          <w:szCs w:val="24"/>
        </w:rPr>
        <w:fldChar w:fldCharType="separate"/>
      </w:r>
      <w:r>
        <w:t xml:space="preserve">1. </w:t>
      </w:r>
      <w:r>
        <w:tab/>
        <w:t xml:space="preserve">Saqib, K.S.; Choi, J.H.; Park, S.; Lim, H.; Ali, J.; Hwang, M.; Kim, M.; Lim, H.; Oh, M.; Kaveevivitchai, W.; et al. High-Mass Loading Nickel-Rich Cathode Electrode Design Incorporating Multidimensional Carbon Conductive Additives to Minimize Ohmic Contact Resistance for High-Performance Lithium-Ion Batteries. </w:t>
      </w:r>
      <w:r>
        <w:rPr>
          <w:i/>
          <w:iCs/>
        </w:rPr>
        <w:t>ACS Appl. Mater. Interfaces</w:t>
      </w:r>
      <w:r>
        <w:t xml:space="preserve"> </w:t>
      </w:r>
      <w:r>
        <w:rPr>
          <w:b/>
          <w:bCs/>
        </w:rPr>
        <w:t>2025</w:t>
      </w:r>
      <w:r>
        <w:t xml:space="preserve">, </w:t>
      </w:r>
      <w:r>
        <w:rPr>
          <w:i/>
          <w:iCs/>
        </w:rPr>
        <w:t>17</w:t>
      </w:r>
      <w:r>
        <w:t>, 48429–48439, doi:10.1021/acsami.5c12663.</w:t>
      </w:r>
    </w:p>
    <w:p w14:paraId="144827D3" w14:textId="77777777" w:rsidR="004F40C1" w:rsidRDefault="00000000">
      <w:pPr>
        <w:pStyle w:val="13"/>
        <w:ind w:firstLine="480"/>
      </w:pPr>
      <w:r>
        <w:t xml:space="preserve">2. </w:t>
      </w:r>
      <w:r>
        <w:tab/>
        <w:t xml:space="preserve">Park, K.-Y.; Park, J.-W.; Seong, W.M.; Yoon, K.; Hwang, T.-H.; Ko, K.-H.; Han, J.-H.; Jaedong, Y.; Kang, K. Understanding Capacity Fading Mechanism of Thick Electrodes for Lithium-Ion Rechargeable Batteries. </w:t>
      </w:r>
      <w:r>
        <w:rPr>
          <w:i/>
          <w:iCs/>
        </w:rPr>
        <w:t>J. Power Sources</w:t>
      </w:r>
      <w:r>
        <w:t xml:space="preserve"> </w:t>
      </w:r>
      <w:r>
        <w:rPr>
          <w:b/>
          <w:bCs/>
        </w:rPr>
        <w:t>2020</w:t>
      </w:r>
      <w:r>
        <w:t xml:space="preserve">, </w:t>
      </w:r>
      <w:r>
        <w:rPr>
          <w:i/>
          <w:iCs/>
        </w:rPr>
        <w:t>468</w:t>
      </w:r>
      <w:r>
        <w:t>, 228369, doi:10.1016/j.jpowsour.2020.228369.</w:t>
      </w:r>
    </w:p>
    <w:p w14:paraId="144827D4" w14:textId="77777777" w:rsidR="004F40C1" w:rsidRDefault="00000000">
      <w:pPr>
        <w:pStyle w:val="13"/>
        <w:ind w:firstLine="480"/>
      </w:pPr>
      <w:r>
        <w:t xml:space="preserve">3. </w:t>
      </w:r>
      <w:r>
        <w:tab/>
        <w:t>de la Torre-Gamarra, C.; Sotomayor, M.E.; Sanchez, J.-Y.; Levenfeld, B.; Várez, A.; Laïk, B.; Pereira-Ramos, J.-P. High Mass Loading Additive-Free LiFePO4 Cathodes with 500 </w:t>
      </w:r>
      <w:r>
        <w:rPr>
          <w:rFonts w:asciiTheme="majorBidi" w:hAnsiTheme="majorBidi" w:cstheme="majorBidi"/>
        </w:rPr>
        <w:t>μm</w:t>
      </w:r>
      <w:r>
        <w:t xml:space="preserve"> Thickness for High Areal Capacity Li-Ion Batteries. </w:t>
      </w:r>
      <w:r>
        <w:rPr>
          <w:i/>
          <w:iCs/>
        </w:rPr>
        <w:t>J. Power Sources</w:t>
      </w:r>
      <w:r>
        <w:t xml:space="preserve"> </w:t>
      </w:r>
      <w:r>
        <w:rPr>
          <w:b/>
          <w:bCs/>
        </w:rPr>
        <w:t>2020</w:t>
      </w:r>
      <w:r>
        <w:t xml:space="preserve">, </w:t>
      </w:r>
      <w:r>
        <w:rPr>
          <w:i/>
          <w:iCs/>
        </w:rPr>
        <w:t>458</w:t>
      </w:r>
      <w:r>
        <w:t>, 228033, doi:10.1016/j.jpowsour.2020.228033.</w:t>
      </w:r>
    </w:p>
    <w:p w14:paraId="144827D5" w14:textId="77777777" w:rsidR="004F40C1" w:rsidRDefault="00000000">
      <w:pPr>
        <w:pStyle w:val="13"/>
        <w:ind w:firstLine="480"/>
      </w:pPr>
      <w:r>
        <w:t xml:space="preserve">4. </w:t>
      </w:r>
      <w:r>
        <w:tab/>
        <w:t xml:space="preserve">Seo, J.-H.; Verlinde, K.; Guo, J.; Heidary, D.S.B.; Rajagopalan, R.; Mallouk, T.E.; Randall, C.A. Cold Sintering Approach to Fabrication of High Rate Performance Binderless LiFePO4 Cathode with High Volumetric Capacity. </w:t>
      </w:r>
      <w:r>
        <w:rPr>
          <w:i/>
          <w:iCs/>
        </w:rPr>
        <w:t>Scr. Mater.</w:t>
      </w:r>
      <w:r>
        <w:t xml:space="preserve"> </w:t>
      </w:r>
      <w:r>
        <w:rPr>
          <w:b/>
          <w:bCs/>
        </w:rPr>
        <w:t>2018</w:t>
      </w:r>
      <w:r>
        <w:t xml:space="preserve">, </w:t>
      </w:r>
      <w:r>
        <w:rPr>
          <w:i/>
          <w:iCs/>
        </w:rPr>
        <w:t>146</w:t>
      </w:r>
      <w:r>
        <w:t>, 267–271, doi:10.1016/j.scriptamat.2017.12.005.</w:t>
      </w:r>
    </w:p>
    <w:p w14:paraId="144827D6" w14:textId="77777777" w:rsidR="004F40C1" w:rsidRDefault="00000000">
      <w:pPr>
        <w:pStyle w:val="13"/>
        <w:ind w:firstLine="480"/>
      </w:pPr>
      <w:r>
        <w:t xml:space="preserve">5. </w:t>
      </w:r>
      <w:r>
        <w:tab/>
        <w:t xml:space="preserve">Seo, J.-H.; Guo, J.; Guo, H.; Verlinde, K.; Heidary, D.S.B.; Rajagopalan, R.; Randall, C.A. Cold Sintering of a Li-Ion Cathode: LiFePO4-Composite with High Volumetric Capacity. </w:t>
      </w:r>
      <w:r>
        <w:rPr>
          <w:i/>
          <w:iCs/>
        </w:rPr>
        <w:t>Ceram. Int.</w:t>
      </w:r>
      <w:r>
        <w:t xml:space="preserve"> </w:t>
      </w:r>
      <w:r>
        <w:rPr>
          <w:b/>
          <w:bCs/>
        </w:rPr>
        <w:t>2017</w:t>
      </w:r>
      <w:r>
        <w:t xml:space="preserve">, </w:t>
      </w:r>
      <w:r>
        <w:rPr>
          <w:i/>
          <w:iCs/>
        </w:rPr>
        <w:t>43</w:t>
      </w:r>
      <w:r>
        <w:t>, 15370–15374, doi:10.1016/j.ceramint.2017.08.077.</w:t>
      </w:r>
    </w:p>
    <w:p w14:paraId="144827D7" w14:textId="77777777" w:rsidR="004F40C1" w:rsidRDefault="00000000">
      <w:pPr>
        <w:pStyle w:val="13"/>
        <w:ind w:firstLine="480"/>
      </w:pPr>
      <w:r>
        <w:t xml:space="preserve">6. </w:t>
      </w:r>
      <w:r>
        <w:tab/>
        <w:t xml:space="preserve">Mwizerwa, J.P.; Li, J.; Nsengiyumva, W.; Li, C.; Xu, K.; Rasaki, S.A.; Liu, C. Thick 3D-Printed Hierarchical Li4Ti5O12@MOF Anode and Grid-Lined Micropores for High-Performance Lithium-Ion Batteries. </w:t>
      </w:r>
      <w:r>
        <w:rPr>
          <w:i/>
          <w:iCs/>
        </w:rPr>
        <w:t>J. Colloid Interface Sci.</w:t>
      </w:r>
      <w:r>
        <w:t xml:space="preserve"> </w:t>
      </w:r>
      <w:r>
        <w:rPr>
          <w:b/>
          <w:bCs/>
        </w:rPr>
        <w:t>2025</w:t>
      </w:r>
      <w:r>
        <w:t xml:space="preserve">, </w:t>
      </w:r>
      <w:r>
        <w:rPr>
          <w:i/>
          <w:iCs/>
        </w:rPr>
        <w:t>696</w:t>
      </w:r>
      <w:r>
        <w:t>, 137883, doi:10.1016/j.jcis.2025.137883.</w:t>
      </w:r>
    </w:p>
    <w:p w14:paraId="144827D8" w14:textId="77777777" w:rsidR="004F40C1" w:rsidRDefault="00000000">
      <w:pPr>
        <w:pStyle w:val="13"/>
        <w:ind w:firstLine="480"/>
      </w:pPr>
      <w:r>
        <w:t xml:space="preserve">7. </w:t>
      </w:r>
      <w:r>
        <w:tab/>
        <w:t xml:space="preserve">Seo, J.-H.; Verlinde, K.; Rajagopalan, R.; Gomez, E.D.; Mallouk, T.E.; Randall, C.A. Cold Sintering Process for Fabrication of a High Volumetric Capacity Li4Ti5O12 Anode. </w:t>
      </w:r>
      <w:r>
        <w:rPr>
          <w:i/>
          <w:iCs/>
        </w:rPr>
        <w:t>Mater. Sci. Eng. B</w:t>
      </w:r>
      <w:r>
        <w:t xml:space="preserve"> </w:t>
      </w:r>
      <w:r>
        <w:rPr>
          <w:b/>
          <w:bCs/>
        </w:rPr>
        <w:t>2019</w:t>
      </w:r>
      <w:r>
        <w:t xml:space="preserve">, </w:t>
      </w:r>
      <w:r>
        <w:rPr>
          <w:i/>
          <w:iCs/>
        </w:rPr>
        <w:t>250</w:t>
      </w:r>
      <w:r>
        <w:t>, 114435, doi:10.1016/j.mseb.2019.114435.</w:t>
      </w:r>
    </w:p>
    <w:p w14:paraId="144827D9" w14:textId="77777777" w:rsidR="004F40C1" w:rsidRDefault="00000000">
      <w:pPr>
        <w:pStyle w:val="13"/>
        <w:ind w:firstLine="480"/>
      </w:pPr>
      <w:r>
        <w:t xml:space="preserve">8. </w:t>
      </w:r>
      <w:r>
        <w:tab/>
        <w:t xml:space="preserve">He, R.; Tian, G.; Li, S.; Han, Z.; Zhong, W.; Cheng, S.; Xie, J. Enhancing the Reversibility of Lithium Cobalt Oxide Phase Transition in Thick Electrode via Low Tortuosity Design. </w:t>
      </w:r>
      <w:r>
        <w:rPr>
          <w:i/>
          <w:iCs/>
        </w:rPr>
        <w:t>Nano Lett.</w:t>
      </w:r>
      <w:r>
        <w:t xml:space="preserve"> </w:t>
      </w:r>
      <w:r>
        <w:rPr>
          <w:b/>
          <w:bCs/>
        </w:rPr>
        <w:t>2022</w:t>
      </w:r>
      <w:r>
        <w:t xml:space="preserve">, </w:t>
      </w:r>
      <w:r>
        <w:rPr>
          <w:i/>
          <w:iCs/>
        </w:rPr>
        <w:t>22</w:t>
      </w:r>
      <w:r>
        <w:t>, 2429–2436, doi:10.1021/acs.nanolett.2c00123.</w:t>
      </w:r>
    </w:p>
    <w:p w14:paraId="144827DA" w14:textId="77777777" w:rsidR="004F40C1" w:rsidRDefault="00000000">
      <w:pPr>
        <w:pStyle w:val="13"/>
        <w:ind w:firstLine="480"/>
      </w:pPr>
      <w:r>
        <w:t xml:space="preserve">9. </w:t>
      </w:r>
      <w:r>
        <w:tab/>
        <w:t xml:space="preserve">Wu, X.; Xia, S.; Huang, Y.; Hu, X.; Yuan, B.; Chen, S.; Yu, Y.; Liu, W. High-Performance, Low-Cost, and Dense-Structure Electrodes with High Mass Loading for Lithium-Ion Batteries. </w:t>
      </w:r>
      <w:r>
        <w:rPr>
          <w:i/>
          <w:iCs/>
        </w:rPr>
        <w:t>Adv. Funct. Mater.</w:t>
      </w:r>
      <w:r>
        <w:t xml:space="preserve"> </w:t>
      </w:r>
      <w:r>
        <w:rPr>
          <w:b/>
          <w:bCs/>
        </w:rPr>
        <w:t>2019</w:t>
      </w:r>
      <w:r>
        <w:t xml:space="preserve">, </w:t>
      </w:r>
      <w:r>
        <w:rPr>
          <w:i/>
          <w:iCs/>
        </w:rPr>
        <w:t>29</w:t>
      </w:r>
      <w:r>
        <w:t>, 1903961, doi:10.1002/adfm.201903961.</w:t>
      </w:r>
    </w:p>
    <w:p w14:paraId="144827DB" w14:textId="77777777" w:rsidR="004F40C1" w:rsidRDefault="00000000">
      <w:pPr>
        <w:overflowPunct w:val="0"/>
        <w:snapToGrid w:val="0"/>
        <w:spacing w:line="360" w:lineRule="auto"/>
        <w:ind w:firstLineChars="0" w:firstLine="0"/>
        <w:rPr>
          <w:szCs w:val="24"/>
        </w:rPr>
      </w:pPr>
      <w:r>
        <w:rPr>
          <w:szCs w:val="24"/>
        </w:rPr>
        <w:fldChar w:fldCharType="end"/>
      </w:r>
    </w:p>
    <w:sectPr w:rsidR="004F40C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440" w:right="1797" w:bottom="1440" w:left="1797" w:header="851" w:footer="851"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9262" w14:textId="77777777" w:rsidR="00E37338" w:rsidRDefault="00E37338">
      <w:pPr>
        <w:spacing w:line="240" w:lineRule="auto"/>
      </w:pPr>
    </w:p>
  </w:endnote>
  <w:endnote w:type="continuationSeparator" w:id="0">
    <w:p w14:paraId="47B9F4EA" w14:textId="77777777" w:rsidR="00E37338" w:rsidRDefault="00E373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default"/>
    <w:sig w:usb0="00000000" w:usb1="00000000"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27E6" w14:textId="77777777" w:rsidR="004F40C1" w:rsidRDefault="004F40C1">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566556"/>
    </w:sdtPr>
    <w:sdtContent>
      <w:p w14:paraId="144827E7" w14:textId="77777777" w:rsidR="004F40C1" w:rsidRDefault="00000000">
        <w:pPr>
          <w:pStyle w:val="af"/>
          <w:ind w:firstLine="360"/>
        </w:pPr>
        <w:r>
          <w:fldChar w:fldCharType="begin"/>
        </w:r>
        <w:r>
          <w:instrText>PAGE   \* MERGEFORMAT</w:instrText>
        </w:r>
        <w:r>
          <w:fldChar w:fldCharType="separate"/>
        </w:r>
        <w:r>
          <w:rPr>
            <w:lang w:val="zh-CN"/>
          </w:rPr>
          <w:t>1</w:t>
        </w:r>
        <w:r>
          <w:rPr>
            <w:lang w:val="zh-CN"/>
          </w:rPr>
          <w:t>8</w:t>
        </w:r>
        <w:r>
          <w:fldChar w:fldCharType="end"/>
        </w:r>
      </w:p>
    </w:sdtContent>
  </w:sdt>
  <w:p w14:paraId="144827E8" w14:textId="77777777" w:rsidR="004F40C1" w:rsidRDefault="004F40C1">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27EA" w14:textId="77777777" w:rsidR="004F40C1" w:rsidRDefault="004F40C1">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4409" w14:textId="77777777" w:rsidR="00E37338" w:rsidRDefault="00E37338"/>
  </w:footnote>
  <w:footnote w:type="continuationSeparator" w:id="0">
    <w:p w14:paraId="6880BBEC" w14:textId="77777777" w:rsidR="00E37338" w:rsidRDefault="00E37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27E4" w14:textId="77777777" w:rsidR="004F40C1" w:rsidRDefault="00000000">
    <w:pPr>
      <w:pStyle w:val="af1"/>
      <w:ind w:firstLine="360"/>
    </w:pPr>
    <w:r>
      <w:rPr>
        <w:rFonts w:ascii="宋体" w:eastAsia="宋体" w:hAnsi="宋体" w:cs="宋体" w:hint="eastAsia"/>
      </w:rPr>
      <w:t>致</w:t>
    </w:r>
    <w:r>
      <w:rPr>
        <w:rFonts w:hint="eastAsia"/>
      </w:rPr>
      <w:t xml:space="preserve"> </w:t>
    </w:r>
    <w:r>
      <w:t xml:space="preserve"> </w:t>
    </w:r>
    <w:r>
      <w:rPr>
        <w:rFonts w:ascii="宋体" w:eastAsia="宋体" w:hAnsi="宋体" w:cs="宋体" w:hint="eastAsia"/>
      </w:rPr>
      <w:t>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27E5" w14:textId="77777777" w:rsidR="004F40C1" w:rsidRDefault="004F40C1">
    <w:pPr>
      <w:pStyle w:val="af1"/>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27E9" w14:textId="77777777" w:rsidR="004F40C1" w:rsidRDefault="004F40C1">
    <w:pPr>
      <w:pStyle w:val="a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32900"/>
    <w:multiLevelType w:val="multilevel"/>
    <w:tmpl w:val="68332900"/>
    <w:lvl w:ilvl="0">
      <w:start w:val="1"/>
      <w:numFmt w:val="decimal"/>
      <w:pStyle w:val="2"/>
      <w:lvlText w:val="%1."/>
      <w:lvlJc w:val="left"/>
      <w:pPr>
        <w:ind w:left="440" w:hanging="440"/>
      </w:pPr>
      <w:rPr>
        <w:rFonts w:hint="eastAsia"/>
        <w:b/>
        <w:i w:val="0"/>
      </w:rPr>
    </w:lvl>
    <w:lvl w:ilvl="1">
      <w:start w:val="1"/>
      <w:numFmt w:val="decimal"/>
      <w:pStyle w:val="3"/>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47541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C15"/>
    <w:rsid w:val="00000E33"/>
    <w:rsid w:val="00002980"/>
    <w:rsid w:val="000031E1"/>
    <w:rsid w:val="000036DC"/>
    <w:rsid w:val="00003FE0"/>
    <w:rsid w:val="00004650"/>
    <w:rsid w:val="0000468D"/>
    <w:rsid w:val="00004790"/>
    <w:rsid w:val="00004B85"/>
    <w:rsid w:val="00004FA6"/>
    <w:rsid w:val="000052A7"/>
    <w:rsid w:val="00005579"/>
    <w:rsid w:val="00005E6C"/>
    <w:rsid w:val="00006129"/>
    <w:rsid w:val="00006837"/>
    <w:rsid w:val="00006931"/>
    <w:rsid w:val="00006AD9"/>
    <w:rsid w:val="00007706"/>
    <w:rsid w:val="00007DB7"/>
    <w:rsid w:val="000108E6"/>
    <w:rsid w:val="000112EE"/>
    <w:rsid w:val="00011A02"/>
    <w:rsid w:val="000121FB"/>
    <w:rsid w:val="000126B7"/>
    <w:rsid w:val="00014202"/>
    <w:rsid w:val="00014938"/>
    <w:rsid w:val="00015297"/>
    <w:rsid w:val="00016F9A"/>
    <w:rsid w:val="0001752C"/>
    <w:rsid w:val="000178A8"/>
    <w:rsid w:val="00017C7F"/>
    <w:rsid w:val="00017CA5"/>
    <w:rsid w:val="00017F90"/>
    <w:rsid w:val="000203A9"/>
    <w:rsid w:val="0002275A"/>
    <w:rsid w:val="00022CC4"/>
    <w:rsid w:val="00023338"/>
    <w:rsid w:val="00023440"/>
    <w:rsid w:val="00024001"/>
    <w:rsid w:val="00024AB1"/>
    <w:rsid w:val="00024DC2"/>
    <w:rsid w:val="00024E8B"/>
    <w:rsid w:val="00024FB6"/>
    <w:rsid w:val="00025A8A"/>
    <w:rsid w:val="00026F7C"/>
    <w:rsid w:val="00027E60"/>
    <w:rsid w:val="000305FD"/>
    <w:rsid w:val="00030C7F"/>
    <w:rsid w:val="00031004"/>
    <w:rsid w:val="000310C0"/>
    <w:rsid w:val="000316C5"/>
    <w:rsid w:val="00032D77"/>
    <w:rsid w:val="000331CD"/>
    <w:rsid w:val="0003321F"/>
    <w:rsid w:val="000340EA"/>
    <w:rsid w:val="0003556A"/>
    <w:rsid w:val="00035E59"/>
    <w:rsid w:val="000360FB"/>
    <w:rsid w:val="00036958"/>
    <w:rsid w:val="00036AE3"/>
    <w:rsid w:val="00037C27"/>
    <w:rsid w:val="000407D2"/>
    <w:rsid w:val="0004129C"/>
    <w:rsid w:val="000417D2"/>
    <w:rsid w:val="00041EC9"/>
    <w:rsid w:val="00042AC5"/>
    <w:rsid w:val="00042B8E"/>
    <w:rsid w:val="00042EB5"/>
    <w:rsid w:val="0004311E"/>
    <w:rsid w:val="00043752"/>
    <w:rsid w:val="00043AD5"/>
    <w:rsid w:val="00043EB3"/>
    <w:rsid w:val="0004401D"/>
    <w:rsid w:val="00045F8A"/>
    <w:rsid w:val="000463D3"/>
    <w:rsid w:val="00046632"/>
    <w:rsid w:val="00046A8C"/>
    <w:rsid w:val="00047E5F"/>
    <w:rsid w:val="00050762"/>
    <w:rsid w:val="00050ADE"/>
    <w:rsid w:val="00051EC8"/>
    <w:rsid w:val="000520E7"/>
    <w:rsid w:val="00052658"/>
    <w:rsid w:val="00052C1F"/>
    <w:rsid w:val="00052E1B"/>
    <w:rsid w:val="00053519"/>
    <w:rsid w:val="00053547"/>
    <w:rsid w:val="00053A88"/>
    <w:rsid w:val="000543F4"/>
    <w:rsid w:val="00054492"/>
    <w:rsid w:val="00055B7D"/>
    <w:rsid w:val="00055FA6"/>
    <w:rsid w:val="00055FAB"/>
    <w:rsid w:val="000604CD"/>
    <w:rsid w:val="00060500"/>
    <w:rsid w:val="0006077F"/>
    <w:rsid w:val="0006117C"/>
    <w:rsid w:val="000616BA"/>
    <w:rsid w:val="00062468"/>
    <w:rsid w:val="00062EE0"/>
    <w:rsid w:val="00063C26"/>
    <w:rsid w:val="000641EF"/>
    <w:rsid w:val="00064947"/>
    <w:rsid w:val="00064E41"/>
    <w:rsid w:val="0006527D"/>
    <w:rsid w:val="00065954"/>
    <w:rsid w:val="00065B3F"/>
    <w:rsid w:val="000674DB"/>
    <w:rsid w:val="00067951"/>
    <w:rsid w:val="00070484"/>
    <w:rsid w:val="00070616"/>
    <w:rsid w:val="00071ECD"/>
    <w:rsid w:val="00072C71"/>
    <w:rsid w:val="00073B59"/>
    <w:rsid w:val="00074127"/>
    <w:rsid w:val="00074143"/>
    <w:rsid w:val="000748BC"/>
    <w:rsid w:val="00074A7F"/>
    <w:rsid w:val="00074D33"/>
    <w:rsid w:val="0007541D"/>
    <w:rsid w:val="00075ADC"/>
    <w:rsid w:val="00075B6D"/>
    <w:rsid w:val="00075CCD"/>
    <w:rsid w:val="00075CE2"/>
    <w:rsid w:val="00075F92"/>
    <w:rsid w:val="00076398"/>
    <w:rsid w:val="000764EA"/>
    <w:rsid w:val="00076DCA"/>
    <w:rsid w:val="00076ECF"/>
    <w:rsid w:val="00080B48"/>
    <w:rsid w:val="00080D8D"/>
    <w:rsid w:val="00081648"/>
    <w:rsid w:val="00081F26"/>
    <w:rsid w:val="00083D7B"/>
    <w:rsid w:val="00084454"/>
    <w:rsid w:val="00084AC5"/>
    <w:rsid w:val="00084FBC"/>
    <w:rsid w:val="00086303"/>
    <w:rsid w:val="00086DFC"/>
    <w:rsid w:val="000879DF"/>
    <w:rsid w:val="00091027"/>
    <w:rsid w:val="000911F4"/>
    <w:rsid w:val="00092710"/>
    <w:rsid w:val="00092CA2"/>
    <w:rsid w:val="00092E4F"/>
    <w:rsid w:val="00093A21"/>
    <w:rsid w:val="00093D00"/>
    <w:rsid w:val="00094684"/>
    <w:rsid w:val="0009557E"/>
    <w:rsid w:val="0009568B"/>
    <w:rsid w:val="000971A2"/>
    <w:rsid w:val="00097DE7"/>
    <w:rsid w:val="000A00AC"/>
    <w:rsid w:val="000A21C7"/>
    <w:rsid w:val="000A2402"/>
    <w:rsid w:val="000A25E4"/>
    <w:rsid w:val="000A2B9D"/>
    <w:rsid w:val="000A2F13"/>
    <w:rsid w:val="000A39C2"/>
    <w:rsid w:val="000A3E66"/>
    <w:rsid w:val="000A4775"/>
    <w:rsid w:val="000A5352"/>
    <w:rsid w:val="000A5427"/>
    <w:rsid w:val="000A5AA2"/>
    <w:rsid w:val="000A655B"/>
    <w:rsid w:val="000A6637"/>
    <w:rsid w:val="000A7E4F"/>
    <w:rsid w:val="000B0AAB"/>
    <w:rsid w:val="000B0DAC"/>
    <w:rsid w:val="000B157B"/>
    <w:rsid w:val="000B16F5"/>
    <w:rsid w:val="000B1DB4"/>
    <w:rsid w:val="000B34F7"/>
    <w:rsid w:val="000B4B19"/>
    <w:rsid w:val="000B4B83"/>
    <w:rsid w:val="000B6933"/>
    <w:rsid w:val="000B6C38"/>
    <w:rsid w:val="000B6EC2"/>
    <w:rsid w:val="000B6F90"/>
    <w:rsid w:val="000B710C"/>
    <w:rsid w:val="000B71A9"/>
    <w:rsid w:val="000B7A6F"/>
    <w:rsid w:val="000B7B9D"/>
    <w:rsid w:val="000C0221"/>
    <w:rsid w:val="000C03BB"/>
    <w:rsid w:val="000C07D4"/>
    <w:rsid w:val="000C10BC"/>
    <w:rsid w:val="000C31EA"/>
    <w:rsid w:val="000C3D09"/>
    <w:rsid w:val="000C41AE"/>
    <w:rsid w:val="000C44A2"/>
    <w:rsid w:val="000C468E"/>
    <w:rsid w:val="000C4C32"/>
    <w:rsid w:val="000C5B25"/>
    <w:rsid w:val="000C6148"/>
    <w:rsid w:val="000C66EF"/>
    <w:rsid w:val="000C677D"/>
    <w:rsid w:val="000C69B5"/>
    <w:rsid w:val="000C7C5E"/>
    <w:rsid w:val="000D0207"/>
    <w:rsid w:val="000D16A1"/>
    <w:rsid w:val="000D2603"/>
    <w:rsid w:val="000D2EE0"/>
    <w:rsid w:val="000D55BA"/>
    <w:rsid w:val="000D6135"/>
    <w:rsid w:val="000D6622"/>
    <w:rsid w:val="000D66F6"/>
    <w:rsid w:val="000D6EE8"/>
    <w:rsid w:val="000D77EC"/>
    <w:rsid w:val="000E01C1"/>
    <w:rsid w:val="000E0F6E"/>
    <w:rsid w:val="000E1488"/>
    <w:rsid w:val="000E2063"/>
    <w:rsid w:val="000E3714"/>
    <w:rsid w:val="000E3A75"/>
    <w:rsid w:val="000E3D21"/>
    <w:rsid w:val="000E3F93"/>
    <w:rsid w:val="000E534D"/>
    <w:rsid w:val="000E5356"/>
    <w:rsid w:val="000E606E"/>
    <w:rsid w:val="000E7B9C"/>
    <w:rsid w:val="000E7E4E"/>
    <w:rsid w:val="000E7FA3"/>
    <w:rsid w:val="000F0032"/>
    <w:rsid w:val="000F01A8"/>
    <w:rsid w:val="000F03FB"/>
    <w:rsid w:val="000F1432"/>
    <w:rsid w:val="000F1959"/>
    <w:rsid w:val="000F1FD5"/>
    <w:rsid w:val="000F20AD"/>
    <w:rsid w:val="000F26E8"/>
    <w:rsid w:val="000F3821"/>
    <w:rsid w:val="000F39D2"/>
    <w:rsid w:val="000F3F44"/>
    <w:rsid w:val="000F402D"/>
    <w:rsid w:val="000F64BD"/>
    <w:rsid w:val="000F684B"/>
    <w:rsid w:val="000F73F8"/>
    <w:rsid w:val="000F77DE"/>
    <w:rsid w:val="000F7D1B"/>
    <w:rsid w:val="00100162"/>
    <w:rsid w:val="00100491"/>
    <w:rsid w:val="00101738"/>
    <w:rsid w:val="00101D0F"/>
    <w:rsid w:val="00101DE1"/>
    <w:rsid w:val="001022AD"/>
    <w:rsid w:val="00103886"/>
    <w:rsid w:val="00104E2E"/>
    <w:rsid w:val="00106184"/>
    <w:rsid w:val="001065F1"/>
    <w:rsid w:val="001066A0"/>
    <w:rsid w:val="001066A4"/>
    <w:rsid w:val="001073D1"/>
    <w:rsid w:val="0010753E"/>
    <w:rsid w:val="00110196"/>
    <w:rsid w:val="001110A7"/>
    <w:rsid w:val="001112BF"/>
    <w:rsid w:val="00111D50"/>
    <w:rsid w:val="001129A0"/>
    <w:rsid w:val="00112F17"/>
    <w:rsid w:val="0011372C"/>
    <w:rsid w:val="00114E88"/>
    <w:rsid w:val="00115F31"/>
    <w:rsid w:val="001163F8"/>
    <w:rsid w:val="00116D00"/>
    <w:rsid w:val="00117534"/>
    <w:rsid w:val="0012063B"/>
    <w:rsid w:val="0012063C"/>
    <w:rsid w:val="00123374"/>
    <w:rsid w:val="00123BC0"/>
    <w:rsid w:val="00123E9B"/>
    <w:rsid w:val="00124328"/>
    <w:rsid w:val="0012455F"/>
    <w:rsid w:val="0012486E"/>
    <w:rsid w:val="00125595"/>
    <w:rsid w:val="00125675"/>
    <w:rsid w:val="001261A0"/>
    <w:rsid w:val="0012621F"/>
    <w:rsid w:val="00126724"/>
    <w:rsid w:val="00126C72"/>
    <w:rsid w:val="00126DE1"/>
    <w:rsid w:val="0013077F"/>
    <w:rsid w:val="00130AB0"/>
    <w:rsid w:val="00130DB5"/>
    <w:rsid w:val="00130ED0"/>
    <w:rsid w:val="0013191A"/>
    <w:rsid w:val="00131CFD"/>
    <w:rsid w:val="00133227"/>
    <w:rsid w:val="00133588"/>
    <w:rsid w:val="00133AA0"/>
    <w:rsid w:val="00134D76"/>
    <w:rsid w:val="001365FB"/>
    <w:rsid w:val="0013677B"/>
    <w:rsid w:val="00136C63"/>
    <w:rsid w:val="00137571"/>
    <w:rsid w:val="00137D56"/>
    <w:rsid w:val="00140297"/>
    <w:rsid w:val="0014178B"/>
    <w:rsid w:val="00141C3E"/>
    <w:rsid w:val="0014265B"/>
    <w:rsid w:val="00143216"/>
    <w:rsid w:val="0014410A"/>
    <w:rsid w:val="001458BA"/>
    <w:rsid w:val="00145BA3"/>
    <w:rsid w:val="00147B9C"/>
    <w:rsid w:val="00147E57"/>
    <w:rsid w:val="00150327"/>
    <w:rsid w:val="00150577"/>
    <w:rsid w:val="00150C2A"/>
    <w:rsid w:val="00151674"/>
    <w:rsid w:val="001520BD"/>
    <w:rsid w:val="0015335D"/>
    <w:rsid w:val="00153AE8"/>
    <w:rsid w:val="00153CAE"/>
    <w:rsid w:val="00153F66"/>
    <w:rsid w:val="00154805"/>
    <w:rsid w:val="00154B00"/>
    <w:rsid w:val="001563E4"/>
    <w:rsid w:val="00156EAB"/>
    <w:rsid w:val="00157824"/>
    <w:rsid w:val="00157B1D"/>
    <w:rsid w:val="0016017D"/>
    <w:rsid w:val="001602AD"/>
    <w:rsid w:val="00160544"/>
    <w:rsid w:val="00161343"/>
    <w:rsid w:val="001617C5"/>
    <w:rsid w:val="001623BF"/>
    <w:rsid w:val="00162B32"/>
    <w:rsid w:val="00163267"/>
    <w:rsid w:val="00163639"/>
    <w:rsid w:val="0016370D"/>
    <w:rsid w:val="001638FB"/>
    <w:rsid w:val="00164E30"/>
    <w:rsid w:val="00165326"/>
    <w:rsid w:val="0016547C"/>
    <w:rsid w:val="001655FC"/>
    <w:rsid w:val="0016634C"/>
    <w:rsid w:val="00166416"/>
    <w:rsid w:val="0016696D"/>
    <w:rsid w:val="00166E67"/>
    <w:rsid w:val="00166F43"/>
    <w:rsid w:val="00167365"/>
    <w:rsid w:val="00167609"/>
    <w:rsid w:val="00167AED"/>
    <w:rsid w:val="00170F85"/>
    <w:rsid w:val="001749DA"/>
    <w:rsid w:val="00174DBA"/>
    <w:rsid w:val="00174E08"/>
    <w:rsid w:val="0017524A"/>
    <w:rsid w:val="00175630"/>
    <w:rsid w:val="00175772"/>
    <w:rsid w:val="00175C92"/>
    <w:rsid w:val="00175D05"/>
    <w:rsid w:val="00177705"/>
    <w:rsid w:val="00177950"/>
    <w:rsid w:val="00177F22"/>
    <w:rsid w:val="001802CD"/>
    <w:rsid w:val="001805F9"/>
    <w:rsid w:val="001812B3"/>
    <w:rsid w:val="001818DF"/>
    <w:rsid w:val="00182034"/>
    <w:rsid w:val="0018366A"/>
    <w:rsid w:val="00184462"/>
    <w:rsid w:val="001851FE"/>
    <w:rsid w:val="0018562B"/>
    <w:rsid w:val="0018567D"/>
    <w:rsid w:val="0018619E"/>
    <w:rsid w:val="001863A0"/>
    <w:rsid w:val="00186E85"/>
    <w:rsid w:val="00187385"/>
    <w:rsid w:val="001877A0"/>
    <w:rsid w:val="00187C37"/>
    <w:rsid w:val="001900F0"/>
    <w:rsid w:val="0019022A"/>
    <w:rsid w:val="001911B6"/>
    <w:rsid w:val="001916B6"/>
    <w:rsid w:val="00192297"/>
    <w:rsid w:val="0019248D"/>
    <w:rsid w:val="0019288B"/>
    <w:rsid w:val="00194892"/>
    <w:rsid w:val="00194C45"/>
    <w:rsid w:val="001950D7"/>
    <w:rsid w:val="00195564"/>
    <w:rsid w:val="00195F6A"/>
    <w:rsid w:val="0019652C"/>
    <w:rsid w:val="0019657F"/>
    <w:rsid w:val="00196B74"/>
    <w:rsid w:val="0019700E"/>
    <w:rsid w:val="0019703C"/>
    <w:rsid w:val="001A08F2"/>
    <w:rsid w:val="001A10D0"/>
    <w:rsid w:val="001A16E5"/>
    <w:rsid w:val="001A179C"/>
    <w:rsid w:val="001A2131"/>
    <w:rsid w:val="001A25AD"/>
    <w:rsid w:val="001A2C38"/>
    <w:rsid w:val="001A380D"/>
    <w:rsid w:val="001A4089"/>
    <w:rsid w:val="001A40BD"/>
    <w:rsid w:val="001A487F"/>
    <w:rsid w:val="001A48E9"/>
    <w:rsid w:val="001A495C"/>
    <w:rsid w:val="001A5317"/>
    <w:rsid w:val="001A6BC6"/>
    <w:rsid w:val="001A797C"/>
    <w:rsid w:val="001B13F8"/>
    <w:rsid w:val="001B1EDB"/>
    <w:rsid w:val="001B2068"/>
    <w:rsid w:val="001B3352"/>
    <w:rsid w:val="001B393C"/>
    <w:rsid w:val="001B3B5B"/>
    <w:rsid w:val="001B41F1"/>
    <w:rsid w:val="001B440A"/>
    <w:rsid w:val="001B4467"/>
    <w:rsid w:val="001B4689"/>
    <w:rsid w:val="001B49D3"/>
    <w:rsid w:val="001B4D39"/>
    <w:rsid w:val="001B5147"/>
    <w:rsid w:val="001B52F1"/>
    <w:rsid w:val="001B606D"/>
    <w:rsid w:val="001B62E7"/>
    <w:rsid w:val="001C07CB"/>
    <w:rsid w:val="001C1BD9"/>
    <w:rsid w:val="001C1EF7"/>
    <w:rsid w:val="001C22A5"/>
    <w:rsid w:val="001C248B"/>
    <w:rsid w:val="001C2ACF"/>
    <w:rsid w:val="001C2B14"/>
    <w:rsid w:val="001C30CC"/>
    <w:rsid w:val="001C421B"/>
    <w:rsid w:val="001C4DAD"/>
    <w:rsid w:val="001C52E4"/>
    <w:rsid w:val="001C5DF7"/>
    <w:rsid w:val="001C6B4B"/>
    <w:rsid w:val="001C6DF7"/>
    <w:rsid w:val="001D0A3E"/>
    <w:rsid w:val="001D1968"/>
    <w:rsid w:val="001D1AE9"/>
    <w:rsid w:val="001D251F"/>
    <w:rsid w:val="001D262F"/>
    <w:rsid w:val="001D28CD"/>
    <w:rsid w:val="001D2A3F"/>
    <w:rsid w:val="001D2B03"/>
    <w:rsid w:val="001D327D"/>
    <w:rsid w:val="001D3614"/>
    <w:rsid w:val="001D436A"/>
    <w:rsid w:val="001D46AD"/>
    <w:rsid w:val="001D4C9F"/>
    <w:rsid w:val="001D4D45"/>
    <w:rsid w:val="001D4DEC"/>
    <w:rsid w:val="001D5164"/>
    <w:rsid w:val="001D591C"/>
    <w:rsid w:val="001D5976"/>
    <w:rsid w:val="001D5B36"/>
    <w:rsid w:val="001D5F5C"/>
    <w:rsid w:val="001D6361"/>
    <w:rsid w:val="001D66E7"/>
    <w:rsid w:val="001D7DB9"/>
    <w:rsid w:val="001D7F40"/>
    <w:rsid w:val="001E01DA"/>
    <w:rsid w:val="001E05A1"/>
    <w:rsid w:val="001E064C"/>
    <w:rsid w:val="001E0FC6"/>
    <w:rsid w:val="001E1ED0"/>
    <w:rsid w:val="001E2614"/>
    <w:rsid w:val="001E39C3"/>
    <w:rsid w:val="001E39EC"/>
    <w:rsid w:val="001E3BE8"/>
    <w:rsid w:val="001E3D7F"/>
    <w:rsid w:val="001E3D8E"/>
    <w:rsid w:val="001E4328"/>
    <w:rsid w:val="001E465B"/>
    <w:rsid w:val="001E47B9"/>
    <w:rsid w:val="001E504C"/>
    <w:rsid w:val="001E50E4"/>
    <w:rsid w:val="001E65B7"/>
    <w:rsid w:val="001E6712"/>
    <w:rsid w:val="001E69BF"/>
    <w:rsid w:val="001E6A80"/>
    <w:rsid w:val="001E78A3"/>
    <w:rsid w:val="001E7BE0"/>
    <w:rsid w:val="001F001E"/>
    <w:rsid w:val="001F1079"/>
    <w:rsid w:val="001F12C5"/>
    <w:rsid w:val="001F1DB2"/>
    <w:rsid w:val="001F248A"/>
    <w:rsid w:val="001F36BB"/>
    <w:rsid w:val="001F46D2"/>
    <w:rsid w:val="001F4928"/>
    <w:rsid w:val="001F51AA"/>
    <w:rsid w:val="001F5676"/>
    <w:rsid w:val="001F56E5"/>
    <w:rsid w:val="001F5AC1"/>
    <w:rsid w:val="001F6F4D"/>
    <w:rsid w:val="001F74A0"/>
    <w:rsid w:val="00201421"/>
    <w:rsid w:val="00201D93"/>
    <w:rsid w:val="00201DAC"/>
    <w:rsid w:val="0020456A"/>
    <w:rsid w:val="00204713"/>
    <w:rsid w:val="00204B64"/>
    <w:rsid w:val="00204E0D"/>
    <w:rsid w:val="00205013"/>
    <w:rsid w:val="00205396"/>
    <w:rsid w:val="00205825"/>
    <w:rsid w:val="0020663C"/>
    <w:rsid w:val="00206FE4"/>
    <w:rsid w:val="0020700C"/>
    <w:rsid w:val="0020711B"/>
    <w:rsid w:val="0020730A"/>
    <w:rsid w:val="002073D9"/>
    <w:rsid w:val="0020744D"/>
    <w:rsid w:val="00207856"/>
    <w:rsid w:val="00210023"/>
    <w:rsid w:val="002102E3"/>
    <w:rsid w:val="002105EF"/>
    <w:rsid w:val="00210A34"/>
    <w:rsid w:val="00210C38"/>
    <w:rsid w:val="002118A0"/>
    <w:rsid w:val="00211FF6"/>
    <w:rsid w:val="00212005"/>
    <w:rsid w:val="002124D3"/>
    <w:rsid w:val="00212865"/>
    <w:rsid w:val="002135C8"/>
    <w:rsid w:val="0021363A"/>
    <w:rsid w:val="00213859"/>
    <w:rsid w:val="00213D61"/>
    <w:rsid w:val="00213E50"/>
    <w:rsid w:val="0021442B"/>
    <w:rsid w:val="00215CF8"/>
    <w:rsid w:val="002168D9"/>
    <w:rsid w:val="002176A5"/>
    <w:rsid w:val="002179EB"/>
    <w:rsid w:val="00217AAF"/>
    <w:rsid w:val="00217AC7"/>
    <w:rsid w:val="00220520"/>
    <w:rsid w:val="002206C8"/>
    <w:rsid w:val="0022144A"/>
    <w:rsid w:val="00221652"/>
    <w:rsid w:val="00221ABB"/>
    <w:rsid w:val="00223321"/>
    <w:rsid w:val="00224A2C"/>
    <w:rsid w:val="00224EFB"/>
    <w:rsid w:val="00225324"/>
    <w:rsid w:val="00225545"/>
    <w:rsid w:val="00226BB1"/>
    <w:rsid w:val="00226CC9"/>
    <w:rsid w:val="00226D36"/>
    <w:rsid w:val="002273F0"/>
    <w:rsid w:val="002277A5"/>
    <w:rsid w:val="002304D4"/>
    <w:rsid w:val="00230F19"/>
    <w:rsid w:val="002318DB"/>
    <w:rsid w:val="00231D5D"/>
    <w:rsid w:val="00231DA6"/>
    <w:rsid w:val="00231E28"/>
    <w:rsid w:val="0023205A"/>
    <w:rsid w:val="002325EE"/>
    <w:rsid w:val="002340FD"/>
    <w:rsid w:val="00234C5F"/>
    <w:rsid w:val="0023557F"/>
    <w:rsid w:val="0023561E"/>
    <w:rsid w:val="00235C96"/>
    <w:rsid w:val="00236871"/>
    <w:rsid w:val="00237780"/>
    <w:rsid w:val="00237C95"/>
    <w:rsid w:val="00240D8B"/>
    <w:rsid w:val="00240EF6"/>
    <w:rsid w:val="00243AAA"/>
    <w:rsid w:val="00243B45"/>
    <w:rsid w:val="00245416"/>
    <w:rsid w:val="00246D41"/>
    <w:rsid w:val="002504F2"/>
    <w:rsid w:val="00250962"/>
    <w:rsid w:val="00250A25"/>
    <w:rsid w:val="00250DFF"/>
    <w:rsid w:val="00251019"/>
    <w:rsid w:val="00251293"/>
    <w:rsid w:val="00251309"/>
    <w:rsid w:val="00251895"/>
    <w:rsid w:val="002520B4"/>
    <w:rsid w:val="002520BD"/>
    <w:rsid w:val="00252356"/>
    <w:rsid w:val="002526A6"/>
    <w:rsid w:val="00253960"/>
    <w:rsid w:val="00253BB2"/>
    <w:rsid w:val="002545C0"/>
    <w:rsid w:val="00254689"/>
    <w:rsid w:val="002556A3"/>
    <w:rsid w:val="00256340"/>
    <w:rsid w:val="002565E4"/>
    <w:rsid w:val="00260112"/>
    <w:rsid w:val="002603B2"/>
    <w:rsid w:val="00260EE2"/>
    <w:rsid w:val="00261223"/>
    <w:rsid w:val="0026130F"/>
    <w:rsid w:val="00261729"/>
    <w:rsid w:val="002618D9"/>
    <w:rsid w:val="00261C3C"/>
    <w:rsid w:val="00262D24"/>
    <w:rsid w:val="0026325A"/>
    <w:rsid w:val="00263B30"/>
    <w:rsid w:val="0026429E"/>
    <w:rsid w:val="00264A24"/>
    <w:rsid w:val="00264EE5"/>
    <w:rsid w:val="002658B4"/>
    <w:rsid w:val="00265AE3"/>
    <w:rsid w:val="00266BF7"/>
    <w:rsid w:val="0026790D"/>
    <w:rsid w:val="00270A53"/>
    <w:rsid w:val="00270AA4"/>
    <w:rsid w:val="00270F1C"/>
    <w:rsid w:val="002712E9"/>
    <w:rsid w:val="002727AB"/>
    <w:rsid w:val="00273174"/>
    <w:rsid w:val="002736B7"/>
    <w:rsid w:val="002747C0"/>
    <w:rsid w:val="00274937"/>
    <w:rsid w:val="00276481"/>
    <w:rsid w:val="00276802"/>
    <w:rsid w:val="002770B2"/>
    <w:rsid w:val="00277305"/>
    <w:rsid w:val="00277351"/>
    <w:rsid w:val="002777D2"/>
    <w:rsid w:val="00277A5A"/>
    <w:rsid w:val="002800EF"/>
    <w:rsid w:val="00280159"/>
    <w:rsid w:val="0028040D"/>
    <w:rsid w:val="00280818"/>
    <w:rsid w:val="00281EFD"/>
    <w:rsid w:val="00282156"/>
    <w:rsid w:val="00282B02"/>
    <w:rsid w:val="00283EA7"/>
    <w:rsid w:val="00284504"/>
    <w:rsid w:val="0028528F"/>
    <w:rsid w:val="00285B67"/>
    <w:rsid w:val="0028664B"/>
    <w:rsid w:val="0028734C"/>
    <w:rsid w:val="0028757A"/>
    <w:rsid w:val="00290E49"/>
    <w:rsid w:val="00292AB0"/>
    <w:rsid w:val="002940EB"/>
    <w:rsid w:val="0029602A"/>
    <w:rsid w:val="0029747E"/>
    <w:rsid w:val="002976CB"/>
    <w:rsid w:val="002A03F3"/>
    <w:rsid w:val="002A0468"/>
    <w:rsid w:val="002A1875"/>
    <w:rsid w:val="002A1995"/>
    <w:rsid w:val="002A1FB3"/>
    <w:rsid w:val="002A1FDD"/>
    <w:rsid w:val="002A3EF5"/>
    <w:rsid w:val="002A3F34"/>
    <w:rsid w:val="002A48AA"/>
    <w:rsid w:val="002A541D"/>
    <w:rsid w:val="002A626E"/>
    <w:rsid w:val="002A63E2"/>
    <w:rsid w:val="002A6927"/>
    <w:rsid w:val="002B0327"/>
    <w:rsid w:val="002B12FC"/>
    <w:rsid w:val="002B218D"/>
    <w:rsid w:val="002B259B"/>
    <w:rsid w:val="002B2AB7"/>
    <w:rsid w:val="002B3EB4"/>
    <w:rsid w:val="002B60E3"/>
    <w:rsid w:val="002B66E7"/>
    <w:rsid w:val="002C0BC9"/>
    <w:rsid w:val="002C0F09"/>
    <w:rsid w:val="002C19D9"/>
    <w:rsid w:val="002C2B64"/>
    <w:rsid w:val="002C33A4"/>
    <w:rsid w:val="002C33D6"/>
    <w:rsid w:val="002C3EC0"/>
    <w:rsid w:val="002C409D"/>
    <w:rsid w:val="002C4331"/>
    <w:rsid w:val="002C636A"/>
    <w:rsid w:val="002C67A2"/>
    <w:rsid w:val="002C6830"/>
    <w:rsid w:val="002C73E0"/>
    <w:rsid w:val="002C7822"/>
    <w:rsid w:val="002C7C94"/>
    <w:rsid w:val="002D0092"/>
    <w:rsid w:val="002D00B8"/>
    <w:rsid w:val="002D0A67"/>
    <w:rsid w:val="002D1EA5"/>
    <w:rsid w:val="002D22B8"/>
    <w:rsid w:val="002D25E5"/>
    <w:rsid w:val="002D2869"/>
    <w:rsid w:val="002D2872"/>
    <w:rsid w:val="002D2D8E"/>
    <w:rsid w:val="002D3792"/>
    <w:rsid w:val="002D4F9B"/>
    <w:rsid w:val="002D5E85"/>
    <w:rsid w:val="002D5FAA"/>
    <w:rsid w:val="002D6DEB"/>
    <w:rsid w:val="002D7F04"/>
    <w:rsid w:val="002E0C00"/>
    <w:rsid w:val="002E0EDF"/>
    <w:rsid w:val="002E0F09"/>
    <w:rsid w:val="002E132F"/>
    <w:rsid w:val="002E24AA"/>
    <w:rsid w:val="002E24C1"/>
    <w:rsid w:val="002E265D"/>
    <w:rsid w:val="002E32A9"/>
    <w:rsid w:val="002E3498"/>
    <w:rsid w:val="002E418C"/>
    <w:rsid w:val="002E46EF"/>
    <w:rsid w:val="002E481D"/>
    <w:rsid w:val="002E5EFA"/>
    <w:rsid w:val="002E64C7"/>
    <w:rsid w:val="002E7138"/>
    <w:rsid w:val="002F1E24"/>
    <w:rsid w:val="002F2580"/>
    <w:rsid w:val="002F2CDE"/>
    <w:rsid w:val="002F2E53"/>
    <w:rsid w:val="002F4EA0"/>
    <w:rsid w:val="002F56AB"/>
    <w:rsid w:val="002F6256"/>
    <w:rsid w:val="002F725B"/>
    <w:rsid w:val="00300E37"/>
    <w:rsid w:val="00300F13"/>
    <w:rsid w:val="00301B3B"/>
    <w:rsid w:val="00301E99"/>
    <w:rsid w:val="003021D8"/>
    <w:rsid w:val="0030244D"/>
    <w:rsid w:val="00303321"/>
    <w:rsid w:val="0030358E"/>
    <w:rsid w:val="00305608"/>
    <w:rsid w:val="003059FC"/>
    <w:rsid w:val="00305D47"/>
    <w:rsid w:val="00306849"/>
    <w:rsid w:val="0030728C"/>
    <w:rsid w:val="0031015D"/>
    <w:rsid w:val="00310180"/>
    <w:rsid w:val="00310597"/>
    <w:rsid w:val="00310665"/>
    <w:rsid w:val="003108B7"/>
    <w:rsid w:val="00310C28"/>
    <w:rsid w:val="003111A4"/>
    <w:rsid w:val="00311518"/>
    <w:rsid w:val="00311905"/>
    <w:rsid w:val="00311E6F"/>
    <w:rsid w:val="003124CF"/>
    <w:rsid w:val="00313EBD"/>
    <w:rsid w:val="003140C6"/>
    <w:rsid w:val="003150A4"/>
    <w:rsid w:val="003158C6"/>
    <w:rsid w:val="00315C91"/>
    <w:rsid w:val="00315E98"/>
    <w:rsid w:val="00316626"/>
    <w:rsid w:val="00316A34"/>
    <w:rsid w:val="00316A53"/>
    <w:rsid w:val="00316DB0"/>
    <w:rsid w:val="00317ABD"/>
    <w:rsid w:val="00317C5A"/>
    <w:rsid w:val="00320AA4"/>
    <w:rsid w:val="0032280B"/>
    <w:rsid w:val="00323386"/>
    <w:rsid w:val="003237F2"/>
    <w:rsid w:val="00324237"/>
    <w:rsid w:val="0032484B"/>
    <w:rsid w:val="00325565"/>
    <w:rsid w:val="00325A7E"/>
    <w:rsid w:val="0032611F"/>
    <w:rsid w:val="003264A5"/>
    <w:rsid w:val="00326F19"/>
    <w:rsid w:val="003278D7"/>
    <w:rsid w:val="00327B43"/>
    <w:rsid w:val="00327E2C"/>
    <w:rsid w:val="00327EC8"/>
    <w:rsid w:val="0033007C"/>
    <w:rsid w:val="003309DB"/>
    <w:rsid w:val="00330CEF"/>
    <w:rsid w:val="00332280"/>
    <w:rsid w:val="003326DE"/>
    <w:rsid w:val="003331FF"/>
    <w:rsid w:val="003332A2"/>
    <w:rsid w:val="00334DBC"/>
    <w:rsid w:val="00336566"/>
    <w:rsid w:val="0033662F"/>
    <w:rsid w:val="003402FB"/>
    <w:rsid w:val="003408A5"/>
    <w:rsid w:val="00340FE7"/>
    <w:rsid w:val="00341337"/>
    <w:rsid w:val="00341583"/>
    <w:rsid w:val="0034244C"/>
    <w:rsid w:val="003430DA"/>
    <w:rsid w:val="00343208"/>
    <w:rsid w:val="003439C5"/>
    <w:rsid w:val="00344938"/>
    <w:rsid w:val="00345156"/>
    <w:rsid w:val="003462C6"/>
    <w:rsid w:val="003462C7"/>
    <w:rsid w:val="003463C2"/>
    <w:rsid w:val="00347476"/>
    <w:rsid w:val="003474DC"/>
    <w:rsid w:val="0034794E"/>
    <w:rsid w:val="00351303"/>
    <w:rsid w:val="00351BBF"/>
    <w:rsid w:val="00353860"/>
    <w:rsid w:val="00355258"/>
    <w:rsid w:val="00355320"/>
    <w:rsid w:val="003563C0"/>
    <w:rsid w:val="003566D4"/>
    <w:rsid w:val="003573C4"/>
    <w:rsid w:val="00357B97"/>
    <w:rsid w:val="00357D4C"/>
    <w:rsid w:val="00357E2F"/>
    <w:rsid w:val="0036049B"/>
    <w:rsid w:val="00360D2C"/>
    <w:rsid w:val="00361730"/>
    <w:rsid w:val="003641EC"/>
    <w:rsid w:val="003644ED"/>
    <w:rsid w:val="003645C9"/>
    <w:rsid w:val="00364CA5"/>
    <w:rsid w:val="00364D38"/>
    <w:rsid w:val="00365D7A"/>
    <w:rsid w:val="00365F60"/>
    <w:rsid w:val="00366B78"/>
    <w:rsid w:val="00370877"/>
    <w:rsid w:val="003710BF"/>
    <w:rsid w:val="00372C97"/>
    <w:rsid w:val="003735E8"/>
    <w:rsid w:val="00373A41"/>
    <w:rsid w:val="00373AC5"/>
    <w:rsid w:val="00374E7E"/>
    <w:rsid w:val="00375A05"/>
    <w:rsid w:val="0037634E"/>
    <w:rsid w:val="00376832"/>
    <w:rsid w:val="00376FAF"/>
    <w:rsid w:val="003775A2"/>
    <w:rsid w:val="003777BB"/>
    <w:rsid w:val="00377FFE"/>
    <w:rsid w:val="00380DA7"/>
    <w:rsid w:val="00380EDD"/>
    <w:rsid w:val="0038275F"/>
    <w:rsid w:val="00382896"/>
    <w:rsid w:val="00383488"/>
    <w:rsid w:val="00383BD0"/>
    <w:rsid w:val="00383E48"/>
    <w:rsid w:val="00384354"/>
    <w:rsid w:val="003844BD"/>
    <w:rsid w:val="00384594"/>
    <w:rsid w:val="0038515D"/>
    <w:rsid w:val="00385694"/>
    <w:rsid w:val="00386031"/>
    <w:rsid w:val="00386465"/>
    <w:rsid w:val="003873E7"/>
    <w:rsid w:val="00387B3D"/>
    <w:rsid w:val="0039016E"/>
    <w:rsid w:val="003902CC"/>
    <w:rsid w:val="003910D7"/>
    <w:rsid w:val="00391322"/>
    <w:rsid w:val="00391324"/>
    <w:rsid w:val="00391905"/>
    <w:rsid w:val="003928B6"/>
    <w:rsid w:val="00393730"/>
    <w:rsid w:val="00394278"/>
    <w:rsid w:val="0039450E"/>
    <w:rsid w:val="00394A86"/>
    <w:rsid w:val="00394D8F"/>
    <w:rsid w:val="00395F21"/>
    <w:rsid w:val="003965F2"/>
    <w:rsid w:val="003969C6"/>
    <w:rsid w:val="00396D84"/>
    <w:rsid w:val="003973C0"/>
    <w:rsid w:val="003A0362"/>
    <w:rsid w:val="003A0C84"/>
    <w:rsid w:val="003A1790"/>
    <w:rsid w:val="003A1D0C"/>
    <w:rsid w:val="003A217C"/>
    <w:rsid w:val="003A22A7"/>
    <w:rsid w:val="003A2670"/>
    <w:rsid w:val="003A4269"/>
    <w:rsid w:val="003A4582"/>
    <w:rsid w:val="003A486C"/>
    <w:rsid w:val="003A4C75"/>
    <w:rsid w:val="003A5530"/>
    <w:rsid w:val="003A58ED"/>
    <w:rsid w:val="003A5B14"/>
    <w:rsid w:val="003A5E75"/>
    <w:rsid w:val="003A64CD"/>
    <w:rsid w:val="003A7213"/>
    <w:rsid w:val="003A79EB"/>
    <w:rsid w:val="003A7C56"/>
    <w:rsid w:val="003B06AF"/>
    <w:rsid w:val="003B0DF7"/>
    <w:rsid w:val="003B1393"/>
    <w:rsid w:val="003B13C7"/>
    <w:rsid w:val="003B14A7"/>
    <w:rsid w:val="003B16BC"/>
    <w:rsid w:val="003B34F5"/>
    <w:rsid w:val="003B54BF"/>
    <w:rsid w:val="003B5B0C"/>
    <w:rsid w:val="003B63EB"/>
    <w:rsid w:val="003B77C3"/>
    <w:rsid w:val="003C0A73"/>
    <w:rsid w:val="003C1CBA"/>
    <w:rsid w:val="003C26D0"/>
    <w:rsid w:val="003C3164"/>
    <w:rsid w:val="003C31D9"/>
    <w:rsid w:val="003C4C6C"/>
    <w:rsid w:val="003C5BC7"/>
    <w:rsid w:val="003C67E0"/>
    <w:rsid w:val="003C6A93"/>
    <w:rsid w:val="003C75B2"/>
    <w:rsid w:val="003C7EC9"/>
    <w:rsid w:val="003D0409"/>
    <w:rsid w:val="003D0716"/>
    <w:rsid w:val="003D07A8"/>
    <w:rsid w:val="003D09B5"/>
    <w:rsid w:val="003D12AB"/>
    <w:rsid w:val="003D2DDF"/>
    <w:rsid w:val="003D468B"/>
    <w:rsid w:val="003D46B0"/>
    <w:rsid w:val="003D4F30"/>
    <w:rsid w:val="003D56FE"/>
    <w:rsid w:val="003D589A"/>
    <w:rsid w:val="003D5E93"/>
    <w:rsid w:val="003D6360"/>
    <w:rsid w:val="003D6579"/>
    <w:rsid w:val="003D6766"/>
    <w:rsid w:val="003D69FB"/>
    <w:rsid w:val="003D6EA4"/>
    <w:rsid w:val="003D737C"/>
    <w:rsid w:val="003E0BE0"/>
    <w:rsid w:val="003E0DDA"/>
    <w:rsid w:val="003E1543"/>
    <w:rsid w:val="003E30CB"/>
    <w:rsid w:val="003E46FD"/>
    <w:rsid w:val="003E5148"/>
    <w:rsid w:val="003E56EF"/>
    <w:rsid w:val="003E5B2F"/>
    <w:rsid w:val="003E70F3"/>
    <w:rsid w:val="003E7249"/>
    <w:rsid w:val="003E7AC4"/>
    <w:rsid w:val="003F02B2"/>
    <w:rsid w:val="003F04D0"/>
    <w:rsid w:val="003F0530"/>
    <w:rsid w:val="003F11CC"/>
    <w:rsid w:val="003F1695"/>
    <w:rsid w:val="003F1770"/>
    <w:rsid w:val="003F1902"/>
    <w:rsid w:val="003F2019"/>
    <w:rsid w:val="003F293D"/>
    <w:rsid w:val="003F2F6D"/>
    <w:rsid w:val="003F322A"/>
    <w:rsid w:val="003F4166"/>
    <w:rsid w:val="003F502A"/>
    <w:rsid w:val="003F6836"/>
    <w:rsid w:val="003F6EF1"/>
    <w:rsid w:val="004003D1"/>
    <w:rsid w:val="00400530"/>
    <w:rsid w:val="00400566"/>
    <w:rsid w:val="00400A7E"/>
    <w:rsid w:val="00400FA2"/>
    <w:rsid w:val="0040137E"/>
    <w:rsid w:val="00402981"/>
    <w:rsid w:val="004030D4"/>
    <w:rsid w:val="004032E5"/>
    <w:rsid w:val="0040419E"/>
    <w:rsid w:val="00404434"/>
    <w:rsid w:val="0040444A"/>
    <w:rsid w:val="004044ED"/>
    <w:rsid w:val="004046D0"/>
    <w:rsid w:val="00405A75"/>
    <w:rsid w:val="00405EA4"/>
    <w:rsid w:val="00406F8C"/>
    <w:rsid w:val="0041012A"/>
    <w:rsid w:val="0041014F"/>
    <w:rsid w:val="004107B3"/>
    <w:rsid w:val="004112CE"/>
    <w:rsid w:val="00411443"/>
    <w:rsid w:val="0041188C"/>
    <w:rsid w:val="00412821"/>
    <w:rsid w:val="004128E1"/>
    <w:rsid w:val="00412924"/>
    <w:rsid w:val="00412A25"/>
    <w:rsid w:val="00412D1C"/>
    <w:rsid w:val="004135A0"/>
    <w:rsid w:val="00413B5C"/>
    <w:rsid w:val="00413D48"/>
    <w:rsid w:val="00413FD3"/>
    <w:rsid w:val="0041401A"/>
    <w:rsid w:val="00414605"/>
    <w:rsid w:val="00414F77"/>
    <w:rsid w:val="00415084"/>
    <w:rsid w:val="00415126"/>
    <w:rsid w:val="0041669E"/>
    <w:rsid w:val="00416988"/>
    <w:rsid w:val="004178CF"/>
    <w:rsid w:val="00417C1A"/>
    <w:rsid w:val="00420144"/>
    <w:rsid w:val="004203AE"/>
    <w:rsid w:val="00420628"/>
    <w:rsid w:val="004207C6"/>
    <w:rsid w:val="004213EA"/>
    <w:rsid w:val="004217FD"/>
    <w:rsid w:val="0042260A"/>
    <w:rsid w:val="00424579"/>
    <w:rsid w:val="004245D8"/>
    <w:rsid w:val="004246CC"/>
    <w:rsid w:val="00425C6B"/>
    <w:rsid w:val="00425E24"/>
    <w:rsid w:val="004263C4"/>
    <w:rsid w:val="00426B01"/>
    <w:rsid w:val="00427583"/>
    <w:rsid w:val="00430445"/>
    <w:rsid w:val="004309C1"/>
    <w:rsid w:val="004317EB"/>
    <w:rsid w:val="00431857"/>
    <w:rsid w:val="00431C8D"/>
    <w:rsid w:val="00432197"/>
    <w:rsid w:val="00432A73"/>
    <w:rsid w:val="00432F0A"/>
    <w:rsid w:val="0043352F"/>
    <w:rsid w:val="0043372C"/>
    <w:rsid w:val="00433BBF"/>
    <w:rsid w:val="00434C26"/>
    <w:rsid w:val="004351B7"/>
    <w:rsid w:val="00435D15"/>
    <w:rsid w:val="00435E5C"/>
    <w:rsid w:val="0043610D"/>
    <w:rsid w:val="0043689B"/>
    <w:rsid w:val="00436B0C"/>
    <w:rsid w:val="00436FC1"/>
    <w:rsid w:val="00437D0F"/>
    <w:rsid w:val="00440B4F"/>
    <w:rsid w:val="00440F0B"/>
    <w:rsid w:val="004411B0"/>
    <w:rsid w:val="004413A9"/>
    <w:rsid w:val="004419CB"/>
    <w:rsid w:val="00442359"/>
    <w:rsid w:val="004424E8"/>
    <w:rsid w:val="00442663"/>
    <w:rsid w:val="00442B9C"/>
    <w:rsid w:val="00442BFD"/>
    <w:rsid w:val="004439B2"/>
    <w:rsid w:val="00443E9F"/>
    <w:rsid w:val="004443AD"/>
    <w:rsid w:val="004444A3"/>
    <w:rsid w:val="0044498B"/>
    <w:rsid w:val="00444F23"/>
    <w:rsid w:val="00444FBC"/>
    <w:rsid w:val="004452DA"/>
    <w:rsid w:val="00445446"/>
    <w:rsid w:val="00445C1A"/>
    <w:rsid w:val="00445D3E"/>
    <w:rsid w:val="0044673E"/>
    <w:rsid w:val="00446D98"/>
    <w:rsid w:val="00447279"/>
    <w:rsid w:val="00450102"/>
    <w:rsid w:val="0045053E"/>
    <w:rsid w:val="004507FA"/>
    <w:rsid w:val="00450F23"/>
    <w:rsid w:val="00451358"/>
    <w:rsid w:val="00451592"/>
    <w:rsid w:val="004517EC"/>
    <w:rsid w:val="00451F4E"/>
    <w:rsid w:val="00452160"/>
    <w:rsid w:val="004524F1"/>
    <w:rsid w:val="00452E6B"/>
    <w:rsid w:val="00452F07"/>
    <w:rsid w:val="004533E2"/>
    <w:rsid w:val="004553F7"/>
    <w:rsid w:val="004555FD"/>
    <w:rsid w:val="004557A8"/>
    <w:rsid w:val="004557E5"/>
    <w:rsid w:val="00455EEA"/>
    <w:rsid w:val="00455F03"/>
    <w:rsid w:val="00457304"/>
    <w:rsid w:val="00457829"/>
    <w:rsid w:val="00457905"/>
    <w:rsid w:val="004604DB"/>
    <w:rsid w:val="004611C1"/>
    <w:rsid w:val="00461359"/>
    <w:rsid w:val="00461A7A"/>
    <w:rsid w:val="00461D6A"/>
    <w:rsid w:val="004622C1"/>
    <w:rsid w:val="004622E0"/>
    <w:rsid w:val="00462A1D"/>
    <w:rsid w:val="00463147"/>
    <w:rsid w:val="00463D63"/>
    <w:rsid w:val="00463DA5"/>
    <w:rsid w:val="00464764"/>
    <w:rsid w:val="00465016"/>
    <w:rsid w:val="0046577C"/>
    <w:rsid w:val="00465A2A"/>
    <w:rsid w:val="00466884"/>
    <w:rsid w:val="004669FF"/>
    <w:rsid w:val="00467086"/>
    <w:rsid w:val="0046745D"/>
    <w:rsid w:val="0046746D"/>
    <w:rsid w:val="00467A4D"/>
    <w:rsid w:val="004704E3"/>
    <w:rsid w:val="00471788"/>
    <w:rsid w:val="00472337"/>
    <w:rsid w:val="00472397"/>
    <w:rsid w:val="00472679"/>
    <w:rsid w:val="00473A64"/>
    <w:rsid w:val="004743BC"/>
    <w:rsid w:val="00474BA0"/>
    <w:rsid w:val="00474FB8"/>
    <w:rsid w:val="0047593C"/>
    <w:rsid w:val="00475DD4"/>
    <w:rsid w:val="00475EEF"/>
    <w:rsid w:val="004767FE"/>
    <w:rsid w:val="0048004B"/>
    <w:rsid w:val="004804A0"/>
    <w:rsid w:val="00480694"/>
    <w:rsid w:val="004824F4"/>
    <w:rsid w:val="00482C2D"/>
    <w:rsid w:val="00483348"/>
    <w:rsid w:val="0048392A"/>
    <w:rsid w:val="00483E40"/>
    <w:rsid w:val="00484EEE"/>
    <w:rsid w:val="004869F9"/>
    <w:rsid w:val="00486A1C"/>
    <w:rsid w:val="00490A75"/>
    <w:rsid w:val="00491FD3"/>
    <w:rsid w:val="004923BC"/>
    <w:rsid w:val="0049279F"/>
    <w:rsid w:val="00492814"/>
    <w:rsid w:val="00493290"/>
    <w:rsid w:val="00494889"/>
    <w:rsid w:val="0049541B"/>
    <w:rsid w:val="004964CB"/>
    <w:rsid w:val="00496D4D"/>
    <w:rsid w:val="00496F20"/>
    <w:rsid w:val="004979AC"/>
    <w:rsid w:val="00497E6D"/>
    <w:rsid w:val="004A09C8"/>
    <w:rsid w:val="004A0BD6"/>
    <w:rsid w:val="004A0ECC"/>
    <w:rsid w:val="004A18EE"/>
    <w:rsid w:val="004A1CE1"/>
    <w:rsid w:val="004A241C"/>
    <w:rsid w:val="004A3ACD"/>
    <w:rsid w:val="004A453C"/>
    <w:rsid w:val="004A4CCA"/>
    <w:rsid w:val="004A4D87"/>
    <w:rsid w:val="004A5401"/>
    <w:rsid w:val="004A5483"/>
    <w:rsid w:val="004A54DE"/>
    <w:rsid w:val="004A6919"/>
    <w:rsid w:val="004A721A"/>
    <w:rsid w:val="004A74F0"/>
    <w:rsid w:val="004A7E44"/>
    <w:rsid w:val="004B112D"/>
    <w:rsid w:val="004B1316"/>
    <w:rsid w:val="004B2CDB"/>
    <w:rsid w:val="004B3FE5"/>
    <w:rsid w:val="004B4394"/>
    <w:rsid w:val="004B4E73"/>
    <w:rsid w:val="004B66E1"/>
    <w:rsid w:val="004B67A5"/>
    <w:rsid w:val="004B68E1"/>
    <w:rsid w:val="004B76D9"/>
    <w:rsid w:val="004C0296"/>
    <w:rsid w:val="004C0406"/>
    <w:rsid w:val="004C042E"/>
    <w:rsid w:val="004C121C"/>
    <w:rsid w:val="004C190C"/>
    <w:rsid w:val="004C1929"/>
    <w:rsid w:val="004C4540"/>
    <w:rsid w:val="004C5219"/>
    <w:rsid w:val="004C61CD"/>
    <w:rsid w:val="004C6274"/>
    <w:rsid w:val="004C668E"/>
    <w:rsid w:val="004C6851"/>
    <w:rsid w:val="004C77CC"/>
    <w:rsid w:val="004C780E"/>
    <w:rsid w:val="004C7BF9"/>
    <w:rsid w:val="004C7C13"/>
    <w:rsid w:val="004C7CA3"/>
    <w:rsid w:val="004D1770"/>
    <w:rsid w:val="004D3432"/>
    <w:rsid w:val="004D3889"/>
    <w:rsid w:val="004D4546"/>
    <w:rsid w:val="004D4F04"/>
    <w:rsid w:val="004D5755"/>
    <w:rsid w:val="004D5818"/>
    <w:rsid w:val="004D6486"/>
    <w:rsid w:val="004D68EB"/>
    <w:rsid w:val="004D6A59"/>
    <w:rsid w:val="004D6E36"/>
    <w:rsid w:val="004D7098"/>
    <w:rsid w:val="004D737F"/>
    <w:rsid w:val="004D74E0"/>
    <w:rsid w:val="004D7934"/>
    <w:rsid w:val="004E115E"/>
    <w:rsid w:val="004E1870"/>
    <w:rsid w:val="004E1885"/>
    <w:rsid w:val="004E2BB0"/>
    <w:rsid w:val="004E2C39"/>
    <w:rsid w:val="004E3FE8"/>
    <w:rsid w:val="004E44A2"/>
    <w:rsid w:val="004E46C9"/>
    <w:rsid w:val="004E4B51"/>
    <w:rsid w:val="004E543C"/>
    <w:rsid w:val="004E6429"/>
    <w:rsid w:val="004E70DF"/>
    <w:rsid w:val="004F005F"/>
    <w:rsid w:val="004F20E2"/>
    <w:rsid w:val="004F2CDE"/>
    <w:rsid w:val="004F2E0D"/>
    <w:rsid w:val="004F2F30"/>
    <w:rsid w:val="004F2FFE"/>
    <w:rsid w:val="004F40C1"/>
    <w:rsid w:val="004F4390"/>
    <w:rsid w:val="004F4F11"/>
    <w:rsid w:val="004F57C8"/>
    <w:rsid w:val="004F6756"/>
    <w:rsid w:val="004F712E"/>
    <w:rsid w:val="00500DBE"/>
    <w:rsid w:val="0050187A"/>
    <w:rsid w:val="0050206F"/>
    <w:rsid w:val="00502431"/>
    <w:rsid w:val="00502A2E"/>
    <w:rsid w:val="00502F20"/>
    <w:rsid w:val="00502FC5"/>
    <w:rsid w:val="00504470"/>
    <w:rsid w:val="0050478E"/>
    <w:rsid w:val="00504B6C"/>
    <w:rsid w:val="00504DC1"/>
    <w:rsid w:val="005051EF"/>
    <w:rsid w:val="00505318"/>
    <w:rsid w:val="005056B9"/>
    <w:rsid w:val="005064ED"/>
    <w:rsid w:val="00506D37"/>
    <w:rsid w:val="00507F59"/>
    <w:rsid w:val="0051091B"/>
    <w:rsid w:val="00510DFA"/>
    <w:rsid w:val="005112BB"/>
    <w:rsid w:val="005118B3"/>
    <w:rsid w:val="005130EB"/>
    <w:rsid w:val="0051373D"/>
    <w:rsid w:val="0051396F"/>
    <w:rsid w:val="00514263"/>
    <w:rsid w:val="00516951"/>
    <w:rsid w:val="00517180"/>
    <w:rsid w:val="005173D4"/>
    <w:rsid w:val="00520632"/>
    <w:rsid w:val="00522FA0"/>
    <w:rsid w:val="00522FCE"/>
    <w:rsid w:val="005243DD"/>
    <w:rsid w:val="00524C7D"/>
    <w:rsid w:val="00524C7F"/>
    <w:rsid w:val="00525221"/>
    <w:rsid w:val="00525FD8"/>
    <w:rsid w:val="005262DF"/>
    <w:rsid w:val="005268CB"/>
    <w:rsid w:val="00526FE2"/>
    <w:rsid w:val="00527F4D"/>
    <w:rsid w:val="00531D73"/>
    <w:rsid w:val="00532070"/>
    <w:rsid w:val="00533421"/>
    <w:rsid w:val="00534E7A"/>
    <w:rsid w:val="005364DF"/>
    <w:rsid w:val="00536EE2"/>
    <w:rsid w:val="00537946"/>
    <w:rsid w:val="0054088E"/>
    <w:rsid w:val="00540A6F"/>
    <w:rsid w:val="00540CDB"/>
    <w:rsid w:val="0054112E"/>
    <w:rsid w:val="005442A1"/>
    <w:rsid w:val="00544582"/>
    <w:rsid w:val="00544CA0"/>
    <w:rsid w:val="00544D15"/>
    <w:rsid w:val="00545031"/>
    <w:rsid w:val="00546E24"/>
    <w:rsid w:val="00547992"/>
    <w:rsid w:val="005501CD"/>
    <w:rsid w:val="00551265"/>
    <w:rsid w:val="00552611"/>
    <w:rsid w:val="00554836"/>
    <w:rsid w:val="00554867"/>
    <w:rsid w:val="0055493B"/>
    <w:rsid w:val="00554F0A"/>
    <w:rsid w:val="005555C4"/>
    <w:rsid w:val="00555FDE"/>
    <w:rsid w:val="0055693A"/>
    <w:rsid w:val="00556CE1"/>
    <w:rsid w:val="00557880"/>
    <w:rsid w:val="005604F7"/>
    <w:rsid w:val="00560699"/>
    <w:rsid w:val="005619ED"/>
    <w:rsid w:val="00561FE3"/>
    <w:rsid w:val="005626F0"/>
    <w:rsid w:val="00562E66"/>
    <w:rsid w:val="005639C6"/>
    <w:rsid w:val="00563B5D"/>
    <w:rsid w:val="00563DCC"/>
    <w:rsid w:val="00564191"/>
    <w:rsid w:val="0056481E"/>
    <w:rsid w:val="00565C6A"/>
    <w:rsid w:val="00566B8F"/>
    <w:rsid w:val="00566F0A"/>
    <w:rsid w:val="005702FB"/>
    <w:rsid w:val="00570789"/>
    <w:rsid w:val="00570ACE"/>
    <w:rsid w:val="00570FEA"/>
    <w:rsid w:val="00571386"/>
    <w:rsid w:val="00571567"/>
    <w:rsid w:val="00572312"/>
    <w:rsid w:val="0057498B"/>
    <w:rsid w:val="00574D2B"/>
    <w:rsid w:val="00574FFD"/>
    <w:rsid w:val="00575777"/>
    <w:rsid w:val="00575A08"/>
    <w:rsid w:val="00575E70"/>
    <w:rsid w:val="00576245"/>
    <w:rsid w:val="00577686"/>
    <w:rsid w:val="005802A3"/>
    <w:rsid w:val="00580314"/>
    <w:rsid w:val="00580348"/>
    <w:rsid w:val="00580AAE"/>
    <w:rsid w:val="005810F9"/>
    <w:rsid w:val="00581345"/>
    <w:rsid w:val="00581B47"/>
    <w:rsid w:val="005825FA"/>
    <w:rsid w:val="00582698"/>
    <w:rsid w:val="00582800"/>
    <w:rsid w:val="00582C5F"/>
    <w:rsid w:val="005848E4"/>
    <w:rsid w:val="005859E6"/>
    <w:rsid w:val="00585C97"/>
    <w:rsid w:val="00586877"/>
    <w:rsid w:val="00586982"/>
    <w:rsid w:val="00586DB6"/>
    <w:rsid w:val="005872F9"/>
    <w:rsid w:val="00587354"/>
    <w:rsid w:val="00587A43"/>
    <w:rsid w:val="00587D8F"/>
    <w:rsid w:val="00591108"/>
    <w:rsid w:val="0059156E"/>
    <w:rsid w:val="00591723"/>
    <w:rsid w:val="005917F5"/>
    <w:rsid w:val="00592209"/>
    <w:rsid w:val="0059366D"/>
    <w:rsid w:val="005938C7"/>
    <w:rsid w:val="005949FC"/>
    <w:rsid w:val="005950C6"/>
    <w:rsid w:val="005957E1"/>
    <w:rsid w:val="00595D33"/>
    <w:rsid w:val="00596243"/>
    <w:rsid w:val="00596ECB"/>
    <w:rsid w:val="0059723E"/>
    <w:rsid w:val="00597633"/>
    <w:rsid w:val="00597B01"/>
    <w:rsid w:val="005A24A0"/>
    <w:rsid w:val="005A2C57"/>
    <w:rsid w:val="005A2E46"/>
    <w:rsid w:val="005A3386"/>
    <w:rsid w:val="005A357E"/>
    <w:rsid w:val="005A3767"/>
    <w:rsid w:val="005A3AE5"/>
    <w:rsid w:val="005A440D"/>
    <w:rsid w:val="005A4EFD"/>
    <w:rsid w:val="005A52AF"/>
    <w:rsid w:val="005A543D"/>
    <w:rsid w:val="005A5A0F"/>
    <w:rsid w:val="005A6615"/>
    <w:rsid w:val="005A6E8B"/>
    <w:rsid w:val="005A755D"/>
    <w:rsid w:val="005A78A0"/>
    <w:rsid w:val="005A7939"/>
    <w:rsid w:val="005B058B"/>
    <w:rsid w:val="005B0D6B"/>
    <w:rsid w:val="005B13DF"/>
    <w:rsid w:val="005B1D93"/>
    <w:rsid w:val="005B27A5"/>
    <w:rsid w:val="005B477A"/>
    <w:rsid w:val="005B4E9C"/>
    <w:rsid w:val="005B4EFD"/>
    <w:rsid w:val="005B5081"/>
    <w:rsid w:val="005B52F1"/>
    <w:rsid w:val="005B54EA"/>
    <w:rsid w:val="005B6161"/>
    <w:rsid w:val="005B642B"/>
    <w:rsid w:val="005B6C9F"/>
    <w:rsid w:val="005B6F34"/>
    <w:rsid w:val="005B7375"/>
    <w:rsid w:val="005B7407"/>
    <w:rsid w:val="005C0E6A"/>
    <w:rsid w:val="005C223A"/>
    <w:rsid w:val="005C331F"/>
    <w:rsid w:val="005C3539"/>
    <w:rsid w:val="005C361E"/>
    <w:rsid w:val="005C39FD"/>
    <w:rsid w:val="005C44C4"/>
    <w:rsid w:val="005C4B8B"/>
    <w:rsid w:val="005C4C31"/>
    <w:rsid w:val="005C6C04"/>
    <w:rsid w:val="005C7163"/>
    <w:rsid w:val="005C72AD"/>
    <w:rsid w:val="005C743F"/>
    <w:rsid w:val="005C7B16"/>
    <w:rsid w:val="005C7CEB"/>
    <w:rsid w:val="005D25A1"/>
    <w:rsid w:val="005D2A7C"/>
    <w:rsid w:val="005D2FBF"/>
    <w:rsid w:val="005D4961"/>
    <w:rsid w:val="005D4F04"/>
    <w:rsid w:val="005D55A9"/>
    <w:rsid w:val="005D5D2F"/>
    <w:rsid w:val="005D6116"/>
    <w:rsid w:val="005D656C"/>
    <w:rsid w:val="005D668D"/>
    <w:rsid w:val="005D6719"/>
    <w:rsid w:val="005D68F2"/>
    <w:rsid w:val="005D6917"/>
    <w:rsid w:val="005D75BD"/>
    <w:rsid w:val="005D76B0"/>
    <w:rsid w:val="005E053B"/>
    <w:rsid w:val="005E09FA"/>
    <w:rsid w:val="005E13D4"/>
    <w:rsid w:val="005E15F2"/>
    <w:rsid w:val="005E4451"/>
    <w:rsid w:val="005E50C2"/>
    <w:rsid w:val="005E679E"/>
    <w:rsid w:val="005E6DD7"/>
    <w:rsid w:val="005E7187"/>
    <w:rsid w:val="005E7CEE"/>
    <w:rsid w:val="005F0E1B"/>
    <w:rsid w:val="005F1059"/>
    <w:rsid w:val="005F10B1"/>
    <w:rsid w:val="005F1174"/>
    <w:rsid w:val="005F1A21"/>
    <w:rsid w:val="005F316F"/>
    <w:rsid w:val="005F3240"/>
    <w:rsid w:val="005F3531"/>
    <w:rsid w:val="005F40BF"/>
    <w:rsid w:val="005F4392"/>
    <w:rsid w:val="005F49B9"/>
    <w:rsid w:val="005F5586"/>
    <w:rsid w:val="005F5674"/>
    <w:rsid w:val="005F6D2A"/>
    <w:rsid w:val="005F74F5"/>
    <w:rsid w:val="005F77D0"/>
    <w:rsid w:val="005F78A2"/>
    <w:rsid w:val="006003E5"/>
    <w:rsid w:val="00601006"/>
    <w:rsid w:val="00601420"/>
    <w:rsid w:val="00602193"/>
    <w:rsid w:val="00603646"/>
    <w:rsid w:val="00603704"/>
    <w:rsid w:val="00603F8B"/>
    <w:rsid w:val="00604F2B"/>
    <w:rsid w:val="006054D6"/>
    <w:rsid w:val="00605604"/>
    <w:rsid w:val="00605BF7"/>
    <w:rsid w:val="00606E48"/>
    <w:rsid w:val="00610C94"/>
    <w:rsid w:val="00610E26"/>
    <w:rsid w:val="00610FD0"/>
    <w:rsid w:val="00611A0A"/>
    <w:rsid w:val="00613681"/>
    <w:rsid w:val="00613CC2"/>
    <w:rsid w:val="0061425C"/>
    <w:rsid w:val="006143B5"/>
    <w:rsid w:val="00615060"/>
    <w:rsid w:val="00615152"/>
    <w:rsid w:val="006155C3"/>
    <w:rsid w:val="006157DF"/>
    <w:rsid w:val="006164E3"/>
    <w:rsid w:val="00616AF8"/>
    <w:rsid w:val="00616C51"/>
    <w:rsid w:val="00616ED0"/>
    <w:rsid w:val="006170AE"/>
    <w:rsid w:val="006173EE"/>
    <w:rsid w:val="0062000C"/>
    <w:rsid w:val="00620296"/>
    <w:rsid w:val="00620831"/>
    <w:rsid w:val="00620F55"/>
    <w:rsid w:val="00622F7A"/>
    <w:rsid w:val="00623440"/>
    <w:rsid w:val="00626017"/>
    <w:rsid w:val="00626108"/>
    <w:rsid w:val="00626148"/>
    <w:rsid w:val="00626B93"/>
    <w:rsid w:val="00627023"/>
    <w:rsid w:val="00627355"/>
    <w:rsid w:val="006273BD"/>
    <w:rsid w:val="006277CA"/>
    <w:rsid w:val="00630824"/>
    <w:rsid w:val="00630A15"/>
    <w:rsid w:val="00630AF0"/>
    <w:rsid w:val="00630EBB"/>
    <w:rsid w:val="006317A2"/>
    <w:rsid w:val="006320F3"/>
    <w:rsid w:val="006331F8"/>
    <w:rsid w:val="006342F5"/>
    <w:rsid w:val="006346F3"/>
    <w:rsid w:val="006356AB"/>
    <w:rsid w:val="00636033"/>
    <w:rsid w:val="0063639A"/>
    <w:rsid w:val="006376BB"/>
    <w:rsid w:val="00637B79"/>
    <w:rsid w:val="00637D8C"/>
    <w:rsid w:val="006405C0"/>
    <w:rsid w:val="00640C3E"/>
    <w:rsid w:val="00641045"/>
    <w:rsid w:val="00641C5A"/>
    <w:rsid w:val="00642D6B"/>
    <w:rsid w:val="00642EE8"/>
    <w:rsid w:val="00643301"/>
    <w:rsid w:val="00643D3F"/>
    <w:rsid w:val="00644A9D"/>
    <w:rsid w:val="006457CB"/>
    <w:rsid w:val="0064636F"/>
    <w:rsid w:val="0064638D"/>
    <w:rsid w:val="00647474"/>
    <w:rsid w:val="00647AAF"/>
    <w:rsid w:val="00651156"/>
    <w:rsid w:val="006516B2"/>
    <w:rsid w:val="006518C7"/>
    <w:rsid w:val="00651E17"/>
    <w:rsid w:val="00653F98"/>
    <w:rsid w:val="00654603"/>
    <w:rsid w:val="00655107"/>
    <w:rsid w:val="006559EF"/>
    <w:rsid w:val="00656C90"/>
    <w:rsid w:val="006574C9"/>
    <w:rsid w:val="0065758E"/>
    <w:rsid w:val="00657618"/>
    <w:rsid w:val="00657742"/>
    <w:rsid w:val="00660BCC"/>
    <w:rsid w:val="00661B23"/>
    <w:rsid w:val="00662591"/>
    <w:rsid w:val="00662B8F"/>
    <w:rsid w:val="00662F4B"/>
    <w:rsid w:val="00664860"/>
    <w:rsid w:val="006666B7"/>
    <w:rsid w:val="00666816"/>
    <w:rsid w:val="0066705D"/>
    <w:rsid w:val="00667D8E"/>
    <w:rsid w:val="00673CB7"/>
    <w:rsid w:val="00673CC5"/>
    <w:rsid w:val="00673DFE"/>
    <w:rsid w:val="006743D1"/>
    <w:rsid w:val="00674EE8"/>
    <w:rsid w:val="00676607"/>
    <w:rsid w:val="00676CF3"/>
    <w:rsid w:val="00676FDE"/>
    <w:rsid w:val="00680453"/>
    <w:rsid w:val="00680D2B"/>
    <w:rsid w:val="006810BA"/>
    <w:rsid w:val="0068131B"/>
    <w:rsid w:val="00682217"/>
    <w:rsid w:val="00683481"/>
    <w:rsid w:val="0068417D"/>
    <w:rsid w:val="00684692"/>
    <w:rsid w:val="00685DEC"/>
    <w:rsid w:val="00685FED"/>
    <w:rsid w:val="00686079"/>
    <w:rsid w:val="0068630B"/>
    <w:rsid w:val="00687351"/>
    <w:rsid w:val="00687418"/>
    <w:rsid w:val="006879A8"/>
    <w:rsid w:val="00687E0F"/>
    <w:rsid w:val="006900F6"/>
    <w:rsid w:val="0069014D"/>
    <w:rsid w:val="00690452"/>
    <w:rsid w:val="006904CA"/>
    <w:rsid w:val="0069073A"/>
    <w:rsid w:val="0069286B"/>
    <w:rsid w:val="00692CA4"/>
    <w:rsid w:val="0069366F"/>
    <w:rsid w:val="0069369B"/>
    <w:rsid w:val="0069416B"/>
    <w:rsid w:val="00694361"/>
    <w:rsid w:val="00694838"/>
    <w:rsid w:val="00695961"/>
    <w:rsid w:val="00695B2A"/>
    <w:rsid w:val="00695BDD"/>
    <w:rsid w:val="006A0537"/>
    <w:rsid w:val="006A0E2C"/>
    <w:rsid w:val="006A12A6"/>
    <w:rsid w:val="006A1821"/>
    <w:rsid w:val="006A18A6"/>
    <w:rsid w:val="006A193B"/>
    <w:rsid w:val="006A205A"/>
    <w:rsid w:val="006A2B51"/>
    <w:rsid w:val="006A316E"/>
    <w:rsid w:val="006A390C"/>
    <w:rsid w:val="006A3DB4"/>
    <w:rsid w:val="006A4612"/>
    <w:rsid w:val="006A54F8"/>
    <w:rsid w:val="006A6336"/>
    <w:rsid w:val="006A7712"/>
    <w:rsid w:val="006A7C10"/>
    <w:rsid w:val="006B0923"/>
    <w:rsid w:val="006B0DD5"/>
    <w:rsid w:val="006B1435"/>
    <w:rsid w:val="006B14C5"/>
    <w:rsid w:val="006B1BA4"/>
    <w:rsid w:val="006B211D"/>
    <w:rsid w:val="006B256B"/>
    <w:rsid w:val="006B2E7C"/>
    <w:rsid w:val="006B4041"/>
    <w:rsid w:val="006B4A00"/>
    <w:rsid w:val="006B5393"/>
    <w:rsid w:val="006B5588"/>
    <w:rsid w:val="006B6C2C"/>
    <w:rsid w:val="006B6D02"/>
    <w:rsid w:val="006B7543"/>
    <w:rsid w:val="006C0BF7"/>
    <w:rsid w:val="006C1AE7"/>
    <w:rsid w:val="006C1F23"/>
    <w:rsid w:val="006C275B"/>
    <w:rsid w:val="006C2E91"/>
    <w:rsid w:val="006C386E"/>
    <w:rsid w:val="006C393C"/>
    <w:rsid w:val="006C4BA5"/>
    <w:rsid w:val="006C5B77"/>
    <w:rsid w:val="006C5F1F"/>
    <w:rsid w:val="006C7256"/>
    <w:rsid w:val="006C7DDE"/>
    <w:rsid w:val="006D020A"/>
    <w:rsid w:val="006D0A71"/>
    <w:rsid w:val="006D0ABC"/>
    <w:rsid w:val="006D0CD9"/>
    <w:rsid w:val="006D0E16"/>
    <w:rsid w:val="006D11FD"/>
    <w:rsid w:val="006D1458"/>
    <w:rsid w:val="006D170E"/>
    <w:rsid w:val="006D194E"/>
    <w:rsid w:val="006D1A35"/>
    <w:rsid w:val="006D1F7F"/>
    <w:rsid w:val="006D2D82"/>
    <w:rsid w:val="006D3189"/>
    <w:rsid w:val="006D34BF"/>
    <w:rsid w:val="006D35BE"/>
    <w:rsid w:val="006D35C3"/>
    <w:rsid w:val="006D400D"/>
    <w:rsid w:val="006D534F"/>
    <w:rsid w:val="006D65DF"/>
    <w:rsid w:val="006D6D4A"/>
    <w:rsid w:val="006E0039"/>
    <w:rsid w:val="006E06CD"/>
    <w:rsid w:val="006E0AF0"/>
    <w:rsid w:val="006E1B26"/>
    <w:rsid w:val="006E1FC6"/>
    <w:rsid w:val="006E21F8"/>
    <w:rsid w:val="006E2958"/>
    <w:rsid w:val="006E2B3C"/>
    <w:rsid w:val="006E2CE6"/>
    <w:rsid w:val="006E3689"/>
    <w:rsid w:val="006E37CB"/>
    <w:rsid w:val="006E4744"/>
    <w:rsid w:val="006E4BDA"/>
    <w:rsid w:val="006E4DAF"/>
    <w:rsid w:val="006E588A"/>
    <w:rsid w:val="006E5F69"/>
    <w:rsid w:val="006E67FA"/>
    <w:rsid w:val="006E7C9D"/>
    <w:rsid w:val="006F09CE"/>
    <w:rsid w:val="006F0BE3"/>
    <w:rsid w:val="006F1369"/>
    <w:rsid w:val="006F18D5"/>
    <w:rsid w:val="006F1A36"/>
    <w:rsid w:val="006F1B41"/>
    <w:rsid w:val="006F325C"/>
    <w:rsid w:val="006F49C2"/>
    <w:rsid w:val="006F59C6"/>
    <w:rsid w:val="006F5C2C"/>
    <w:rsid w:val="006F69D1"/>
    <w:rsid w:val="006F6BBA"/>
    <w:rsid w:val="006F6F5E"/>
    <w:rsid w:val="006F7695"/>
    <w:rsid w:val="006F7A27"/>
    <w:rsid w:val="006F7AEF"/>
    <w:rsid w:val="006F7CF1"/>
    <w:rsid w:val="00700829"/>
    <w:rsid w:val="007016F4"/>
    <w:rsid w:val="007028C7"/>
    <w:rsid w:val="00702F25"/>
    <w:rsid w:val="007030D1"/>
    <w:rsid w:val="00703781"/>
    <w:rsid w:val="00703BD2"/>
    <w:rsid w:val="007043F0"/>
    <w:rsid w:val="00704C39"/>
    <w:rsid w:val="00704F09"/>
    <w:rsid w:val="00705096"/>
    <w:rsid w:val="007063AC"/>
    <w:rsid w:val="00707450"/>
    <w:rsid w:val="007077B0"/>
    <w:rsid w:val="0070799E"/>
    <w:rsid w:val="00710766"/>
    <w:rsid w:val="00711912"/>
    <w:rsid w:val="00711FB7"/>
    <w:rsid w:val="00712154"/>
    <w:rsid w:val="00713112"/>
    <w:rsid w:val="00713974"/>
    <w:rsid w:val="00713AC5"/>
    <w:rsid w:val="00715DDA"/>
    <w:rsid w:val="00715F90"/>
    <w:rsid w:val="0071635A"/>
    <w:rsid w:val="0072059A"/>
    <w:rsid w:val="00721AB9"/>
    <w:rsid w:val="00722C53"/>
    <w:rsid w:val="007230E8"/>
    <w:rsid w:val="0072350C"/>
    <w:rsid w:val="00723686"/>
    <w:rsid w:val="007237CE"/>
    <w:rsid w:val="00723826"/>
    <w:rsid w:val="007246A7"/>
    <w:rsid w:val="007252E2"/>
    <w:rsid w:val="007254BC"/>
    <w:rsid w:val="00725F66"/>
    <w:rsid w:val="00726368"/>
    <w:rsid w:val="00726D35"/>
    <w:rsid w:val="007303D0"/>
    <w:rsid w:val="00731717"/>
    <w:rsid w:val="00732231"/>
    <w:rsid w:val="00733017"/>
    <w:rsid w:val="00733060"/>
    <w:rsid w:val="00733B03"/>
    <w:rsid w:val="00733F7F"/>
    <w:rsid w:val="007344D6"/>
    <w:rsid w:val="00735000"/>
    <w:rsid w:val="007353AD"/>
    <w:rsid w:val="00735C9E"/>
    <w:rsid w:val="00736848"/>
    <w:rsid w:val="00736C74"/>
    <w:rsid w:val="0073774A"/>
    <w:rsid w:val="00737AB0"/>
    <w:rsid w:val="00737D47"/>
    <w:rsid w:val="007411FA"/>
    <w:rsid w:val="0074190E"/>
    <w:rsid w:val="00741D03"/>
    <w:rsid w:val="007427B0"/>
    <w:rsid w:val="00742814"/>
    <w:rsid w:val="00743805"/>
    <w:rsid w:val="00743836"/>
    <w:rsid w:val="00743A95"/>
    <w:rsid w:val="00743DCD"/>
    <w:rsid w:val="00743E3F"/>
    <w:rsid w:val="0074407C"/>
    <w:rsid w:val="00744C0E"/>
    <w:rsid w:val="00744D10"/>
    <w:rsid w:val="00744F69"/>
    <w:rsid w:val="00745093"/>
    <w:rsid w:val="007461E8"/>
    <w:rsid w:val="00747065"/>
    <w:rsid w:val="00747C82"/>
    <w:rsid w:val="00747E5E"/>
    <w:rsid w:val="00750E1B"/>
    <w:rsid w:val="00751215"/>
    <w:rsid w:val="0075158F"/>
    <w:rsid w:val="00751EF5"/>
    <w:rsid w:val="00753B55"/>
    <w:rsid w:val="00753E22"/>
    <w:rsid w:val="00754F22"/>
    <w:rsid w:val="0075566A"/>
    <w:rsid w:val="007567B8"/>
    <w:rsid w:val="00756CE0"/>
    <w:rsid w:val="007571A8"/>
    <w:rsid w:val="007574ED"/>
    <w:rsid w:val="007576A1"/>
    <w:rsid w:val="007600AD"/>
    <w:rsid w:val="007600D8"/>
    <w:rsid w:val="007604B2"/>
    <w:rsid w:val="007614D0"/>
    <w:rsid w:val="0076152A"/>
    <w:rsid w:val="0076196E"/>
    <w:rsid w:val="00762A9D"/>
    <w:rsid w:val="0076381F"/>
    <w:rsid w:val="0076470B"/>
    <w:rsid w:val="007663D1"/>
    <w:rsid w:val="007665D3"/>
    <w:rsid w:val="00766D06"/>
    <w:rsid w:val="007670EA"/>
    <w:rsid w:val="00767B70"/>
    <w:rsid w:val="0077086E"/>
    <w:rsid w:val="00770C0F"/>
    <w:rsid w:val="0077132A"/>
    <w:rsid w:val="007726CF"/>
    <w:rsid w:val="00774494"/>
    <w:rsid w:val="00774BE5"/>
    <w:rsid w:val="00774FB6"/>
    <w:rsid w:val="0077589D"/>
    <w:rsid w:val="00775C12"/>
    <w:rsid w:val="00776194"/>
    <w:rsid w:val="00776424"/>
    <w:rsid w:val="007769C0"/>
    <w:rsid w:val="00776B54"/>
    <w:rsid w:val="00776B62"/>
    <w:rsid w:val="0077789F"/>
    <w:rsid w:val="00777C2F"/>
    <w:rsid w:val="00780814"/>
    <w:rsid w:val="00780BCD"/>
    <w:rsid w:val="00780DDD"/>
    <w:rsid w:val="00783535"/>
    <w:rsid w:val="00783895"/>
    <w:rsid w:val="00784950"/>
    <w:rsid w:val="00785600"/>
    <w:rsid w:val="00786869"/>
    <w:rsid w:val="0078687F"/>
    <w:rsid w:val="007871CA"/>
    <w:rsid w:val="0078752D"/>
    <w:rsid w:val="007879FB"/>
    <w:rsid w:val="0079102B"/>
    <w:rsid w:val="0079120D"/>
    <w:rsid w:val="0079180E"/>
    <w:rsid w:val="00791C1B"/>
    <w:rsid w:val="0079301F"/>
    <w:rsid w:val="00793414"/>
    <w:rsid w:val="00793F06"/>
    <w:rsid w:val="00795113"/>
    <w:rsid w:val="0079541D"/>
    <w:rsid w:val="00795A01"/>
    <w:rsid w:val="00796738"/>
    <w:rsid w:val="007968F8"/>
    <w:rsid w:val="007971D9"/>
    <w:rsid w:val="00797954"/>
    <w:rsid w:val="00797BCF"/>
    <w:rsid w:val="007A0A88"/>
    <w:rsid w:val="007A119E"/>
    <w:rsid w:val="007A2E74"/>
    <w:rsid w:val="007A2E7D"/>
    <w:rsid w:val="007A3E14"/>
    <w:rsid w:val="007A40A0"/>
    <w:rsid w:val="007A41B3"/>
    <w:rsid w:val="007A53B4"/>
    <w:rsid w:val="007A58D4"/>
    <w:rsid w:val="007A6643"/>
    <w:rsid w:val="007A69DB"/>
    <w:rsid w:val="007A7ACD"/>
    <w:rsid w:val="007B1737"/>
    <w:rsid w:val="007B1BF8"/>
    <w:rsid w:val="007B22AA"/>
    <w:rsid w:val="007B41E6"/>
    <w:rsid w:val="007B4A3D"/>
    <w:rsid w:val="007B4A81"/>
    <w:rsid w:val="007B630E"/>
    <w:rsid w:val="007B69A3"/>
    <w:rsid w:val="007B6B2D"/>
    <w:rsid w:val="007B7B43"/>
    <w:rsid w:val="007C09F3"/>
    <w:rsid w:val="007C361E"/>
    <w:rsid w:val="007C3DE2"/>
    <w:rsid w:val="007C56C6"/>
    <w:rsid w:val="007C5712"/>
    <w:rsid w:val="007C647D"/>
    <w:rsid w:val="007C6BA8"/>
    <w:rsid w:val="007C714F"/>
    <w:rsid w:val="007C769E"/>
    <w:rsid w:val="007C7716"/>
    <w:rsid w:val="007C7DB3"/>
    <w:rsid w:val="007D06F1"/>
    <w:rsid w:val="007D104A"/>
    <w:rsid w:val="007D226E"/>
    <w:rsid w:val="007D2301"/>
    <w:rsid w:val="007D3810"/>
    <w:rsid w:val="007D390C"/>
    <w:rsid w:val="007D3A71"/>
    <w:rsid w:val="007D3CF1"/>
    <w:rsid w:val="007D424F"/>
    <w:rsid w:val="007D5799"/>
    <w:rsid w:val="007D67B0"/>
    <w:rsid w:val="007E04D8"/>
    <w:rsid w:val="007E0816"/>
    <w:rsid w:val="007E087E"/>
    <w:rsid w:val="007E0BFE"/>
    <w:rsid w:val="007E29A1"/>
    <w:rsid w:val="007E4A7D"/>
    <w:rsid w:val="007E658B"/>
    <w:rsid w:val="007E66E3"/>
    <w:rsid w:val="007E7C4D"/>
    <w:rsid w:val="007F04C1"/>
    <w:rsid w:val="007F0E97"/>
    <w:rsid w:val="007F2807"/>
    <w:rsid w:val="007F2BED"/>
    <w:rsid w:val="007F4E6A"/>
    <w:rsid w:val="007F6954"/>
    <w:rsid w:val="007F7139"/>
    <w:rsid w:val="00800C71"/>
    <w:rsid w:val="008014ED"/>
    <w:rsid w:val="008017A2"/>
    <w:rsid w:val="00801DBC"/>
    <w:rsid w:val="00803A52"/>
    <w:rsid w:val="00803E38"/>
    <w:rsid w:val="00804096"/>
    <w:rsid w:val="00804388"/>
    <w:rsid w:val="00805363"/>
    <w:rsid w:val="00805A28"/>
    <w:rsid w:val="00805BCB"/>
    <w:rsid w:val="00806102"/>
    <w:rsid w:val="008065E7"/>
    <w:rsid w:val="008066CF"/>
    <w:rsid w:val="008072BD"/>
    <w:rsid w:val="008078EA"/>
    <w:rsid w:val="00810A9F"/>
    <w:rsid w:val="00810CB0"/>
    <w:rsid w:val="0081156F"/>
    <w:rsid w:val="00812194"/>
    <w:rsid w:val="00812ECE"/>
    <w:rsid w:val="00813684"/>
    <w:rsid w:val="00814B56"/>
    <w:rsid w:val="0081571B"/>
    <w:rsid w:val="008157DA"/>
    <w:rsid w:val="0081617A"/>
    <w:rsid w:val="008166A4"/>
    <w:rsid w:val="008168F8"/>
    <w:rsid w:val="00817699"/>
    <w:rsid w:val="008179FD"/>
    <w:rsid w:val="00817B0D"/>
    <w:rsid w:val="00817F15"/>
    <w:rsid w:val="00820630"/>
    <w:rsid w:val="0082094A"/>
    <w:rsid w:val="00821829"/>
    <w:rsid w:val="00822DFD"/>
    <w:rsid w:val="00823649"/>
    <w:rsid w:val="0082477B"/>
    <w:rsid w:val="00825388"/>
    <w:rsid w:val="00825DF2"/>
    <w:rsid w:val="00826AF9"/>
    <w:rsid w:val="00826D10"/>
    <w:rsid w:val="00830B2C"/>
    <w:rsid w:val="00830D16"/>
    <w:rsid w:val="00832890"/>
    <w:rsid w:val="00833949"/>
    <w:rsid w:val="00834179"/>
    <w:rsid w:val="00835091"/>
    <w:rsid w:val="00835753"/>
    <w:rsid w:val="00835838"/>
    <w:rsid w:val="00836D18"/>
    <w:rsid w:val="00836FB0"/>
    <w:rsid w:val="00837B1B"/>
    <w:rsid w:val="00837DA1"/>
    <w:rsid w:val="008404CE"/>
    <w:rsid w:val="00840725"/>
    <w:rsid w:val="0084246A"/>
    <w:rsid w:val="0084256A"/>
    <w:rsid w:val="00842884"/>
    <w:rsid w:val="00842A8C"/>
    <w:rsid w:val="00842EF4"/>
    <w:rsid w:val="008433FA"/>
    <w:rsid w:val="008436EF"/>
    <w:rsid w:val="0084482F"/>
    <w:rsid w:val="00845004"/>
    <w:rsid w:val="00845CF0"/>
    <w:rsid w:val="00845D4C"/>
    <w:rsid w:val="0084632B"/>
    <w:rsid w:val="00846DB5"/>
    <w:rsid w:val="00847853"/>
    <w:rsid w:val="008501B8"/>
    <w:rsid w:val="00850366"/>
    <w:rsid w:val="00850703"/>
    <w:rsid w:val="00851468"/>
    <w:rsid w:val="00853918"/>
    <w:rsid w:val="00854441"/>
    <w:rsid w:val="008546F8"/>
    <w:rsid w:val="00854D1C"/>
    <w:rsid w:val="008550FE"/>
    <w:rsid w:val="008556B8"/>
    <w:rsid w:val="00855C12"/>
    <w:rsid w:val="00856C2F"/>
    <w:rsid w:val="00856DAE"/>
    <w:rsid w:val="008570F1"/>
    <w:rsid w:val="00857F9E"/>
    <w:rsid w:val="00860617"/>
    <w:rsid w:val="008608CC"/>
    <w:rsid w:val="00861773"/>
    <w:rsid w:val="00862507"/>
    <w:rsid w:val="0086270C"/>
    <w:rsid w:val="008629A7"/>
    <w:rsid w:val="008629E2"/>
    <w:rsid w:val="008642D7"/>
    <w:rsid w:val="008645C5"/>
    <w:rsid w:val="00864CBB"/>
    <w:rsid w:val="008655D9"/>
    <w:rsid w:val="00865B82"/>
    <w:rsid w:val="00867B0D"/>
    <w:rsid w:val="008712D1"/>
    <w:rsid w:val="00872433"/>
    <w:rsid w:val="00872D37"/>
    <w:rsid w:val="00873350"/>
    <w:rsid w:val="00873C40"/>
    <w:rsid w:val="00874F3D"/>
    <w:rsid w:val="00875330"/>
    <w:rsid w:val="00875ACF"/>
    <w:rsid w:val="00880021"/>
    <w:rsid w:val="008801B9"/>
    <w:rsid w:val="00880A39"/>
    <w:rsid w:val="00880C35"/>
    <w:rsid w:val="00880CDE"/>
    <w:rsid w:val="00881CFD"/>
    <w:rsid w:val="00882A67"/>
    <w:rsid w:val="008837F8"/>
    <w:rsid w:val="00883C59"/>
    <w:rsid w:val="00884875"/>
    <w:rsid w:val="00885B21"/>
    <w:rsid w:val="00886357"/>
    <w:rsid w:val="00886B2A"/>
    <w:rsid w:val="00886BCB"/>
    <w:rsid w:val="00886C7E"/>
    <w:rsid w:val="00887A3B"/>
    <w:rsid w:val="00890174"/>
    <w:rsid w:val="0089039E"/>
    <w:rsid w:val="00890513"/>
    <w:rsid w:val="00890559"/>
    <w:rsid w:val="0089068C"/>
    <w:rsid w:val="00890BD5"/>
    <w:rsid w:val="00890D9D"/>
    <w:rsid w:val="00891096"/>
    <w:rsid w:val="0089120B"/>
    <w:rsid w:val="0089147F"/>
    <w:rsid w:val="00891862"/>
    <w:rsid w:val="008918BA"/>
    <w:rsid w:val="00891953"/>
    <w:rsid w:val="00892477"/>
    <w:rsid w:val="00892834"/>
    <w:rsid w:val="00892E76"/>
    <w:rsid w:val="00894F44"/>
    <w:rsid w:val="00895904"/>
    <w:rsid w:val="0089599A"/>
    <w:rsid w:val="00896667"/>
    <w:rsid w:val="00896C6D"/>
    <w:rsid w:val="0089770E"/>
    <w:rsid w:val="00897993"/>
    <w:rsid w:val="008A0034"/>
    <w:rsid w:val="008A03DC"/>
    <w:rsid w:val="008A0611"/>
    <w:rsid w:val="008A14DC"/>
    <w:rsid w:val="008A203D"/>
    <w:rsid w:val="008A206C"/>
    <w:rsid w:val="008A2F7D"/>
    <w:rsid w:val="008A38C4"/>
    <w:rsid w:val="008A49EA"/>
    <w:rsid w:val="008A4BE2"/>
    <w:rsid w:val="008A5D0E"/>
    <w:rsid w:val="008A5E6E"/>
    <w:rsid w:val="008A6456"/>
    <w:rsid w:val="008A66E6"/>
    <w:rsid w:val="008A686F"/>
    <w:rsid w:val="008A6A8B"/>
    <w:rsid w:val="008A71BC"/>
    <w:rsid w:val="008A7BDF"/>
    <w:rsid w:val="008B06E5"/>
    <w:rsid w:val="008B1270"/>
    <w:rsid w:val="008B17C7"/>
    <w:rsid w:val="008B1A12"/>
    <w:rsid w:val="008B28AB"/>
    <w:rsid w:val="008B3235"/>
    <w:rsid w:val="008B4042"/>
    <w:rsid w:val="008B503C"/>
    <w:rsid w:val="008B542B"/>
    <w:rsid w:val="008B5E05"/>
    <w:rsid w:val="008B6059"/>
    <w:rsid w:val="008B636E"/>
    <w:rsid w:val="008B6BC5"/>
    <w:rsid w:val="008B6D1D"/>
    <w:rsid w:val="008B6D3E"/>
    <w:rsid w:val="008B74BA"/>
    <w:rsid w:val="008B76BB"/>
    <w:rsid w:val="008B7B97"/>
    <w:rsid w:val="008B7D8E"/>
    <w:rsid w:val="008C0247"/>
    <w:rsid w:val="008C0855"/>
    <w:rsid w:val="008C0C04"/>
    <w:rsid w:val="008C0F83"/>
    <w:rsid w:val="008C167B"/>
    <w:rsid w:val="008C1736"/>
    <w:rsid w:val="008C194C"/>
    <w:rsid w:val="008C2B69"/>
    <w:rsid w:val="008C33E8"/>
    <w:rsid w:val="008C3734"/>
    <w:rsid w:val="008C420C"/>
    <w:rsid w:val="008C509E"/>
    <w:rsid w:val="008C50FD"/>
    <w:rsid w:val="008C5156"/>
    <w:rsid w:val="008C52E9"/>
    <w:rsid w:val="008C5CD2"/>
    <w:rsid w:val="008C793E"/>
    <w:rsid w:val="008C7D36"/>
    <w:rsid w:val="008D05FC"/>
    <w:rsid w:val="008D0DF5"/>
    <w:rsid w:val="008D1553"/>
    <w:rsid w:val="008D2CA8"/>
    <w:rsid w:val="008D3368"/>
    <w:rsid w:val="008D4362"/>
    <w:rsid w:val="008D4AB7"/>
    <w:rsid w:val="008D5020"/>
    <w:rsid w:val="008D540F"/>
    <w:rsid w:val="008D57A0"/>
    <w:rsid w:val="008D60C8"/>
    <w:rsid w:val="008D60DE"/>
    <w:rsid w:val="008D690B"/>
    <w:rsid w:val="008D7FEB"/>
    <w:rsid w:val="008E06BD"/>
    <w:rsid w:val="008E0E67"/>
    <w:rsid w:val="008E199E"/>
    <w:rsid w:val="008E29A3"/>
    <w:rsid w:val="008E3058"/>
    <w:rsid w:val="008E3215"/>
    <w:rsid w:val="008E3BBA"/>
    <w:rsid w:val="008E4170"/>
    <w:rsid w:val="008E4E45"/>
    <w:rsid w:val="008E4E8F"/>
    <w:rsid w:val="008E540B"/>
    <w:rsid w:val="008E60F6"/>
    <w:rsid w:val="008E618B"/>
    <w:rsid w:val="008E7ADD"/>
    <w:rsid w:val="008F0FAA"/>
    <w:rsid w:val="008F0FD5"/>
    <w:rsid w:val="008F1FA2"/>
    <w:rsid w:val="008F291A"/>
    <w:rsid w:val="008F2A56"/>
    <w:rsid w:val="008F3F47"/>
    <w:rsid w:val="008F4758"/>
    <w:rsid w:val="008F4AFD"/>
    <w:rsid w:val="008F5031"/>
    <w:rsid w:val="008F6062"/>
    <w:rsid w:val="008F68C0"/>
    <w:rsid w:val="008F7336"/>
    <w:rsid w:val="008F746A"/>
    <w:rsid w:val="00900274"/>
    <w:rsid w:val="009017F8"/>
    <w:rsid w:val="00901A37"/>
    <w:rsid w:val="009021BA"/>
    <w:rsid w:val="00902C31"/>
    <w:rsid w:val="00902FAB"/>
    <w:rsid w:val="00902FAE"/>
    <w:rsid w:val="0090351C"/>
    <w:rsid w:val="00903652"/>
    <w:rsid w:val="0090587A"/>
    <w:rsid w:val="0090657A"/>
    <w:rsid w:val="00906DE4"/>
    <w:rsid w:val="00910C5D"/>
    <w:rsid w:val="00912F19"/>
    <w:rsid w:val="009134F8"/>
    <w:rsid w:val="009141E9"/>
    <w:rsid w:val="009154FD"/>
    <w:rsid w:val="009166D5"/>
    <w:rsid w:val="00921898"/>
    <w:rsid w:val="009218AB"/>
    <w:rsid w:val="00922565"/>
    <w:rsid w:val="00922E47"/>
    <w:rsid w:val="009233BF"/>
    <w:rsid w:val="00924985"/>
    <w:rsid w:val="009253BE"/>
    <w:rsid w:val="0092584C"/>
    <w:rsid w:val="00925AB6"/>
    <w:rsid w:val="009261E8"/>
    <w:rsid w:val="0092655C"/>
    <w:rsid w:val="009267AA"/>
    <w:rsid w:val="00926A0F"/>
    <w:rsid w:val="00927066"/>
    <w:rsid w:val="009271A9"/>
    <w:rsid w:val="0092754B"/>
    <w:rsid w:val="00927689"/>
    <w:rsid w:val="00927849"/>
    <w:rsid w:val="00927941"/>
    <w:rsid w:val="00930165"/>
    <w:rsid w:val="009301B1"/>
    <w:rsid w:val="00930854"/>
    <w:rsid w:val="00931049"/>
    <w:rsid w:val="00931FDE"/>
    <w:rsid w:val="00932B62"/>
    <w:rsid w:val="00934E07"/>
    <w:rsid w:val="00935759"/>
    <w:rsid w:val="00936A2F"/>
    <w:rsid w:val="00936D6E"/>
    <w:rsid w:val="00936F37"/>
    <w:rsid w:val="00937517"/>
    <w:rsid w:val="00937A8B"/>
    <w:rsid w:val="00940367"/>
    <w:rsid w:val="00940670"/>
    <w:rsid w:val="00940807"/>
    <w:rsid w:val="00941917"/>
    <w:rsid w:val="00941E5F"/>
    <w:rsid w:val="00942435"/>
    <w:rsid w:val="009424A2"/>
    <w:rsid w:val="009427C4"/>
    <w:rsid w:val="00943018"/>
    <w:rsid w:val="0094317D"/>
    <w:rsid w:val="009433BD"/>
    <w:rsid w:val="009433CF"/>
    <w:rsid w:val="0094361F"/>
    <w:rsid w:val="00945040"/>
    <w:rsid w:val="00945943"/>
    <w:rsid w:val="00945BB5"/>
    <w:rsid w:val="00945F6C"/>
    <w:rsid w:val="009473CD"/>
    <w:rsid w:val="0095017F"/>
    <w:rsid w:val="009501B6"/>
    <w:rsid w:val="009501D8"/>
    <w:rsid w:val="00951952"/>
    <w:rsid w:val="0095236A"/>
    <w:rsid w:val="009523CD"/>
    <w:rsid w:val="00952DC2"/>
    <w:rsid w:val="00953093"/>
    <w:rsid w:val="00953912"/>
    <w:rsid w:val="00954C46"/>
    <w:rsid w:val="009557F7"/>
    <w:rsid w:val="00957698"/>
    <w:rsid w:val="00960B8D"/>
    <w:rsid w:val="00960E14"/>
    <w:rsid w:val="0096132C"/>
    <w:rsid w:val="009621D8"/>
    <w:rsid w:val="00962CB7"/>
    <w:rsid w:val="00962F64"/>
    <w:rsid w:val="009633F3"/>
    <w:rsid w:val="00964EBB"/>
    <w:rsid w:val="009655A7"/>
    <w:rsid w:val="00966B73"/>
    <w:rsid w:val="00967537"/>
    <w:rsid w:val="00967C9F"/>
    <w:rsid w:val="00967D16"/>
    <w:rsid w:val="0097142D"/>
    <w:rsid w:val="00972038"/>
    <w:rsid w:val="009728C0"/>
    <w:rsid w:val="00972CFA"/>
    <w:rsid w:val="00974282"/>
    <w:rsid w:val="00974B40"/>
    <w:rsid w:val="009765A7"/>
    <w:rsid w:val="00977071"/>
    <w:rsid w:val="009773AE"/>
    <w:rsid w:val="00977BAF"/>
    <w:rsid w:val="0098075D"/>
    <w:rsid w:val="00980F75"/>
    <w:rsid w:val="00981413"/>
    <w:rsid w:val="00981542"/>
    <w:rsid w:val="009829C5"/>
    <w:rsid w:val="00982D59"/>
    <w:rsid w:val="00982F96"/>
    <w:rsid w:val="009846D3"/>
    <w:rsid w:val="00985864"/>
    <w:rsid w:val="00985C6A"/>
    <w:rsid w:val="00987F85"/>
    <w:rsid w:val="00990963"/>
    <w:rsid w:val="00990DD7"/>
    <w:rsid w:val="009916CB"/>
    <w:rsid w:val="00993FFC"/>
    <w:rsid w:val="009955CA"/>
    <w:rsid w:val="00995763"/>
    <w:rsid w:val="00996878"/>
    <w:rsid w:val="00997007"/>
    <w:rsid w:val="009974AA"/>
    <w:rsid w:val="009977C1"/>
    <w:rsid w:val="009A0179"/>
    <w:rsid w:val="009A069B"/>
    <w:rsid w:val="009A09BA"/>
    <w:rsid w:val="009A10B9"/>
    <w:rsid w:val="009A13F1"/>
    <w:rsid w:val="009A1ACE"/>
    <w:rsid w:val="009A44E6"/>
    <w:rsid w:val="009A4535"/>
    <w:rsid w:val="009A4A1D"/>
    <w:rsid w:val="009A4C14"/>
    <w:rsid w:val="009A4CD8"/>
    <w:rsid w:val="009A5079"/>
    <w:rsid w:val="009A507D"/>
    <w:rsid w:val="009A61A1"/>
    <w:rsid w:val="009A6B1F"/>
    <w:rsid w:val="009A6DA6"/>
    <w:rsid w:val="009A7C06"/>
    <w:rsid w:val="009A7EB7"/>
    <w:rsid w:val="009B14A0"/>
    <w:rsid w:val="009B1906"/>
    <w:rsid w:val="009B233F"/>
    <w:rsid w:val="009B25F1"/>
    <w:rsid w:val="009B3F17"/>
    <w:rsid w:val="009B4831"/>
    <w:rsid w:val="009B4A03"/>
    <w:rsid w:val="009B5200"/>
    <w:rsid w:val="009B5616"/>
    <w:rsid w:val="009B56FB"/>
    <w:rsid w:val="009B6286"/>
    <w:rsid w:val="009B68D4"/>
    <w:rsid w:val="009B73F8"/>
    <w:rsid w:val="009B7634"/>
    <w:rsid w:val="009C0B42"/>
    <w:rsid w:val="009C1317"/>
    <w:rsid w:val="009C1D91"/>
    <w:rsid w:val="009C2077"/>
    <w:rsid w:val="009C207A"/>
    <w:rsid w:val="009C25AD"/>
    <w:rsid w:val="009C2629"/>
    <w:rsid w:val="009C2F37"/>
    <w:rsid w:val="009C3027"/>
    <w:rsid w:val="009C30FF"/>
    <w:rsid w:val="009C3B24"/>
    <w:rsid w:val="009C6864"/>
    <w:rsid w:val="009C6932"/>
    <w:rsid w:val="009C6C5A"/>
    <w:rsid w:val="009C72E0"/>
    <w:rsid w:val="009C754B"/>
    <w:rsid w:val="009C7A04"/>
    <w:rsid w:val="009C7E7A"/>
    <w:rsid w:val="009D0A0F"/>
    <w:rsid w:val="009D1B29"/>
    <w:rsid w:val="009D1E89"/>
    <w:rsid w:val="009D44BB"/>
    <w:rsid w:val="009D44DC"/>
    <w:rsid w:val="009D6942"/>
    <w:rsid w:val="009D6978"/>
    <w:rsid w:val="009D6D95"/>
    <w:rsid w:val="009D6DE0"/>
    <w:rsid w:val="009D78B8"/>
    <w:rsid w:val="009D7C47"/>
    <w:rsid w:val="009E03D1"/>
    <w:rsid w:val="009E1372"/>
    <w:rsid w:val="009E148A"/>
    <w:rsid w:val="009E2002"/>
    <w:rsid w:val="009E206E"/>
    <w:rsid w:val="009E2DA6"/>
    <w:rsid w:val="009E3722"/>
    <w:rsid w:val="009E4094"/>
    <w:rsid w:val="009E40DE"/>
    <w:rsid w:val="009E5488"/>
    <w:rsid w:val="009E5697"/>
    <w:rsid w:val="009E5BC2"/>
    <w:rsid w:val="009E5C68"/>
    <w:rsid w:val="009E629C"/>
    <w:rsid w:val="009E672B"/>
    <w:rsid w:val="009E6DAF"/>
    <w:rsid w:val="009F0421"/>
    <w:rsid w:val="009F05AC"/>
    <w:rsid w:val="009F0736"/>
    <w:rsid w:val="009F0E05"/>
    <w:rsid w:val="009F21C2"/>
    <w:rsid w:val="009F23CC"/>
    <w:rsid w:val="009F2421"/>
    <w:rsid w:val="009F298C"/>
    <w:rsid w:val="009F53D1"/>
    <w:rsid w:val="009F5436"/>
    <w:rsid w:val="009F5BE7"/>
    <w:rsid w:val="009F6509"/>
    <w:rsid w:val="009F6995"/>
    <w:rsid w:val="009F7DF4"/>
    <w:rsid w:val="009F7EDC"/>
    <w:rsid w:val="00A009B4"/>
    <w:rsid w:val="00A029C1"/>
    <w:rsid w:val="00A03D6A"/>
    <w:rsid w:val="00A04321"/>
    <w:rsid w:val="00A04C30"/>
    <w:rsid w:val="00A0505A"/>
    <w:rsid w:val="00A06D41"/>
    <w:rsid w:val="00A071F9"/>
    <w:rsid w:val="00A07AF6"/>
    <w:rsid w:val="00A07DE5"/>
    <w:rsid w:val="00A10230"/>
    <w:rsid w:val="00A1093D"/>
    <w:rsid w:val="00A10DB9"/>
    <w:rsid w:val="00A11364"/>
    <w:rsid w:val="00A11A96"/>
    <w:rsid w:val="00A12802"/>
    <w:rsid w:val="00A14B0C"/>
    <w:rsid w:val="00A14F1D"/>
    <w:rsid w:val="00A157CC"/>
    <w:rsid w:val="00A1666E"/>
    <w:rsid w:val="00A16966"/>
    <w:rsid w:val="00A17F29"/>
    <w:rsid w:val="00A20E2E"/>
    <w:rsid w:val="00A2243C"/>
    <w:rsid w:val="00A230B4"/>
    <w:rsid w:val="00A23710"/>
    <w:rsid w:val="00A23E05"/>
    <w:rsid w:val="00A23E6D"/>
    <w:rsid w:val="00A24214"/>
    <w:rsid w:val="00A24671"/>
    <w:rsid w:val="00A25E98"/>
    <w:rsid w:val="00A25F28"/>
    <w:rsid w:val="00A263AD"/>
    <w:rsid w:val="00A26D5E"/>
    <w:rsid w:val="00A26E2B"/>
    <w:rsid w:val="00A26F8F"/>
    <w:rsid w:val="00A270A4"/>
    <w:rsid w:val="00A277A7"/>
    <w:rsid w:val="00A27C3D"/>
    <w:rsid w:val="00A30770"/>
    <w:rsid w:val="00A32CE7"/>
    <w:rsid w:val="00A3369E"/>
    <w:rsid w:val="00A33A23"/>
    <w:rsid w:val="00A35055"/>
    <w:rsid w:val="00A35ABF"/>
    <w:rsid w:val="00A36014"/>
    <w:rsid w:val="00A363AB"/>
    <w:rsid w:val="00A3648C"/>
    <w:rsid w:val="00A364B9"/>
    <w:rsid w:val="00A36932"/>
    <w:rsid w:val="00A36E3F"/>
    <w:rsid w:val="00A36FB4"/>
    <w:rsid w:val="00A37245"/>
    <w:rsid w:val="00A377B3"/>
    <w:rsid w:val="00A37C8D"/>
    <w:rsid w:val="00A4003F"/>
    <w:rsid w:val="00A41C30"/>
    <w:rsid w:val="00A42077"/>
    <w:rsid w:val="00A43237"/>
    <w:rsid w:val="00A4330D"/>
    <w:rsid w:val="00A44AAD"/>
    <w:rsid w:val="00A44ECA"/>
    <w:rsid w:val="00A451FA"/>
    <w:rsid w:val="00A46613"/>
    <w:rsid w:val="00A4708F"/>
    <w:rsid w:val="00A4710C"/>
    <w:rsid w:val="00A4764F"/>
    <w:rsid w:val="00A4770E"/>
    <w:rsid w:val="00A477B7"/>
    <w:rsid w:val="00A4792A"/>
    <w:rsid w:val="00A47A2A"/>
    <w:rsid w:val="00A47A9A"/>
    <w:rsid w:val="00A50115"/>
    <w:rsid w:val="00A505CB"/>
    <w:rsid w:val="00A5077C"/>
    <w:rsid w:val="00A51A04"/>
    <w:rsid w:val="00A53F04"/>
    <w:rsid w:val="00A541B9"/>
    <w:rsid w:val="00A547E7"/>
    <w:rsid w:val="00A54B0C"/>
    <w:rsid w:val="00A54B96"/>
    <w:rsid w:val="00A551B3"/>
    <w:rsid w:val="00A5556F"/>
    <w:rsid w:val="00A562B8"/>
    <w:rsid w:val="00A574EF"/>
    <w:rsid w:val="00A601BF"/>
    <w:rsid w:val="00A612A0"/>
    <w:rsid w:val="00A61DFB"/>
    <w:rsid w:val="00A6213B"/>
    <w:rsid w:val="00A6214E"/>
    <w:rsid w:val="00A6275F"/>
    <w:rsid w:val="00A6286D"/>
    <w:rsid w:val="00A63A40"/>
    <w:rsid w:val="00A65169"/>
    <w:rsid w:val="00A66677"/>
    <w:rsid w:val="00A668FE"/>
    <w:rsid w:val="00A66C1A"/>
    <w:rsid w:val="00A66F76"/>
    <w:rsid w:val="00A678AB"/>
    <w:rsid w:val="00A67F2F"/>
    <w:rsid w:val="00A708C1"/>
    <w:rsid w:val="00A72C9D"/>
    <w:rsid w:val="00A73827"/>
    <w:rsid w:val="00A73B4A"/>
    <w:rsid w:val="00A74A79"/>
    <w:rsid w:val="00A7590B"/>
    <w:rsid w:val="00A759A2"/>
    <w:rsid w:val="00A7629D"/>
    <w:rsid w:val="00A7629E"/>
    <w:rsid w:val="00A7701D"/>
    <w:rsid w:val="00A7797D"/>
    <w:rsid w:val="00A77E91"/>
    <w:rsid w:val="00A802ED"/>
    <w:rsid w:val="00A80917"/>
    <w:rsid w:val="00A80FC4"/>
    <w:rsid w:val="00A811F0"/>
    <w:rsid w:val="00A8132B"/>
    <w:rsid w:val="00A81E6E"/>
    <w:rsid w:val="00A8219F"/>
    <w:rsid w:val="00A82950"/>
    <w:rsid w:val="00A83130"/>
    <w:rsid w:val="00A840BA"/>
    <w:rsid w:val="00A8472D"/>
    <w:rsid w:val="00A847D3"/>
    <w:rsid w:val="00A84E10"/>
    <w:rsid w:val="00A85CBE"/>
    <w:rsid w:val="00A8625E"/>
    <w:rsid w:val="00A86326"/>
    <w:rsid w:val="00A8652B"/>
    <w:rsid w:val="00A8684A"/>
    <w:rsid w:val="00A876A1"/>
    <w:rsid w:val="00A87E82"/>
    <w:rsid w:val="00A87F4C"/>
    <w:rsid w:val="00A9027C"/>
    <w:rsid w:val="00A9038C"/>
    <w:rsid w:val="00A90ED4"/>
    <w:rsid w:val="00A91F5C"/>
    <w:rsid w:val="00A9202B"/>
    <w:rsid w:val="00A923C4"/>
    <w:rsid w:val="00A92872"/>
    <w:rsid w:val="00A930F3"/>
    <w:rsid w:val="00A9385C"/>
    <w:rsid w:val="00A94236"/>
    <w:rsid w:val="00A94B85"/>
    <w:rsid w:val="00A9556B"/>
    <w:rsid w:val="00A960F6"/>
    <w:rsid w:val="00A96B5F"/>
    <w:rsid w:val="00A96DEA"/>
    <w:rsid w:val="00A97149"/>
    <w:rsid w:val="00A971FD"/>
    <w:rsid w:val="00A97E9C"/>
    <w:rsid w:val="00A97EE3"/>
    <w:rsid w:val="00AA1ACC"/>
    <w:rsid w:val="00AA2B17"/>
    <w:rsid w:val="00AA2F55"/>
    <w:rsid w:val="00AA3419"/>
    <w:rsid w:val="00AA3A4B"/>
    <w:rsid w:val="00AA3A5B"/>
    <w:rsid w:val="00AA4A38"/>
    <w:rsid w:val="00AA5DDE"/>
    <w:rsid w:val="00AA62CC"/>
    <w:rsid w:val="00AA699A"/>
    <w:rsid w:val="00AA7644"/>
    <w:rsid w:val="00AA7B33"/>
    <w:rsid w:val="00AA7CD4"/>
    <w:rsid w:val="00AB0E9A"/>
    <w:rsid w:val="00AB107D"/>
    <w:rsid w:val="00AB15C7"/>
    <w:rsid w:val="00AB20E6"/>
    <w:rsid w:val="00AB2664"/>
    <w:rsid w:val="00AB28AF"/>
    <w:rsid w:val="00AB290A"/>
    <w:rsid w:val="00AB2B11"/>
    <w:rsid w:val="00AB2EB0"/>
    <w:rsid w:val="00AB32DE"/>
    <w:rsid w:val="00AB35E2"/>
    <w:rsid w:val="00AB3D3D"/>
    <w:rsid w:val="00AB421D"/>
    <w:rsid w:val="00AB4822"/>
    <w:rsid w:val="00AB4A40"/>
    <w:rsid w:val="00AB5135"/>
    <w:rsid w:val="00AB5274"/>
    <w:rsid w:val="00AB5486"/>
    <w:rsid w:val="00AB5693"/>
    <w:rsid w:val="00AB6322"/>
    <w:rsid w:val="00AB648C"/>
    <w:rsid w:val="00AB6A7C"/>
    <w:rsid w:val="00AB6D1A"/>
    <w:rsid w:val="00AC0F93"/>
    <w:rsid w:val="00AC151B"/>
    <w:rsid w:val="00AC16C0"/>
    <w:rsid w:val="00AC1CBF"/>
    <w:rsid w:val="00AC1E5C"/>
    <w:rsid w:val="00AC23B0"/>
    <w:rsid w:val="00AC412B"/>
    <w:rsid w:val="00AC412E"/>
    <w:rsid w:val="00AC449D"/>
    <w:rsid w:val="00AC480E"/>
    <w:rsid w:val="00AC4DC1"/>
    <w:rsid w:val="00AC4F7A"/>
    <w:rsid w:val="00AC6478"/>
    <w:rsid w:val="00AC6C9C"/>
    <w:rsid w:val="00AC7399"/>
    <w:rsid w:val="00AC74BC"/>
    <w:rsid w:val="00AC7897"/>
    <w:rsid w:val="00AD0190"/>
    <w:rsid w:val="00AD062E"/>
    <w:rsid w:val="00AD0690"/>
    <w:rsid w:val="00AD08B1"/>
    <w:rsid w:val="00AD0F46"/>
    <w:rsid w:val="00AD12B5"/>
    <w:rsid w:val="00AD161E"/>
    <w:rsid w:val="00AD2FFA"/>
    <w:rsid w:val="00AD3BAD"/>
    <w:rsid w:val="00AD405C"/>
    <w:rsid w:val="00AD4D15"/>
    <w:rsid w:val="00AD4EEC"/>
    <w:rsid w:val="00AD6767"/>
    <w:rsid w:val="00AE02BD"/>
    <w:rsid w:val="00AE0687"/>
    <w:rsid w:val="00AE1293"/>
    <w:rsid w:val="00AE1E0D"/>
    <w:rsid w:val="00AE2317"/>
    <w:rsid w:val="00AE2AE5"/>
    <w:rsid w:val="00AE2EF2"/>
    <w:rsid w:val="00AE3209"/>
    <w:rsid w:val="00AE354F"/>
    <w:rsid w:val="00AE39A7"/>
    <w:rsid w:val="00AE4ED8"/>
    <w:rsid w:val="00AE52C4"/>
    <w:rsid w:val="00AE5852"/>
    <w:rsid w:val="00AE6144"/>
    <w:rsid w:val="00AE630A"/>
    <w:rsid w:val="00AE6EDE"/>
    <w:rsid w:val="00AE78CB"/>
    <w:rsid w:val="00AF171D"/>
    <w:rsid w:val="00AF1947"/>
    <w:rsid w:val="00AF1DF5"/>
    <w:rsid w:val="00AF1F87"/>
    <w:rsid w:val="00AF20C4"/>
    <w:rsid w:val="00AF21C1"/>
    <w:rsid w:val="00AF2454"/>
    <w:rsid w:val="00AF28A2"/>
    <w:rsid w:val="00AF28B3"/>
    <w:rsid w:val="00AF3054"/>
    <w:rsid w:val="00AF3654"/>
    <w:rsid w:val="00AF4739"/>
    <w:rsid w:val="00AF51C1"/>
    <w:rsid w:val="00AF5442"/>
    <w:rsid w:val="00AF549C"/>
    <w:rsid w:val="00AF6F6F"/>
    <w:rsid w:val="00B00548"/>
    <w:rsid w:val="00B00C59"/>
    <w:rsid w:val="00B01A75"/>
    <w:rsid w:val="00B01FD3"/>
    <w:rsid w:val="00B02A24"/>
    <w:rsid w:val="00B02B31"/>
    <w:rsid w:val="00B02CE7"/>
    <w:rsid w:val="00B02E21"/>
    <w:rsid w:val="00B0357C"/>
    <w:rsid w:val="00B04106"/>
    <w:rsid w:val="00B042C7"/>
    <w:rsid w:val="00B05502"/>
    <w:rsid w:val="00B059F2"/>
    <w:rsid w:val="00B0644E"/>
    <w:rsid w:val="00B10237"/>
    <w:rsid w:val="00B10CD5"/>
    <w:rsid w:val="00B10F06"/>
    <w:rsid w:val="00B1108C"/>
    <w:rsid w:val="00B113BC"/>
    <w:rsid w:val="00B11493"/>
    <w:rsid w:val="00B11796"/>
    <w:rsid w:val="00B12017"/>
    <w:rsid w:val="00B125E0"/>
    <w:rsid w:val="00B1298B"/>
    <w:rsid w:val="00B12AE7"/>
    <w:rsid w:val="00B12E36"/>
    <w:rsid w:val="00B1332B"/>
    <w:rsid w:val="00B1362E"/>
    <w:rsid w:val="00B13800"/>
    <w:rsid w:val="00B14EA1"/>
    <w:rsid w:val="00B150A0"/>
    <w:rsid w:val="00B1596C"/>
    <w:rsid w:val="00B15D71"/>
    <w:rsid w:val="00B16C74"/>
    <w:rsid w:val="00B171A8"/>
    <w:rsid w:val="00B1744C"/>
    <w:rsid w:val="00B201B5"/>
    <w:rsid w:val="00B21F01"/>
    <w:rsid w:val="00B22C1A"/>
    <w:rsid w:val="00B22DB2"/>
    <w:rsid w:val="00B23C02"/>
    <w:rsid w:val="00B24098"/>
    <w:rsid w:val="00B2409D"/>
    <w:rsid w:val="00B243FA"/>
    <w:rsid w:val="00B24A0A"/>
    <w:rsid w:val="00B25995"/>
    <w:rsid w:val="00B2609C"/>
    <w:rsid w:val="00B26FAA"/>
    <w:rsid w:val="00B27061"/>
    <w:rsid w:val="00B27577"/>
    <w:rsid w:val="00B27D9D"/>
    <w:rsid w:val="00B319D0"/>
    <w:rsid w:val="00B3201C"/>
    <w:rsid w:val="00B33403"/>
    <w:rsid w:val="00B343A1"/>
    <w:rsid w:val="00B34C0D"/>
    <w:rsid w:val="00B3555B"/>
    <w:rsid w:val="00B35B2A"/>
    <w:rsid w:val="00B36953"/>
    <w:rsid w:val="00B403D9"/>
    <w:rsid w:val="00B40CED"/>
    <w:rsid w:val="00B41336"/>
    <w:rsid w:val="00B41451"/>
    <w:rsid w:val="00B41680"/>
    <w:rsid w:val="00B423C7"/>
    <w:rsid w:val="00B43783"/>
    <w:rsid w:val="00B44438"/>
    <w:rsid w:val="00B44C15"/>
    <w:rsid w:val="00B44D9F"/>
    <w:rsid w:val="00B46594"/>
    <w:rsid w:val="00B47006"/>
    <w:rsid w:val="00B47DC2"/>
    <w:rsid w:val="00B50180"/>
    <w:rsid w:val="00B50444"/>
    <w:rsid w:val="00B50D8C"/>
    <w:rsid w:val="00B51923"/>
    <w:rsid w:val="00B51C2B"/>
    <w:rsid w:val="00B52062"/>
    <w:rsid w:val="00B5321B"/>
    <w:rsid w:val="00B53990"/>
    <w:rsid w:val="00B53ABC"/>
    <w:rsid w:val="00B540BE"/>
    <w:rsid w:val="00B5455C"/>
    <w:rsid w:val="00B55B12"/>
    <w:rsid w:val="00B55F48"/>
    <w:rsid w:val="00B56D82"/>
    <w:rsid w:val="00B56DAB"/>
    <w:rsid w:val="00B60EC0"/>
    <w:rsid w:val="00B62492"/>
    <w:rsid w:val="00B62B75"/>
    <w:rsid w:val="00B633E4"/>
    <w:rsid w:val="00B63784"/>
    <w:rsid w:val="00B63CE0"/>
    <w:rsid w:val="00B65DC4"/>
    <w:rsid w:val="00B7097F"/>
    <w:rsid w:val="00B70ADD"/>
    <w:rsid w:val="00B70FD3"/>
    <w:rsid w:val="00B71130"/>
    <w:rsid w:val="00B71225"/>
    <w:rsid w:val="00B720A2"/>
    <w:rsid w:val="00B72D0B"/>
    <w:rsid w:val="00B7316C"/>
    <w:rsid w:val="00B74112"/>
    <w:rsid w:val="00B742B5"/>
    <w:rsid w:val="00B749E1"/>
    <w:rsid w:val="00B74FDF"/>
    <w:rsid w:val="00B75072"/>
    <w:rsid w:val="00B7655A"/>
    <w:rsid w:val="00B7792B"/>
    <w:rsid w:val="00B81A4D"/>
    <w:rsid w:val="00B81A97"/>
    <w:rsid w:val="00B82052"/>
    <w:rsid w:val="00B82C62"/>
    <w:rsid w:val="00B83134"/>
    <w:rsid w:val="00B83864"/>
    <w:rsid w:val="00B83C43"/>
    <w:rsid w:val="00B83CB9"/>
    <w:rsid w:val="00B8474B"/>
    <w:rsid w:val="00B85776"/>
    <w:rsid w:val="00B8601F"/>
    <w:rsid w:val="00B86709"/>
    <w:rsid w:val="00B86FB3"/>
    <w:rsid w:val="00B877F6"/>
    <w:rsid w:val="00B87AC1"/>
    <w:rsid w:val="00B87F2E"/>
    <w:rsid w:val="00B90767"/>
    <w:rsid w:val="00B90F8E"/>
    <w:rsid w:val="00B910D4"/>
    <w:rsid w:val="00B911A4"/>
    <w:rsid w:val="00B914D8"/>
    <w:rsid w:val="00B915D2"/>
    <w:rsid w:val="00B91913"/>
    <w:rsid w:val="00B9198C"/>
    <w:rsid w:val="00B919E5"/>
    <w:rsid w:val="00B92209"/>
    <w:rsid w:val="00B92295"/>
    <w:rsid w:val="00B92FBB"/>
    <w:rsid w:val="00B931D2"/>
    <w:rsid w:val="00B9444B"/>
    <w:rsid w:val="00B947E1"/>
    <w:rsid w:val="00B94A0A"/>
    <w:rsid w:val="00B94C6C"/>
    <w:rsid w:val="00B94E4F"/>
    <w:rsid w:val="00B94F81"/>
    <w:rsid w:val="00B9505E"/>
    <w:rsid w:val="00B952CE"/>
    <w:rsid w:val="00B95593"/>
    <w:rsid w:val="00B95619"/>
    <w:rsid w:val="00B956C9"/>
    <w:rsid w:val="00B964C7"/>
    <w:rsid w:val="00B96967"/>
    <w:rsid w:val="00B96B54"/>
    <w:rsid w:val="00B96BC6"/>
    <w:rsid w:val="00B97B90"/>
    <w:rsid w:val="00BA0A61"/>
    <w:rsid w:val="00BA1F05"/>
    <w:rsid w:val="00BA367A"/>
    <w:rsid w:val="00BA3C30"/>
    <w:rsid w:val="00BA3F41"/>
    <w:rsid w:val="00BA40F1"/>
    <w:rsid w:val="00BA4D46"/>
    <w:rsid w:val="00BA5671"/>
    <w:rsid w:val="00BA5740"/>
    <w:rsid w:val="00BA5B35"/>
    <w:rsid w:val="00BA5BBA"/>
    <w:rsid w:val="00BA6041"/>
    <w:rsid w:val="00BA6250"/>
    <w:rsid w:val="00BA6AF6"/>
    <w:rsid w:val="00BA7052"/>
    <w:rsid w:val="00BA714A"/>
    <w:rsid w:val="00BA75E0"/>
    <w:rsid w:val="00BB06CF"/>
    <w:rsid w:val="00BB0852"/>
    <w:rsid w:val="00BB22F4"/>
    <w:rsid w:val="00BB286C"/>
    <w:rsid w:val="00BB29F3"/>
    <w:rsid w:val="00BB38B5"/>
    <w:rsid w:val="00BB3AF6"/>
    <w:rsid w:val="00BB3C73"/>
    <w:rsid w:val="00BB3FDF"/>
    <w:rsid w:val="00BB423A"/>
    <w:rsid w:val="00BB4BBC"/>
    <w:rsid w:val="00BB69ED"/>
    <w:rsid w:val="00BB6FA5"/>
    <w:rsid w:val="00BB7B38"/>
    <w:rsid w:val="00BB7BAE"/>
    <w:rsid w:val="00BB7F95"/>
    <w:rsid w:val="00BC11F8"/>
    <w:rsid w:val="00BC1B37"/>
    <w:rsid w:val="00BC1B7A"/>
    <w:rsid w:val="00BC24EC"/>
    <w:rsid w:val="00BC26F3"/>
    <w:rsid w:val="00BC2A60"/>
    <w:rsid w:val="00BC2CD3"/>
    <w:rsid w:val="00BC2CEF"/>
    <w:rsid w:val="00BC34E6"/>
    <w:rsid w:val="00BC3CD1"/>
    <w:rsid w:val="00BC3EAA"/>
    <w:rsid w:val="00BC4EEF"/>
    <w:rsid w:val="00BC5C02"/>
    <w:rsid w:val="00BC5D79"/>
    <w:rsid w:val="00BC6586"/>
    <w:rsid w:val="00BC7952"/>
    <w:rsid w:val="00BD0381"/>
    <w:rsid w:val="00BD086D"/>
    <w:rsid w:val="00BD0A5A"/>
    <w:rsid w:val="00BD1F18"/>
    <w:rsid w:val="00BD20C0"/>
    <w:rsid w:val="00BD2196"/>
    <w:rsid w:val="00BD2718"/>
    <w:rsid w:val="00BD325A"/>
    <w:rsid w:val="00BD349B"/>
    <w:rsid w:val="00BD3684"/>
    <w:rsid w:val="00BD3BEB"/>
    <w:rsid w:val="00BD52A1"/>
    <w:rsid w:val="00BD6249"/>
    <w:rsid w:val="00BD628A"/>
    <w:rsid w:val="00BD6DFC"/>
    <w:rsid w:val="00BD702C"/>
    <w:rsid w:val="00BD7627"/>
    <w:rsid w:val="00BE04BB"/>
    <w:rsid w:val="00BE0A2B"/>
    <w:rsid w:val="00BE10C5"/>
    <w:rsid w:val="00BE1EFE"/>
    <w:rsid w:val="00BE224F"/>
    <w:rsid w:val="00BE234D"/>
    <w:rsid w:val="00BE240A"/>
    <w:rsid w:val="00BE25F9"/>
    <w:rsid w:val="00BE28AE"/>
    <w:rsid w:val="00BE2BAE"/>
    <w:rsid w:val="00BE2E54"/>
    <w:rsid w:val="00BE323B"/>
    <w:rsid w:val="00BE3C4C"/>
    <w:rsid w:val="00BE3D77"/>
    <w:rsid w:val="00BE3E03"/>
    <w:rsid w:val="00BE46EF"/>
    <w:rsid w:val="00BE49DE"/>
    <w:rsid w:val="00BE532E"/>
    <w:rsid w:val="00BE613B"/>
    <w:rsid w:val="00BE6494"/>
    <w:rsid w:val="00BE6729"/>
    <w:rsid w:val="00BE6816"/>
    <w:rsid w:val="00BE69DC"/>
    <w:rsid w:val="00BE7701"/>
    <w:rsid w:val="00BF0098"/>
    <w:rsid w:val="00BF012F"/>
    <w:rsid w:val="00BF06EB"/>
    <w:rsid w:val="00BF0ED4"/>
    <w:rsid w:val="00BF1B9E"/>
    <w:rsid w:val="00BF2415"/>
    <w:rsid w:val="00BF2685"/>
    <w:rsid w:val="00BF2E04"/>
    <w:rsid w:val="00BF2F6A"/>
    <w:rsid w:val="00BF3B74"/>
    <w:rsid w:val="00BF3CC2"/>
    <w:rsid w:val="00BF3D73"/>
    <w:rsid w:val="00BF6347"/>
    <w:rsid w:val="00BF778C"/>
    <w:rsid w:val="00BF79BB"/>
    <w:rsid w:val="00BF7BCA"/>
    <w:rsid w:val="00BF7EC2"/>
    <w:rsid w:val="00C0062E"/>
    <w:rsid w:val="00C01317"/>
    <w:rsid w:val="00C01745"/>
    <w:rsid w:val="00C0363A"/>
    <w:rsid w:val="00C03948"/>
    <w:rsid w:val="00C03BF8"/>
    <w:rsid w:val="00C03FFC"/>
    <w:rsid w:val="00C04BE4"/>
    <w:rsid w:val="00C05136"/>
    <w:rsid w:val="00C05283"/>
    <w:rsid w:val="00C066CC"/>
    <w:rsid w:val="00C068F3"/>
    <w:rsid w:val="00C07808"/>
    <w:rsid w:val="00C10161"/>
    <w:rsid w:val="00C113EA"/>
    <w:rsid w:val="00C11FD9"/>
    <w:rsid w:val="00C12E95"/>
    <w:rsid w:val="00C13033"/>
    <w:rsid w:val="00C1318D"/>
    <w:rsid w:val="00C139B3"/>
    <w:rsid w:val="00C1414E"/>
    <w:rsid w:val="00C1420F"/>
    <w:rsid w:val="00C14592"/>
    <w:rsid w:val="00C14732"/>
    <w:rsid w:val="00C14766"/>
    <w:rsid w:val="00C158C5"/>
    <w:rsid w:val="00C15B21"/>
    <w:rsid w:val="00C15DCD"/>
    <w:rsid w:val="00C15EB0"/>
    <w:rsid w:val="00C173C8"/>
    <w:rsid w:val="00C20599"/>
    <w:rsid w:val="00C20665"/>
    <w:rsid w:val="00C22D5F"/>
    <w:rsid w:val="00C233A0"/>
    <w:rsid w:val="00C23798"/>
    <w:rsid w:val="00C23B29"/>
    <w:rsid w:val="00C25022"/>
    <w:rsid w:val="00C25695"/>
    <w:rsid w:val="00C25F91"/>
    <w:rsid w:val="00C2602C"/>
    <w:rsid w:val="00C2677A"/>
    <w:rsid w:val="00C27A9F"/>
    <w:rsid w:val="00C27B6F"/>
    <w:rsid w:val="00C27ECF"/>
    <w:rsid w:val="00C30F6B"/>
    <w:rsid w:val="00C310E5"/>
    <w:rsid w:val="00C31F94"/>
    <w:rsid w:val="00C32461"/>
    <w:rsid w:val="00C32769"/>
    <w:rsid w:val="00C32C31"/>
    <w:rsid w:val="00C33F75"/>
    <w:rsid w:val="00C34553"/>
    <w:rsid w:val="00C35E4D"/>
    <w:rsid w:val="00C37BBF"/>
    <w:rsid w:val="00C40956"/>
    <w:rsid w:val="00C41510"/>
    <w:rsid w:val="00C421F3"/>
    <w:rsid w:val="00C428C4"/>
    <w:rsid w:val="00C42B1F"/>
    <w:rsid w:val="00C42F2E"/>
    <w:rsid w:val="00C4352D"/>
    <w:rsid w:val="00C43F58"/>
    <w:rsid w:val="00C44309"/>
    <w:rsid w:val="00C44416"/>
    <w:rsid w:val="00C46284"/>
    <w:rsid w:val="00C4732A"/>
    <w:rsid w:val="00C474E6"/>
    <w:rsid w:val="00C47701"/>
    <w:rsid w:val="00C510F5"/>
    <w:rsid w:val="00C51BE0"/>
    <w:rsid w:val="00C52A8E"/>
    <w:rsid w:val="00C53AFB"/>
    <w:rsid w:val="00C54B41"/>
    <w:rsid w:val="00C554EE"/>
    <w:rsid w:val="00C55671"/>
    <w:rsid w:val="00C5576D"/>
    <w:rsid w:val="00C57906"/>
    <w:rsid w:val="00C57B73"/>
    <w:rsid w:val="00C6022E"/>
    <w:rsid w:val="00C60B57"/>
    <w:rsid w:val="00C60C8E"/>
    <w:rsid w:val="00C615F7"/>
    <w:rsid w:val="00C6167A"/>
    <w:rsid w:val="00C61C5F"/>
    <w:rsid w:val="00C6208A"/>
    <w:rsid w:val="00C625D4"/>
    <w:rsid w:val="00C6298A"/>
    <w:rsid w:val="00C641E3"/>
    <w:rsid w:val="00C654B8"/>
    <w:rsid w:val="00C65EF2"/>
    <w:rsid w:val="00C66638"/>
    <w:rsid w:val="00C70430"/>
    <w:rsid w:val="00C7063E"/>
    <w:rsid w:val="00C706F5"/>
    <w:rsid w:val="00C71A44"/>
    <w:rsid w:val="00C722EE"/>
    <w:rsid w:val="00C73625"/>
    <w:rsid w:val="00C76020"/>
    <w:rsid w:val="00C80339"/>
    <w:rsid w:val="00C812D3"/>
    <w:rsid w:val="00C814D2"/>
    <w:rsid w:val="00C818BF"/>
    <w:rsid w:val="00C82A13"/>
    <w:rsid w:val="00C832B2"/>
    <w:rsid w:val="00C84AA6"/>
    <w:rsid w:val="00C85696"/>
    <w:rsid w:val="00C85DDA"/>
    <w:rsid w:val="00C86312"/>
    <w:rsid w:val="00C86430"/>
    <w:rsid w:val="00C8674B"/>
    <w:rsid w:val="00C8776F"/>
    <w:rsid w:val="00C878AC"/>
    <w:rsid w:val="00C87F67"/>
    <w:rsid w:val="00C90087"/>
    <w:rsid w:val="00C900D3"/>
    <w:rsid w:val="00C90580"/>
    <w:rsid w:val="00C90A0E"/>
    <w:rsid w:val="00C90C55"/>
    <w:rsid w:val="00C90D94"/>
    <w:rsid w:val="00C92463"/>
    <w:rsid w:val="00C94EB3"/>
    <w:rsid w:val="00C956AD"/>
    <w:rsid w:val="00C95BB5"/>
    <w:rsid w:val="00C9666D"/>
    <w:rsid w:val="00C96C69"/>
    <w:rsid w:val="00C972D9"/>
    <w:rsid w:val="00C97CD9"/>
    <w:rsid w:val="00CA0233"/>
    <w:rsid w:val="00CA0292"/>
    <w:rsid w:val="00CA0916"/>
    <w:rsid w:val="00CA11AD"/>
    <w:rsid w:val="00CA1731"/>
    <w:rsid w:val="00CA1AC0"/>
    <w:rsid w:val="00CA1C0B"/>
    <w:rsid w:val="00CA205D"/>
    <w:rsid w:val="00CA3D33"/>
    <w:rsid w:val="00CA43B6"/>
    <w:rsid w:val="00CA4553"/>
    <w:rsid w:val="00CA46BC"/>
    <w:rsid w:val="00CA4F41"/>
    <w:rsid w:val="00CA5025"/>
    <w:rsid w:val="00CA5F42"/>
    <w:rsid w:val="00CA6DA1"/>
    <w:rsid w:val="00CA72DD"/>
    <w:rsid w:val="00CB0364"/>
    <w:rsid w:val="00CB11A7"/>
    <w:rsid w:val="00CB173D"/>
    <w:rsid w:val="00CB18C3"/>
    <w:rsid w:val="00CB1DC3"/>
    <w:rsid w:val="00CB2CD5"/>
    <w:rsid w:val="00CB2DF4"/>
    <w:rsid w:val="00CB42AD"/>
    <w:rsid w:val="00CB4C8B"/>
    <w:rsid w:val="00CB4E6C"/>
    <w:rsid w:val="00CB6445"/>
    <w:rsid w:val="00CB6C88"/>
    <w:rsid w:val="00CB6E7E"/>
    <w:rsid w:val="00CB6EFE"/>
    <w:rsid w:val="00CB7D58"/>
    <w:rsid w:val="00CC0F9A"/>
    <w:rsid w:val="00CC11E9"/>
    <w:rsid w:val="00CC13B1"/>
    <w:rsid w:val="00CC1A24"/>
    <w:rsid w:val="00CC1CDE"/>
    <w:rsid w:val="00CC1DBF"/>
    <w:rsid w:val="00CC32F8"/>
    <w:rsid w:val="00CC3555"/>
    <w:rsid w:val="00CC36F0"/>
    <w:rsid w:val="00CC3936"/>
    <w:rsid w:val="00CC400D"/>
    <w:rsid w:val="00CC4260"/>
    <w:rsid w:val="00CC4D19"/>
    <w:rsid w:val="00CC68EA"/>
    <w:rsid w:val="00CC6C5F"/>
    <w:rsid w:val="00CC7188"/>
    <w:rsid w:val="00CC78A8"/>
    <w:rsid w:val="00CD06D9"/>
    <w:rsid w:val="00CD114E"/>
    <w:rsid w:val="00CD13AA"/>
    <w:rsid w:val="00CD1AFE"/>
    <w:rsid w:val="00CD1C28"/>
    <w:rsid w:val="00CD24B6"/>
    <w:rsid w:val="00CD2A67"/>
    <w:rsid w:val="00CD2AE8"/>
    <w:rsid w:val="00CD2EA9"/>
    <w:rsid w:val="00CD4455"/>
    <w:rsid w:val="00CD4C73"/>
    <w:rsid w:val="00CD4F6A"/>
    <w:rsid w:val="00CD5689"/>
    <w:rsid w:val="00CD62D9"/>
    <w:rsid w:val="00CD6527"/>
    <w:rsid w:val="00CD66C7"/>
    <w:rsid w:val="00CD6E36"/>
    <w:rsid w:val="00CE0124"/>
    <w:rsid w:val="00CE0174"/>
    <w:rsid w:val="00CE0A77"/>
    <w:rsid w:val="00CE0C7A"/>
    <w:rsid w:val="00CE0E58"/>
    <w:rsid w:val="00CE0F00"/>
    <w:rsid w:val="00CE1244"/>
    <w:rsid w:val="00CE18AF"/>
    <w:rsid w:val="00CE18F2"/>
    <w:rsid w:val="00CE1C8D"/>
    <w:rsid w:val="00CE2636"/>
    <w:rsid w:val="00CE2809"/>
    <w:rsid w:val="00CE368B"/>
    <w:rsid w:val="00CE4079"/>
    <w:rsid w:val="00CE411A"/>
    <w:rsid w:val="00CE42EE"/>
    <w:rsid w:val="00CE5FF2"/>
    <w:rsid w:val="00CE6BB3"/>
    <w:rsid w:val="00CE7234"/>
    <w:rsid w:val="00CE7340"/>
    <w:rsid w:val="00CF0567"/>
    <w:rsid w:val="00CF2252"/>
    <w:rsid w:val="00CF2333"/>
    <w:rsid w:val="00CF262F"/>
    <w:rsid w:val="00CF3843"/>
    <w:rsid w:val="00CF49ED"/>
    <w:rsid w:val="00CF5686"/>
    <w:rsid w:val="00CF61AB"/>
    <w:rsid w:val="00CF6380"/>
    <w:rsid w:val="00CF6488"/>
    <w:rsid w:val="00CF6C6A"/>
    <w:rsid w:val="00CF6F0C"/>
    <w:rsid w:val="00CF71E0"/>
    <w:rsid w:val="00CF7A21"/>
    <w:rsid w:val="00D01724"/>
    <w:rsid w:val="00D024FD"/>
    <w:rsid w:val="00D031D0"/>
    <w:rsid w:val="00D03C40"/>
    <w:rsid w:val="00D04233"/>
    <w:rsid w:val="00D04968"/>
    <w:rsid w:val="00D04A31"/>
    <w:rsid w:val="00D05B03"/>
    <w:rsid w:val="00D05E54"/>
    <w:rsid w:val="00D06BD7"/>
    <w:rsid w:val="00D07893"/>
    <w:rsid w:val="00D07AAB"/>
    <w:rsid w:val="00D10130"/>
    <w:rsid w:val="00D10B6A"/>
    <w:rsid w:val="00D130F6"/>
    <w:rsid w:val="00D13DB2"/>
    <w:rsid w:val="00D14085"/>
    <w:rsid w:val="00D14742"/>
    <w:rsid w:val="00D14D3C"/>
    <w:rsid w:val="00D177C5"/>
    <w:rsid w:val="00D17F93"/>
    <w:rsid w:val="00D20A5F"/>
    <w:rsid w:val="00D213D6"/>
    <w:rsid w:val="00D22A00"/>
    <w:rsid w:val="00D23005"/>
    <w:rsid w:val="00D23059"/>
    <w:rsid w:val="00D23508"/>
    <w:rsid w:val="00D23EBF"/>
    <w:rsid w:val="00D2409B"/>
    <w:rsid w:val="00D242F6"/>
    <w:rsid w:val="00D24C72"/>
    <w:rsid w:val="00D265EA"/>
    <w:rsid w:val="00D26E77"/>
    <w:rsid w:val="00D26EA3"/>
    <w:rsid w:val="00D30969"/>
    <w:rsid w:val="00D30B06"/>
    <w:rsid w:val="00D30B1D"/>
    <w:rsid w:val="00D30FEA"/>
    <w:rsid w:val="00D316D7"/>
    <w:rsid w:val="00D31F97"/>
    <w:rsid w:val="00D32455"/>
    <w:rsid w:val="00D33B6A"/>
    <w:rsid w:val="00D33C45"/>
    <w:rsid w:val="00D34046"/>
    <w:rsid w:val="00D34B28"/>
    <w:rsid w:val="00D35519"/>
    <w:rsid w:val="00D35742"/>
    <w:rsid w:val="00D3591D"/>
    <w:rsid w:val="00D35EFD"/>
    <w:rsid w:val="00D36062"/>
    <w:rsid w:val="00D36418"/>
    <w:rsid w:val="00D36950"/>
    <w:rsid w:val="00D36D59"/>
    <w:rsid w:val="00D37B79"/>
    <w:rsid w:val="00D37DE3"/>
    <w:rsid w:val="00D37F88"/>
    <w:rsid w:val="00D37FE3"/>
    <w:rsid w:val="00D40A1F"/>
    <w:rsid w:val="00D410B2"/>
    <w:rsid w:val="00D41309"/>
    <w:rsid w:val="00D41BC4"/>
    <w:rsid w:val="00D4321C"/>
    <w:rsid w:val="00D43283"/>
    <w:rsid w:val="00D434A9"/>
    <w:rsid w:val="00D436C7"/>
    <w:rsid w:val="00D4395E"/>
    <w:rsid w:val="00D44213"/>
    <w:rsid w:val="00D45425"/>
    <w:rsid w:val="00D45BF3"/>
    <w:rsid w:val="00D462F5"/>
    <w:rsid w:val="00D475B4"/>
    <w:rsid w:val="00D47648"/>
    <w:rsid w:val="00D5146F"/>
    <w:rsid w:val="00D51721"/>
    <w:rsid w:val="00D52BAA"/>
    <w:rsid w:val="00D533AD"/>
    <w:rsid w:val="00D53FA6"/>
    <w:rsid w:val="00D5480A"/>
    <w:rsid w:val="00D54F0D"/>
    <w:rsid w:val="00D55E1F"/>
    <w:rsid w:val="00D57070"/>
    <w:rsid w:val="00D6018C"/>
    <w:rsid w:val="00D6084F"/>
    <w:rsid w:val="00D60D8B"/>
    <w:rsid w:val="00D60DA9"/>
    <w:rsid w:val="00D61522"/>
    <w:rsid w:val="00D61679"/>
    <w:rsid w:val="00D6240B"/>
    <w:rsid w:val="00D62B2E"/>
    <w:rsid w:val="00D63A98"/>
    <w:rsid w:val="00D63DDA"/>
    <w:rsid w:val="00D64131"/>
    <w:rsid w:val="00D6515E"/>
    <w:rsid w:val="00D6690D"/>
    <w:rsid w:val="00D67897"/>
    <w:rsid w:val="00D70113"/>
    <w:rsid w:val="00D7044E"/>
    <w:rsid w:val="00D70C40"/>
    <w:rsid w:val="00D71AF5"/>
    <w:rsid w:val="00D71B88"/>
    <w:rsid w:val="00D73124"/>
    <w:rsid w:val="00D73529"/>
    <w:rsid w:val="00D7375F"/>
    <w:rsid w:val="00D740CB"/>
    <w:rsid w:val="00D74528"/>
    <w:rsid w:val="00D74E48"/>
    <w:rsid w:val="00D75690"/>
    <w:rsid w:val="00D7574C"/>
    <w:rsid w:val="00D758B5"/>
    <w:rsid w:val="00D76849"/>
    <w:rsid w:val="00D76C8C"/>
    <w:rsid w:val="00D7701C"/>
    <w:rsid w:val="00D802F0"/>
    <w:rsid w:val="00D80557"/>
    <w:rsid w:val="00D80971"/>
    <w:rsid w:val="00D810E4"/>
    <w:rsid w:val="00D81E78"/>
    <w:rsid w:val="00D82ADE"/>
    <w:rsid w:val="00D82D32"/>
    <w:rsid w:val="00D83CA9"/>
    <w:rsid w:val="00D84108"/>
    <w:rsid w:val="00D8508D"/>
    <w:rsid w:val="00D85A66"/>
    <w:rsid w:val="00D85B1B"/>
    <w:rsid w:val="00D85BD9"/>
    <w:rsid w:val="00D86ADD"/>
    <w:rsid w:val="00D86D55"/>
    <w:rsid w:val="00D8759E"/>
    <w:rsid w:val="00D87664"/>
    <w:rsid w:val="00D877E3"/>
    <w:rsid w:val="00D87ACE"/>
    <w:rsid w:val="00D87D55"/>
    <w:rsid w:val="00D90140"/>
    <w:rsid w:val="00D91296"/>
    <w:rsid w:val="00D91F82"/>
    <w:rsid w:val="00D92C85"/>
    <w:rsid w:val="00D934EB"/>
    <w:rsid w:val="00D941A5"/>
    <w:rsid w:val="00D94E81"/>
    <w:rsid w:val="00D94F9B"/>
    <w:rsid w:val="00D95B9C"/>
    <w:rsid w:val="00D95C00"/>
    <w:rsid w:val="00D95D80"/>
    <w:rsid w:val="00D9625D"/>
    <w:rsid w:val="00D97617"/>
    <w:rsid w:val="00DA1DA6"/>
    <w:rsid w:val="00DA2AF8"/>
    <w:rsid w:val="00DA3018"/>
    <w:rsid w:val="00DA500F"/>
    <w:rsid w:val="00DA51F1"/>
    <w:rsid w:val="00DA538C"/>
    <w:rsid w:val="00DA61B2"/>
    <w:rsid w:val="00DA666E"/>
    <w:rsid w:val="00DB0814"/>
    <w:rsid w:val="00DB0EF1"/>
    <w:rsid w:val="00DB1D48"/>
    <w:rsid w:val="00DB1DB9"/>
    <w:rsid w:val="00DB2203"/>
    <w:rsid w:val="00DB221B"/>
    <w:rsid w:val="00DB2984"/>
    <w:rsid w:val="00DB2D35"/>
    <w:rsid w:val="00DB2EC9"/>
    <w:rsid w:val="00DB363C"/>
    <w:rsid w:val="00DB3C9B"/>
    <w:rsid w:val="00DB4067"/>
    <w:rsid w:val="00DB41CE"/>
    <w:rsid w:val="00DB41FB"/>
    <w:rsid w:val="00DB479E"/>
    <w:rsid w:val="00DB4C16"/>
    <w:rsid w:val="00DB6445"/>
    <w:rsid w:val="00DB6973"/>
    <w:rsid w:val="00DB709C"/>
    <w:rsid w:val="00DB757F"/>
    <w:rsid w:val="00DC01B6"/>
    <w:rsid w:val="00DC076C"/>
    <w:rsid w:val="00DC2089"/>
    <w:rsid w:val="00DC22A1"/>
    <w:rsid w:val="00DC26B1"/>
    <w:rsid w:val="00DC26DD"/>
    <w:rsid w:val="00DC2F94"/>
    <w:rsid w:val="00DC4260"/>
    <w:rsid w:val="00DC4917"/>
    <w:rsid w:val="00DC4D5B"/>
    <w:rsid w:val="00DC4FF5"/>
    <w:rsid w:val="00DC5A8B"/>
    <w:rsid w:val="00DC6565"/>
    <w:rsid w:val="00DC6DED"/>
    <w:rsid w:val="00DD0135"/>
    <w:rsid w:val="00DD0F45"/>
    <w:rsid w:val="00DD0F58"/>
    <w:rsid w:val="00DD127B"/>
    <w:rsid w:val="00DD146E"/>
    <w:rsid w:val="00DD19FC"/>
    <w:rsid w:val="00DD2EB7"/>
    <w:rsid w:val="00DD3AFD"/>
    <w:rsid w:val="00DD45FB"/>
    <w:rsid w:val="00DD460E"/>
    <w:rsid w:val="00DD620C"/>
    <w:rsid w:val="00DD7544"/>
    <w:rsid w:val="00DD7701"/>
    <w:rsid w:val="00DD79A7"/>
    <w:rsid w:val="00DE037F"/>
    <w:rsid w:val="00DE2132"/>
    <w:rsid w:val="00DE2DF9"/>
    <w:rsid w:val="00DE323F"/>
    <w:rsid w:val="00DE3AC4"/>
    <w:rsid w:val="00DE3AEB"/>
    <w:rsid w:val="00DE4B5E"/>
    <w:rsid w:val="00DE4B7B"/>
    <w:rsid w:val="00DE5282"/>
    <w:rsid w:val="00DE5379"/>
    <w:rsid w:val="00DE597C"/>
    <w:rsid w:val="00DE5C90"/>
    <w:rsid w:val="00DE64D7"/>
    <w:rsid w:val="00DE6FC3"/>
    <w:rsid w:val="00DE7129"/>
    <w:rsid w:val="00DE7D1E"/>
    <w:rsid w:val="00DE7E53"/>
    <w:rsid w:val="00DF0273"/>
    <w:rsid w:val="00DF0C19"/>
    <w:rsid w:val="00DF0E74"/>
    <w:rsid w:val="00DF1766"/>
    <w:rsid w:val="00DF28A9"/>
    <w:rsid w:val="00DF32EF"/>
    <w:rsid w:val="00DF4F39"/>
    <w:rsid w:val="00DF4FB3"/>
    <w:rsid w:val="00DF5364"/>
    <w:rsid w:val="00DF5FF6"/>
    <w:rsid w:val="00DF642D"/>
    <w:rsid w:val="00DF6539"/>
    <w:rsid w:val="00DF689C"/>
    <w:rsid w:val="00DF68F1"/>
    <w:rsid w:val="00DF6D28"/>
    <w:rsid w:val="00DF7FC8"/>
    <w:rsid w:val="00E0074F"/>
    <w:rsid w:val="00E00F5C"/>
    <w:rsid w:val="00E01068"/>
    <w:rsid w:val="00E01D81"/>
    <w:rsid w:val="00E026D5"/>
    <w:rsid w:val="00E02E20"/>
    <w:rsid w:val="00E038D5"/>
    <w:rsid w:val="00E0399D"/>
    <w:rsid w:val="00E03B10"/>
    <w:rsid w:val="00E047B6"/>
    <w:rsid w:val="00E058CF"/>
    <w:rsid w:val="00E05DAE"/>
    <w:rsid w:val="00E0601A"/>
    <w:rsid w:val="00E07145"/>
    <w:rsid w:val="00E10353"/>
    <w:rsid w:val="00E10CD9"/>
    <w:rsid w:val="00E11228"/>
    <w:rsid w:val="00E11426"/>
    <w:rsid w:val="00E11FF6"/>
    <w:rsid w:val="00E12738"/>
    <w:rsid w:val="00E1292B"/>
    <w:rsid w:val="00E12A12"/>
    <w:rsid w:val="00E12D36"/>
    <w:rsid w:val="00E13318"/>
    <w:rsid w:val="00E14B9E"/>
    <w:rsid w:val="00E14C32"/>
    <w:rsid w:val="00E15CDE"/>
    <w:rsid w:val="00E2053C"/>
    <w:rsid w:val="00E21324"/>
    <w:rsid w:val="00E21765"/>
    <w:rsid w:val="00E2244F"/>
    <w:rsid w:val="00E23033"/>
    <w:rsid w:val="00E23FD3"/>
    <w:rsid w:val="00E2430B"/>
    <w:rsid w:val="00E2685A"/>
    <w:rsid w:val="00E272DD"/>
    <w:rsid w:val="00E27461"/>
    <w:rsid w:val="00E30476"/>
    <w:rsid w:val="00E30BE1"/>
    <w:rsid w:val="00E31305"/>
    <w:rsid w:val="00E31B66"/>
    <w:rsid w:val="00E3246C"/>
    <w:rsid w:val="00E32686"/>
    <w:rsid w:val="00E326B1"/>
    <w:rsid w:val="00E32712"/>
    <w:rsid w:val="00E32853"/>
    <w:rsid w:val="00E34353"/>
    <w:rsid w:val="00E34687"/>
    <w:rsid w:val="00E34FAC"/>
    <w:rsid w:val="00E3549C"/>
    <w:rsid w:val="00E35B46"/>
    <w:rsid w:val="00E35CDC"/>
    <w:rsid w:val="00E36FDE"/>
    <w:rsid w:val="00E37079"/>
    <w:rsid w:val="00E37338"/>
    <w:rsid w:val="00E37393"/>
    <w:rsid w:val="00E37FD8"/>
    <w:rsid w:val="00E41AC3"/>
    <w:rsid w:val="00E42B4D"/>
    <w:rsid w:val="00E445C3"/>
    <w:rsid w:val="00E44C42"/>
    <w:rsid w:val="00E4544D"/>
    <w:rsid w:val="00E45E41"/>
    <w:rsid w:val="00E4665F"/>
    <w:rsid w:val="00E46D83"/>
    <w:rsid w:val="00E52B52"/>
    <w:rsid w:val="00E52E9A"/>
    <w:rsid w:val="00E52FC9"/>
    <w:rsid w:val="00E5349B"/>
    <w:rsid w:val="00E537CA"/>
    <w:rsid w:val="00E5442A"/>
    <w:rsid w:val="00E54430"/>
    <w:rsid w:val="00E54463"/>
    <w:rsid w:val="00E54F24"/>
    <w:rsid w:val="00E54F65"/>
    <w:rsid w:val="00E55404"/>
    <w:rsid w:val="00E55A69"/>
    <w:rsid w:val="00E56156"/>
    <w:rsid w:val="00E561B2"/>
    <w:rsid w:val="00E567B1"/>
    <w:rsid w:val="00E56D5F"/>
    <w:rsid w:val="00E5766F"/>
    <w:rsid w:val="00E57A77"/>
    <w:rsid w:val="00E57B92"/>
    <w:rsid w:val="00E57B94"/>
    <w:rsid w:val="00E610F6"/>
    <w:rsid w:val="00E61E90"/>
    <w:rsid w:val="00E61F1B"/>
    <w:rsid w:val="00E621B6"/>
    <w:rsid w:val="00E62811"/>
    <w:rsid w:val="00E632F1"/>
    <w:rsid w:val="00E63A03"/>
    <w:rsid w:val="00E63E64"/>
    <w:rsid w:val="00E650BE"/>
    <w:rsid w:val="00E6530B"/>
    <w:rsid w:val="00E6669F"/>
    <w:rsid w:val="00E66E8F"/>
    <w:rsid w:val="00E70052"/>
    <w:rsid w:val="00E70377"/>
    <w:rsid w:val="00E71273"/>
    <w:rsid w:val="00E71C63"/>
    <w:rsid w:val="00E724D4"/>
    <w:rsid w:val="00E739C3"/>
    <w:rsid w:val="00E73D96"/>
    <w:rsid w:val="00E7402F"/>
    <w:rsid w:val="00E7432D"/>
    <w:rsid w:val="00E74965"/>
    <w:rsid w:val="00E74AD0"/>
    <w:rsid w:val="00E74D96"/>
    <w:rsid w:val="00E756EE"/>
    <w:rsid w:val="00E758E2"/>
    <w:rsid w:val="00E75BCB"/>
    <w:rsid w:val="00E76A2E"/>
    <w:rsid w:val="00E76F09"/>
    <w:rsid w:val="00E77351"/>
    <w:rsid w:val="00E77466"/>
    <w:rsid w:val="00E77AA6"/>
    <w:rsid w:val="00E80C12"/>
    <w:rsid w:val="00E81A60"/>
    <w:rsid w:val="00E81B5B"/>
    <w:rsid w:val="00E82142"/>
    <w:rsid w:val="00E823EA"/>
    <w:rsid w:val="00E82400"/>
    <w:rsid w:val="00E82E41"/>
    <w:rsid w:val="00E832C2"/>
    <w:rsid w:val="00E844C0"/>
    <w:rsid w:val="00E846B8"/>
    <w:rsid w:val="00E84ED9"/>
    <w:rsid w:val="00E850AD"/>
    <w:rsid w:val="00E857A2"/>
    <w:rsid w:val="00E86B1D"/>
    <w:rsid w:val="00E87584"/>
    <w:rsid w:val="00E87D3E"/>
    <w:rsid w:val="00E87F3C"/>
    <w:rsid w:val="00E90085"/>
    <w:rsid w:val="00E90FC3"/>
    <w:rsid w:val="00E911CA"/>
    <w:rsid w:val="00E922E5"/>
    <w:rsid w:val="00E925D7"/>
    <w:rsid w:val="00E930EF"/>
    <w:rsid w:val="00E9346C"/>
    <w:rsid w:val="00E93C22"/>
    <w:rsid w:val="00E947B3"/>
    <w:rsid w:val="00E94AA3"/>
    <w:rsid w:val="00E95341"/>
    <w:rsid w:val="00E95EF9"/>
    <w:rsid w:val="00E96139"/>
    <w:rsid w:val="00E96B4E"/>
    <w:rsid w:val="00E973D2"/>
    <w:rsid w:val="00EA00C0"/>
    <w:rsid w:val="00EA0312"/>
    <w:rsid w:val="00EA0398"/>
    <w:rsid w:val="00EA14AB"/>
    <w:rsid w:val="00EA1D0A"/>
    <w:rsid w:val="00EA1EA4"/>
    <w:rsid w:val="00EA237D"/>
    <w:rsid w:val="00EA2C9A"/>
    <w:rsid w:val="00EA31D0"/>
    <w:rsid w:val="00EA3DD3"/>
    <w:rsid w:val="00EA41A4"/>
    <w:rsid w:val="00EA46DA"/>
    <w:rsid w:val="00EA4823"/>
    <w:rsid w:val="00EA4B74"/>
    <w:rsid w:val="00EA4CD7"/>
    <w:rsid w:val="00EA6394"/>
    <w:rsid w:val="00EA6581"/>
    <w:rsid w:val="00EA70FE"/>
    <w:rsid w:val="00EA7B38"/>
    <w:rsid w:val="00EB02A2"/>
    <w:rsid w:val="00EB0481"/>
    <w:rsid w:val="00EB0B1A"/>
    <w:rsid w:val="00EB0D78"/>
    <w:rsid w:val="00EB0F24"/>
    <w:rsid w:val="00EB1B53"/>
    <w:rsid w:val="00EB2282"/>
    <w:rsid w:val="00EB25B5"/>
    <w:rsid w:val="00EB31A1"/>
    <w:rsid w:val="00EB3737"/>
    <w:rsid w:val="00EB3981"/>
    <w:rsid w:val="00EB3A71"/>
    <w:rsid w:val="00EB4127"/>
    <w:rsid w:val="00EB49DD"/>
    <w:rsid w:val="00EB4BFE"/>
    <w:rsid w:val="00EB501E"/>
    <w:rsid w:val="00EB52A2"/>
    <w:rsid w:val="00EB572A"/>
    <w:rsid w:val="00EB57CE"/>
    <w:rsid w:val="00EB6299"/>
    <w:rsid w:val="00EB72EE"/>
    <w:rsid w:val="00EB775A"/>
    <w:rsid w:val="00EC09ED"/>
    <w:rsid w:val="00EC0A65"/>
    <w:rsid w:val="00EC204D"/>
    <w:rsid w:val="00EC2FE2"/>
    <w:rsid w:val="00EC50FC"/>
    <w:rsid w:val="00EC633D"/>
    <w:rsid w:val="00EC781C"/>
    <w:rsid w:val="00ED01EF"/>
    <w:rsid w:val="00ED0447"/>
    <w:rsid w:val="00ED1564"/>
    <w:rsid w:val="00ED2C60"/>
    <w:rsid w:val="00ED2DD7"/>
    <w:rsid w:val="00ED2F0C"/>
    <w:rsid w:val="00ED36DE"/>
    <w:rsid w:val="00ED3BB0"/>
    <w:rsid w:val="00ED4460"/>
    <w:rsid w:val="00ED4B78"/>
    <w:rsid w:val="00ED4EDC"/>
    <w:rsid w:val="00ED5EBA"/>
    <w:rsid w:val="00ED68A7"/>
    <w:rsid w:val="00ED6C7E"/>
    <w:rsid w:val="00EE25F0"/>
    <w:rsid w:val="00EE302D"/>
    <w:rsid w:val="00EE32C9"/>
    <w:rsid w:val="00EE32E9"/>
    <w:rsid w:val="00EE4E65"/>
    <w:rsid w:val="00EE5850"/>
    <w:rsid w:val="00EE5FCF"/>
    <w:rsid w:val="00EE64B8"/>
    <w:rsid w:val="00EF0C11"/>
    <w:rsid w:val="00EF1982"/>
    <w:rsid w:val="00EF392D"/>
    <w:rsid w:val="00EF3C24"/>
    <w:rsid w:val="00EF4E0E"/>
    <w:rsid w:val="00EF56C4"/>
    <w:rsid w:val="00EF5818"/>
    <w:rsid w:val="00F00197"/>
    <w:rsid w:val="00F03AFB"/>
    <w:rsid w:val="00F042A8"/>
    <w:rsid w:val="00F043F0"/>
    <w:rsid w:val="00F04E70"/>
    <w:rsid w:val="00F050F2"/>
    <w:rsid w:val="00F05655"/>
    <w:rsid w:val="00F07D80"/>
    <w:rsid w:val="00F102D5"/>
    <w:rsid w:val="00F10A99"/>
    <w:rsid w:val="00F11AAB"/>
    <w:rsid w:val="00F12459"/>
    <w:rsid w:val="00F131E1"/>
    <w:rsid w:val="00F13440"/>
    <w:rsid w:val="00F13558"/>
    <w:rsid w:val="00F13CD9"/>
    <w:rsid w:val="00F142C4"/>
    <w:rsid w:val="00F1446E"/>
    <w:rsid w:val="00F14CFC"/>
    <w:rsid w:val="00F14CFD"/>
    <w:rsid w:val="00F15109"/>
    <w:rsid w:val="00F1520A"/>
    <w:rsid w:val="00F15575"/>
    <w:rsid w:val="00F15900"/>
    <w:rsid w:val="00F16250"/>
    <w:rsid w:val="00F16423"/>
    <w:rsid w:val="00F1643D"/>
    <w:rsid w:val="00F164CB"/>
    <w:rsid w:val="00F16648"/>
    <w:rsid w:val="00F166A0"/>
    <w:rsid w:val="00F1709D"/>
    <w:rsid w:val="00F170FE"/>
    <w:rsid w:val="00F179D1"/>
    <w:rsid w:val="00F2028F"/>
    <w:rsid w:val="00F20808"/>
    <w:rsid w:val="00F21446"/>
    <w:rsid w:val="00F219F9"/>
    <w:rsid w:val="00F21DC2"/>
    <w:rsid w:val="00F2251E"/>
    <w:rsid w:val="00F22666"/>
    <w:rsid w:val="00F22E8F"/>
    <w:rsid w:val="00F24733"/>
    <w:rsid w:val="00F25C60"/>
    <w:rsid w:val="00F261C3"/>
    <w:rsid w:val="00F263BD"/>
    <w:rsid w:val="00F3072A"/>
    <w:rsid w:val="00F30735"/>
    <w:rsid w:val="00F307A2"/>
    <w:rsid w:val="00F30942"/>
    <w:rsid w:val="00F31736"/>
    <w:rsid w:val="00F31A8E"/>
    <w:rsid w:val="00F31F36"/>
    <w:rsid w:val="00F31FD2"/>
    <w:rsid w:val="00F32AA2"/>
    <w:rsid w:val="00F33177"/>
    <w:rsid w:val="00F33B11"/>
    <w:rsid w:val="00F343B0"/>
    <w:rsid w:val="00F34952"/>
    <w:rsid w:val="00F34AFE"/>
    <w:rsid w:val="00F36A03"/>
    <w:rsid w:val="00F36C85"/>
    <w:rsid w:val="00F40010"/>
    <w:rsid w:val="00F406E5"/>
    <w:rsid w:val="00F408AB"/>
    <w:rsid w:val="00F40D1C"/>
    <w:rsid w:val="00F41213"/>
    <w:rsid w:val="00F41ED9"/>
    <w:rsid w:val="00F42A23"/>
    <w:rsid w:val="00F42F11"/>
    <w:rsid w:val="00F43C4D"/>
    <w:rsid w:val="00F45446"/>
    <w:rsid w:val="00F45620"/>
    <w:rsid w:val="00F45C97"/>
    <w:rsid w:val="00F4655D"/>
    <w:rsid w:val="00F469A9"/>
    <w:rsid w:val="00F46D24"/>
    <w:rsid w:val="00F47352"/>
    <w:rsid w:val="00F477B7"/>
    <w:rsid w:val="00F47B94"/>
    <w:rsid w:val="00F47BAB"/>
    <w:rsid w:val="00F5038D"/>
    <w:rsid w:val="00F5142D"/>
    <w:rsid w:val="00F51F44"/>
    <w:rsid w:val="00F52C46"/>
    <w:rsid w:val="00F53826"/>
    <w:rsid w:val="00F53E15"/>
    <w:rsid w:val="00F55272"/>
    <w:rsid w:val="00F55457"/>
    <w:rsid w:val="00F5658C"/>
    <w:rsid w:val="00F57920"/>
    <w:rsid w:val="00F57CF8"/>
    <w:rsid w:val="00F57E81"/>
    <w:rsid w:val="00F60050"/>
    <w:rsid w:val="00F603BA"/>
    <w:rsid w:val="00F61193"/>
    <w:rsid w:val="00F6169F"/>
    <w:rsid w:val="00F62466"/>
    <w:rsid w:val="00F62A1B"/>
    <w:rsid w:val="00F636AF"/>
    <w:rsid w:val="00F64171"/>
    <w:rsid w:val="00F64220"/>
    <w:rsid w:val="00F6429D"/>
    <w:rsid w:val="00F647ED"/>
    <w:rsid w:val="00F64F27"/>
    <w:rsid w:val="00F65D06"/>
    <w:rsid w:val="00F6630D"/>
    <w:rsid w:val="00F705A4"/>
    <w:rsid w:val="00F70D54"/>
    <w:rsid w:val="00F7258F"/>
    <w:rsid w:val="00F72FF8"/>
    <w:rsid w:val="00F73495"/>
    <w:rsid w:val="00F73BC3"/>
    <w:rsid w:val="00F73E57"/>
    <w:rsid w:val="00F74219"/>
    <w:rsid w:val="00F74DE4"/>
    <w:rsid w:val="00F756AA"/>
    <w:rsid w:val="00F76CC3"/>
    <w:rsid w:val="00F76D18"/>
    <w:rsid w:val="00F7724B"/>
    <w:rsid w:val="00F77B22"/>
    <w:rsid w:val="00F77EBA"/>
    <w:rsid w:val="00F802D7"/>
    <w:rsid w:val="00F80657"/>
    <w:rsid w:val="00F81B48"/>
    <w:rsid w:val="00F822FF"/>
    <w:rsid w:val="00F8261D"/>
    <w:rsid w:val="00F82F64"/>
    <w:rsid w:val="00F835B3"/>
    <w:rsid w:val="00F83BC2"/>
    <w:rsid w:val="00F84183"/>
    <w:rsid w:val="00F850FA"/>
    <w:rsid w:val="00F856B3"/>
    <w:rsid w:val="00F85900"/>
    <w:rsid w:val="00F863DC"/>
    <w:rsid w:val="00F878B2"/>
    <w:rsid w:val="00F90972"/>
    <w:rsid w:val="00F910E3"/>
    <w:rsid w:val="00F9123C"/>
    <w:rsid w:val="00F91515"/>
    <w:rsid w:val="00F91E02"/>
    <w:rsid w:val="00F91E5E"/>
    <w:rsid w:val="00F921A8"/>
    <w:rsid w:val="00F926A8"/>
    <w:rsid w:val="00F928CC"/>
    <w:rsid w:val="00F92BB0"/>
    <w:rsid w:val="00F92CE4"/>
    <w:rsid w:val="00F93BD8"/>
    <w:rsid w:val="00F93FFA"/>
    <w:rsid w:val="00F94119"/>
    <w:rsid w:val="00F94C60"/>
    <w:rsid w:val="00F957BF"/>
    <w:rsid w:val="00F9597E"/>
    <w:rsid w:val="00F959E5"/>
    <w:rsid w:val="00FA09E6"/>
    <w:rsid w:val="00FA1364"/>
    <w:rsid w:val="00FA145F"/>
    <w:rsid w:val="00FA179E"/>
    <w:rsid w:val="00FA1DD8"/>
    <w:rsid w:val="00FA2072"/>
    <w:rsid w:val="00FA46B9"/>
    <w:rsid w:val="00FA49B2"/>
    <w:rsid w:val="00FA4F01"/>
    <w:rsid w:val="00FA5338"/>
    <w:rsid w:val="00FA6214"/>
    <w:rsid w:val="00FA7A43"/>
    <w:rsid w:val="00FB0828"/>
    <w:rsid w:val="00FB2249"/>
    <w:rsid w:val="00FB2ADA"/>
    <w:rsid w:val="00FB2B13"/>
    <w:rsid w:val="00FB2F1C"/>
    <w:rsid w:val="00FB4E59"/>
    <w:rsid w:val="00FB59E3"/>
    <w:rsid w:val="00FB606B"/>
    <w:rsid w:val="00FB64D1"/>
    <w:rsid w:val="00FB6772"/>
    <w:rsid w:val="00FB71F4"/>
    <w:rsid w:val="00FB7825"/>
    <w:rsid w:val="00FB7BAC"/>
    <w:rsid w:val="00FC06A3"/>
    <w:rsid w:val="00FC0D55"/>
    <w:rsid w:val="00FC1022"/>
    <w:rsid w:val="00FC1F39"/>
    <w:rsid w:val="00FC270E"/>
    <w:rsid w:val="00FC2929"/>
    <w:rsid w:val="00FC3C52"/>
    <w:rsid w:val="00FC3D13"/>
    <w:rsid w:val="00FC3D5E"/>
    <w:rsid w:val="00FC3D75"/>
    <w:rsid w:val="00FC3F98"/>
    <w:rsid w:val="00FC5029"/>
    <w:rsid w:val="00FC5656"/>
    <w:rsid w:val="00FC6251"/>
    <w:rsid w:val="00FC7945"/>
    <w:rsid w:val="00FD1D81"/>
    <w:rsid w:val="00FD20F3"/>
    <w:rsid w:val="00FD27ED"/>
    <w:rsid w:val="00FD2D04"/>
    <w:rsid w:val="00FD3C4D"/>
    <w:rsid w:val="00FD4D1D"/>
    <w:rsid w:val="00FD4D2D"/>
    <w:rsid w:val="00FD5622"/>
    <w:rsid w:val="00FD5DB1"/>
    <w:rsid w:val="00FD600D"/>
    <w:rsid w:val="00FD6D36"/>
    <w:rsid w:val="00FD7280"/>
    <w:rsid w:val="00FD7F91"/>
    <w:rsid w:val="00FE0030"/>
    <w:rsid w:val="00FE067E"/>
    <w:rsid w:val="00FE0FD2"/>
    <w:rsid w:val="00FE0FE6"/>
    <w:rsid w:val="00FE104C"/>
    <w:rsid w:val="00FE1882"/>
    <w:rsid w:val="00FE1895"/>
    <w:rsid w:val="00FE18EC"/>
    <w:rsid w:val="00FE23C0"/>
    <w:rsid w:val="00FE2515"/>
    <w:rsid w:val="00FE2C7F"/>
    <w:rsid w:val="00FE2EB8"/>
    <w:rsid w:val="00FE32C8"/>
    <w:rsid w:val="00FE32D6"/>
    <w:rsid w:val="00FE3449"/>
    <w:rsid w:val="00FE3A15"/>
    <w:rsid w:val="00FE3D8A"/>
    <w:rsid w:val="00FE5561"/>
    <w:rsid w:val="00FE58EF"/>
    <w:rsid w:val="00FE61D4"/>
    <w:rsid w:val="00FE7699"/>
    <w:rsid w:val="00FF1489"/>
    <w:rsid w:val="00FF188E"/>
    <w:rsid w:val="00FF2347"/>
    <w:rsid w:val="00FF23BF"/>
    <w:rsid w:val="00FF3474"/>
    <w:rsid w:val="00FF3B14"/>
    <w:rsid w:val="00FF3C28"/>
    <w:rsid w:val="00FF41C6"/>
    <w:rsid w:val="00FF434E"/>
    <w:rsid w:val="00FF44C6"/>
    <w:rsid w:val="00FF456F"/>
    <w:rsid w:val="00FF47C3"/>
    <w:rsid w:val="00FF4E8B"/>
    <w:rsid w:val="00FF5410"/>
    <w:rsid w:val="00FF602B"/>
    <w:rsid w:val="00FF73AD"/>
    <w:rsid w:val="00FF73F2"/>
    <w:rsid w:val="07311D96"/>
    <w:rsid w:val="07D937B4"/>
    <w:rsid w:val="16500E73"/>
    <w:rsid w:val="16E04272"/>
    <w:rsid w:val="198369DC"/>
    <w:rsid w:val="1D664248"/>
    <w:rsid w:val="1DE25D58"/>
    <w:rsid w:val="1F953961"/>
    <w:rsid w:val="1FE3205D"/>
    <w:rsid w:val="218162D6"/>
    <w:rsid w:val="21EA1E27"/>
    <w:rsid w:val="225F2A39"/>
    <w:rsid w:val="27FA7BDC"/>
    <w:rsid w:val="2B707ADC"/>
    <w:rsid w:val="2C2C6C04"/>
    <w:rsid w:val="33AB2BDC"/>
    <w:rsid w:val="359471A6"/>
    <w:rsid w:val="3DB44648"/>
    <w:rsid w:val="3FF27C03"/>
    <w:rsid w:val="41193ED7"/>
    <w:rsid w:val="41EA4975"/>
    <w:rsid w:val="45B45068"/>
    <w:rsid w:val="46825E15"/>
    <w:rsid w:val="5CB061C8"/>
    <w:rsid w:val="5EA833F6"/>
    <w:rsid w:val="64A977B5"/>
    <w:rsid w:val="69D5744E"/>
    <w:rsid w:val="6CA639CD"/>
    <w:rsid w:val="725A5DC2"/>
    <w:rsid w:val="752E2655"/>
    <w:rsid w:val="7ACE75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482768"/>
  <w15:docId w15:val="{1C910675-E129-43C7-AD3A-C401FD9B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auto"/>
      <w:ind w:firstLineChars="200" w:firstLine="480"/>
      <w:jc w:val="both"/>
    </w:pPr>
    <w:rPr>
      <w:rFonts w:ascii="Times New Roman" w:hAnsi="Times New Roman" w:cs="Times New Roman"/>
      <w:kern w:val="2"/>
      <w:sz w:val="24"/>
      <w:szCs w:val="22"/>
    </w:rPr>
  </w:style>
  <w:style w:type="paragraph" w:styleId="1">
    <w:name w:val="heading 1"/>
    <w:basedOn w:val="a"/>
    <w:next w:val="a"/>
    <w:link w:val="10"/>
    <w:uiPriority w:val="9"/>
    <w:qFormat/>
    <w:pPr>
      <w:keepNext/>
      <w:keepLines/>
      <w:spacing w:before="480" w:after="360"/>
      <w:ind w:firstLineChars="0" w:firstLine="0"/>
      <w:jc w:val="center"/>
      <w:outlineLvl w:val="0"/>
    </w:pPr>
    <w:rPr>
      <w:rFonts w:eastAsia="黑体"/>
      <w:b/>
      <w:bCs/>
      <w:kern w:val="44"/>
      <w:sz w:val="28"/>
      <w:szCs w:val="44"/>
    </w:rPr>
  </w:style>
  <w:style w:type="paragraph" w:styleId="2">
    <w:name w:val="heading 2"/>
    <w:basedOn w:val="a"/>
    <w:next w:val="a"/>
    <w:link w:val="20"/>
    <w:uiPriority w:val="9"/>
    <w:unhideWhenUsed/>
    <w:qFormat/>
    <w:pPr>
      <w:keepNext/>
      <w:keepLines/>
      <w:numPr>
        <w:numId w:val="1"/>
      </w:numPr>
      <w:spacing w:before="480" w:after="120"/>
      <w:ind w:firstLineChars="0" w:firstLine="0"/>
      <w:outlineLvl w:val="1"/>
    </w:pPr>
    <w:rPr>
      <w:b/>
      <w:bCs/>
      <w:sz w:val="28"/>
      <w:szCs w:val="28"/>
    </w:rPr>
  </w:style>
  <w:style w:type="paragraph" w:styleId="3">
    <w:name w:val="heading 3"/>
    <w:basedOn w:val="a"/>
    <w:next w:val="a"/>
    <w:link w:val="30"/>
    <w:uiPriority w:val="9"/>
    <w:unhideWhenUsed/>
    <w:qFormat/>
    <w:pPr>
      <w:keepNext/>
      <w:keepLines/>
      <w:numPr>
        <w:ilvl w:val="1"/>
        <w:numId w:val="1"/>
      </w:numPr>
      <w:spacing w:before="240" w:after="120"/>
      <w:ind w:left="0" w:firstLineChars="0" w:firstLine="0"/>
      <w:outlineLvl w:val="2"/>
    </w:pPr>
    <w:rPr>
      <w:sz w:val="28"/>
      <w:szCs w:val="28"/>
    </w:rPr>
  </w:style>
  <w:style w:type="paragraph" w:styleId="4">
    <w:name w:val="heading 4"/>
    <w:basedOn w:val="a"/>
    <w:next w:val="a"/>
    <w:link w:val="40"/>
    <w:uiPriority w:val="9"/>
    <w:unhideWhenUsed/>
    <w:qFormat/>
    <w:pPr>
      <w:keepNext/>
      <w:keepLines/>
      <w:spacing w:before="240" w:after="120"/>
      <w:ind w:firstLineChars="0" w:firstLine="0"/>
      <w:outlineLvl w:val="3"/>
    </w:pPr>
    <w:rPr>
      <w:rFonts w:eastAsia="黑体"/>
      <w:szCs w:val="24"/>
    </w:rPr>
  </w:style>
  <w:style w:type="paragraph" w:styleId="5">
    <w:name w:val="heading 5"/>
    <w:basedOn w:val="a"/>
    <w:next w:val="a"/>
    <w:link w:val="50"/>
    <w:uiPriority w:val="9"/>
    <w:semiHidden/>
    <w:unhideWhenUsed/>
    <w:qFormat/>
    <w:pPr>
      <w:keepNext/>
      <w:keepLines/>
      <w:spacing w:before="280" w:after="290" w:line="376" w:lineRule="auto"/>
      <w:ind w:firstLineChars="0" w:firstLine="0"/>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ind w:firstLineChars="0" w:firstLine="0"/>
      <w:outlineLvl w:val="5"/>
    </w:pPr>
    <w:rPr>
      <w:rFonts w:asciiTheme="majorHAnsi" w:eastAsiaTheme="majorEastAsia" w:hAnsiTheme="majorHAnsi" w:cstheme="majorBidi"/>
      <w:b/>
      <w:bCs/>
      <w:szCs w:val="24"/>
    </w:rPr>
  </w:style>
  <w:style w:type="paragraph" w:styleId="7">
    <w:name w:val="heading 7"/>
    <w:basedOn w:val="a"/>
    <w:next w:val="a"/>
    <w:link w:val="70"/>
    <w:uiPriority w:val="9"/>
    <w:semiHidden/>
    <w:unhideWhenUsed/>
    <w:qFormat/>
    <w:pPr>
      <w:keepNext/>
      <w:keepLines/>
      <w:spacing w:before="240" w:after="64" w:line="320" w:lineRule="auto"/>
      <w:ind w:firstLineChars="0" w:firstLine="0"/>
      <w:outlineLvl w:val="6"/>
    </w:pPr>
    <w:rPr>
      <w:b/>
      <w:bCs/>
      <w:szCs w:val="24"/>
    </w:rPr>
  </w:style>
  <w:style w:type="paragraph" w:styleId="8">
    <w:name w:val="heading 8"/>
    <w:basedOn w:val="a"/>
    <w:next w:val="a"/>
    <w:link w:val="80"/>
    <w:uiPriority w:val="9"/>
    <w:semiHidden/>
    <w:unhideWhenUsed/>
    <w:qFormat/>
    <w:pPr>
      <w:keepNext/>
      <w:keepLines/>
      <w:spacing w:before="240" w:after="64" w:line="320" w:lineRule="auto"/>
      <w:ind w:firstLineChars="0" w:firstLine="0"/>
      <w:outlineLvl w:val="7"/>
    </w:pPr>
    <w:rPr>
      <w:rFonts w:asciiTheme="majorHAnsi" w:eastAsiaTheme="majorEastAsia" w:hAnsiTheme="majorHAnsi" w:cstheme="majorBidi"/>
      <w:szCs w:val="24"/>
    </w:rPr>
  </w:style>
  <w:style w:type="paragraph" w:styleId="9">
    <w:name w:val="heading 9"/>
    <w:basedOn w:val="a"/>
    <w:next w:val="a"/>
    <w:link w:val="90"/>
    <w:uiPriority w:val="9"/>
    <w:semiHidden/>
    <w:unhideWhenUsed/>
    <w:qFormat/>
    <w:pPr>
      <w:keepNext/>
      <w:keepLines/>
      <w:spacing w:before="240" w:after="64" w:line="320" w:lineRule="auto"/>
      <w:ind w:firstLineChars="0" w:firstLine="0"/>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unhideWhenUsed/>
    <w:qFormat/>
    <w:pPr>
      <w:spacing w:before="120" w:after="240" w:line="240" w:lineRule="auto"/>
      <w:ind w:firstLineChars="0" w:firstLine="0"/>
    </w:pPr>
    <w:rPr>
      <w:bCs/>
      <w:sz w:val="21"/>
      <w:szCs w:val="21"/>
    </w:rPr>
  </w:style>
  <w:style w:type="paragraph" w:styleId="a5">
    <w:name w:val="annotation text"/>
    <w:basedOn w:val="a"/>
    <w:link w:val="a6"/>
    <w:uiPriority w:val="99"/>
    <w:unhideWhenUsed/>
    <w:qFormat/>
  </w:style>
  <w:style w:type="paragraph" w:styleId="a7">
    <w:name w:val="Body Text"/>
    <w:basedOn w:val="a"/>
    <w:link w:val="a8"/>
    <w:uiPriority w:val="99"/>
    <w:semiHidden/>
    <w:unhideWhenUsed/>
    <w:qFormat/>
    <w:pPr>
      <w:spacing w:after="120"/>
    </w:pPr>
  </w:style>
  <w:style w:type="paragraph" w:styleId="a9">
    <w:name w:val="Body Text Indent"/>
    <w:basedOn w:val="a"/>
    <w:link w:val="aa"/>
    <w:qFormat/>
    <w:pPr>
      <w:ind w:firstLine="560"/>
    </w:pPr>
    <w:rPr>
      <w:rFonts w:ascii="等线" w:eastAsia="等线" w:hAnsi="等线"/>
      <w:sz w:val="28"/>
      <w:szCs w:val="28"/>
    </w:rPr>
  </w:style>
  <w:style w:type="paragraph" w:styleId="TOC3">
    <w:name w:val="toc 3"/>
    <w:basedOn w:val="a"/>
    <w:next w:val="a"/>
    <w:uiPriority w:val="39"/>
    <w:unhideWhenUsed/>
    <w:qFormat/>
    <w:pPr>
      <w:widowControl/>
      <w:spacing w:before="120"/>
      <w:contextualSpacing/>
    </w:pPr>
    <w:rPr>
      <w:rFonts w:eastAsia="黑体"/>
      <w:kern w:val="0"/>
    </w:rPr>
  </w:style>
  <w:style w:type="paragraph" w:styleId="21">
    <w:name w:val="Body Text Indent 2"/>
    <w:basedOn w:val="a"/>
    <w:link w:val="22"/>
    <w:uiPriority w:val="99"/>
    <w:semiHidden/>
    <w:unhideWhenUsed/>
    <w:qFormat/>
    <w:pPr>
      <w:spacing w:after="120"/>
      <w:ind w:leftChars="200" w:left="420"/>
    </w:pPr>
  </w:style>
  <w:style w:type="paragraph" w:styleId="ab">
    <w:name w:val="endnote text"/>
    <w:basedOn w:val="a"/>
    <w:link w:val="ac"/>
    <w:uiPriority w:val="99"/>
    <w:unhideWhenUsed/>
    <w:qFormat/>
    <w:pPr>
      <w:snapToGrid w:val="0"/>
      <w:ind w:firstLineChars="0" w:firstLine="0"/>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296"/>
      </w:tabs>
      <w:adjustRightInd w:val="0"/>
      <w:snapToGrid w:val="0"/>
      <w:spacing w:line="360" w:lineRule="exact"/>
      <w:ind w:firstLineChars="0" w:firstLine="0"/>
    </w:pPr>
    <w:rPr>
      <w:b/>
      <w:bCs/>
      <w:spacing w:val="35"/>
      <w:szCs w:val="24"/>
      <w14:numSpacing w14:val="tabular"/>
    </w:rPr>
  </w:style>
  <w:style w:type="paragraph" w:styleId="af3">
    <w:name w:val="footnote text"/>
    <w:basedOn w:val="a"/>
    <w:link w:val="af4"/>
    <w:uiPriority w:val="99"/>
    <w:semiHidden/>
    <w:unhideWhenUsed/>
    <w:qFormat/>
    <w:pPr>
      <w:snapToGrid w:val="0"/>
    </w:pPr>
    <w:rPr>
      <w:sz w:val="18"/>
      <w:szCs w:val="18"/>
    </w:rPr>
  </w:style>
  <w:style w:type="paragraph" w:styleId="af5">
    <w:name w:val="table of figures"/>
    <w:basedOn w:val="a"/>
    <w:next w:val="a"/>
    <w:uiPriority w:val="99"/>
    <w:unhideWhenUsed/>
    <w:qFormat/>
    <w:pPr>
      <w:snapToGrid w:val="0"/>
      <w:spacing w:before="120"/>
      <w:ind w:firstLineChars="0" w:firstLine="0"/>
    </w:pPr>
    <w:rPr>
      <w:rFonts w:eastAsia="黑体"/>
      <w:sz w:val="28"/>
    </w:rPr>
  </w:style>
  <w:style w:type="paragraph" w:styleId="TOC2">
    <w:name w:val="toc 2"/>
    <w:basedOn w:val="a"/>
    <w:next w:val="a"/>
    <w:uiPriority w:val="39"/>
    <w:unhideWhenUsed/>
    <w:qFormat/>
    <w:pPr>
      <w:tabs>
        <w:tab w:val="right" w:leader="dot" w:pos="8302"/>
      </w:tabs>
      <w:spacing w:before="120" w:line="360" w:lineRule="exact"/>
      <w:ind w:firstLineChars="100" w:firstLine="240"/>
      <w:contextualSpacing/>
    </w:pPr>
    <w:rPr>
      <w:kern w:val="24"/>
      <w:szCs w:val="24"/>
    </w:rPr>
  </w:style>
  <w:style w:type="paragraph" w:styleId="af6">
    <w:name w:val="Normal (Web)"/>
    <w:basedOn w:val="a"/>
    <w:uiPriority w:val="99"/>
    <w:unhideWhenUsed/>
    <w:qFormat/>
    <w:pPr>
      <w:widowControl/>
      <w:spacing w:before="100" w:beforeAutospacing="1" w:after="100" w:afterAutospacing="1"/>
      <w:ind w:firstLineChars="0" w:firstLine="0"/>
    </w:pPr>
    <w:rPr>
      <w:rFonts w:ascii="宋体" w:hAnsi="宋体" w:cs="宋体"/>
      <w:kern w:val="0"/>
      <w:szCs w:val="24"/>
    </w:rPr>
  </w:style>
  <w:style w:type="paragraph" w:styleId="af7">
    <w:name w:val="annotation subject"/>
    <w:basedOn w:val="a5"/>
    <w:next w:val="a5"/>
    <w:link w:val="af8"/>
    <w:uiPriority w:val="99"/>
    <w:semiHidden/>
    <w:unhideWhenUsed/>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Pr>
      <w:b/>
      <w:bCs/>
    </w:rPr>
  </w:style>
  <w:style w:type="character" w:styleId="afb">
    <w:name w:val="endnote reference"/>
    <w:basedOn w:val="a0"/>
    <w:uiPriority w:val="99"/>
    <w:unhideWhenUsed/>
    <w:qFormat/>
    <w:rPr>
      <w:vertAlign w:val="superscript"/>
    </w:rPr>
  </w:style>
  <w:style w:type="character" w:styleId="afc">
    <w:name w:val="FollowedHyperlink"/>
    <w:basedOn w:val="a0"/>
    <w:uiPriority w:val="99"/>
    <w:semiHidden/>
    <w:unhideWhenUsed/>
    <w:qFormat/>
    <w:rPr>
      <w:color w:val="954F72" w:themeColor="followedHyperlink"/>
      <w:u w:val="single"/>
    </w:rPr>
  </w:style>
  <w:style w:type="character" w:styleId="afd">
    <w:name w:val="Emphasis"/>
    <w:basedOn w:val="a0"/>
    <w:uiPriority w:val="20"/>
    <w:qFormat/>
    <w:rPr>
      <w:i/>
      <w:iCs/>
    </w:rPr>
  </w:style>
  <w:style w:type="character" w:styleId="afe">
    <w:name w:val="Hyperlink"/>
    <w:basedOn w:val="a0"/>
    <w:uiPriority w:val="99"/>
    <w:unhideWhenUsed/>
    <w:qFormat/>
    <w:rPr>
      <w:color w:val="0563C1" w:themeColor="hyperlink"/>
      <w:u w:val="single"/>
    </w:rPr>
  </w:style>
  <w:style w:type="character" w:styleId="aff">
    <w:name w:val="annotation reference"/>
    <w:basedOn w:val="a0"/>
    <w:uiPriority w:val="99"/>
    <w:semiHidden/>
    <w:unhideWhenUsed/>
    <w:qFormat/>
    <w:rPr>
      <w:sz w:val="21"/>
      <w:szCs w:val="21"/>
    </w:rPr>
  </w:style>
  <w:style w:type="character" w:styleId="aff0">
    <w:name w:val="footnote reference"/>
    <w:basedOn w:val="a0"/>
    <w:uiPriority w:val="99"/>
    <w:semiHidden/>
    <w:unhideWhenUsed/>
    <w:qFormat/>
    <w:rPr>
      <w:vertAlign w:val="superscript"/>
    </w:rPr>
  </w:style>
  <w:style w:type="character" w:customStyle="1" w:styleId="a4">
    <w:name w:val="题注 字符"/>
    <w:basedOn w:val="a0"/>
    <w:link w:val="a3"/>
    <w:uiPriority w:val="35"/>
    <w:qFormat/>
    <w:rPr>
      <w:rFonts w:ascii="Times New Roman" w:hAnsi="Times New Roman" w:cs="Times New Roman"/>
      <w:bCs/>
      <w:kern w:val="2"/>
      <w:sz w:val="21"/>
      <w:szCs w:val="21"/>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aa">
    <w:name w:val="正文文本缩进 字符"/>
    <w:basedOn w:val="a0"/>
    <w:link w:val="a9"/>
    <w:qFormat/>
    <w:rPr>
      <w:rFonts w:ascii="等线" w:eastAsia="等线" w:hAnsi="等线" w:cs="Times New Roman"/>
      <w:sz w:val="28"/>
      <w:szCs w:val="28"/>
    </w:rPr>
  </w:style>
  <w:style w:type="character" w:customStyle="1" w:styleId="10">
    <w:name w:val="标题 1 字符"/>
    <w:basedOn w:val="a0"/>
    <w:link w:val="1"/>
    <w:uiPriority w:val="9"/>
    <w:qFormat/>
    <w:rPr>
      <w:rFonts w:ascii="Times New Roman" w:eastAsia="黑体" w:hAnsi="Times New Roman"/>
      <w:b/>
      <w:bCs/>
      <w:kern w:val="44"/>
      <w:sz w:val="28"/>
      <w:szCs w:val="44"/>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6">
    <w:name w:val="批注文字 字符"/>
    <w:basedOn w:val="a0"/>
    <w:link w:val="a5"/>
    <w:uiPriority w:val="99"/>
    <w:qFormat/>
  </w:style>
  <w:style w:type="paragraph" w:styleId="aff1">
    <w:name w:val="List Paragraph"/>
    <w:basedOn w:val="a"/>
    <w:uiPriority w:val="34"/>
    <w:qFormat/>
    <w:pPr>
      <w:ind w:firstLineChars="0" w:firstLine="0"/>
      <w:jc w:val="center"/>
    </w:pPr>
  </w:style>
  <w:style w:type="character" w:customStyle="1" w:styleId="20">
    <w:name w:val="标题 2 字符"/>
    <w:basedOn w:val="a0"/>
    <w:link w:val="2"/>
    <w:uiPriority w:val="9"/>
    <w:qFormat/>
    <w:rPr>
      <w:rFonts w:ascii="Times New Roman" w:eastAsia="Times New Roman" w:hAnsi="Times New Roman" w:cs="Times New Roman"/>
      <w:b/>
      <w:bCs/>
      <w:kern w:val="2"/>
      <w:sz w:val="28"/>
      <w:szCs w:val="28"/>
    </w:rPr>
  </w:style>
  <w:style w:type="character" w:customStyle="1" w:styleId="30">
    <w:name w:val="标题 3 字符"/>
    <w:basedOn w:val="a0"/>
    <w:link w:val="3"/>
    <w:uiPriority w:val="9"/>
    <w:qFormat/>
    <w:rPr>
      <w:rFonts w:ascii="Times New Roman" w:eastAsia="Times New Roman" w:hAnsi="Times New Roman" w:cs="Times New Roman"/>
      <w:kern w:val="2"/>
      <w:sz w:val="28"/>
      <w:szCs w:val="28"/>
    </w:rPr>
  </w:style>
  <w:style w:type="character" w:customStyle="1" w:styleId="40">
    <w:name w:val="标题 4 字符"/>
    <w:basedOn w:val="a0"/>
    <w:link w:val="4"/>
    <w:uiPriority w:val="9"/>
    <w:qFormat/>
    <w:rPr>
      <w:rFonts w:ascii="Times New Roman" w:eastAsia="黑体" w:hAnsi="Times New Roman" w:cs="Times New Roman"/>
      <w:sz w:val="24"/>
      <w:szCs w:val="24"/>
    </w:rPr>
  </w:style>
  <w:style w:type="character" w:customStyle="1" w:styleId="50">
    <w:name w:val="标题 5 字符"/>
    <w:basedOn w:val="a0"/>
    <w:link w:val="5"/>
    <w:uiPriority w:val="9"/>
    <w:semiHidden/>
    <w:qFormat/>
    <w:rPr>
      <w:rFonts w:ascii="Times New Roman" w:eastAsia="宋体" w:hAnsi="Times New Roman"/>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rFonts w:ascii="Times New Roman" w:eastAsia="宋体" w:hAnsi="Times New Roman"/>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sz w:val="24"/>
      <w:szCs w:val="21"/>
    </w:rPr>
  </w:style>
  <w:style w:type="character" w:customStyle="1" w:styleId="af8">
    <w:name w:val="批注主题 字符"/>
    <w:basedOn w:val="a6"/>
    <w:link w:val="af7"/>
    <w:uiPriority w:val="99"/>
    <w:semiHidden/>
    <w:qFormat/>
    <w:rPr>
      <w:b/>
      <w:bCs/>
    </w:rPr>
  </w:style>
  <w:style w:type="paragraph" w:customStyle="1" w:styleId="pf0">
    <w:name w:val="pf0"/>
    <w:basedOn w:val="a"/>
    <w:qFormat/>
    <w:pPr>
      <w:widowControl/>
      <w:spacing w:before="100" w:beforeAutospacing="1" w:after="100" w:afterAutospacing="1"/>
    </w:pPr>
    <w:rPr>
      <w:rFonts w:ascii="宋体" w:hAnsi="宋体" w:cs="宋体"/>
      <w:kern w:val="0"/>
      <w:szCs w:val="24"/>
    </w:rPr>
  </w:style>
  <w:style w:type="character" w:customStyle="1" w:styleId="cf01">
    <w:name w:val="cf01"/>
    <w:basedOn w:val="a0"/>
    <w:qFormat/>
    <w:rPr>
      <w:rFonts w:ascii="Microsoft YaHei UI" w:eastAsia="Microsoft YaHei UI" w:hAnsi="Microsoft YaHei UI" w:hint="eastAsia"/>
      <w:sz w:val="18"/>
      <w:szCs w:val="18"/>
    </w:rPr>
  </w:style>
  <w:style w:type="character" w:customStyle="1" w:styleId="cf11">
    <w:name w:val="cf11"/>
    <w:basedOn w:val="a0"/>
    <w:qFormat/>
    <w:rPr>
      <w:rFonts w:ascii="Microsoft YaHei UI" w:eastAsia="Microsoft YaHei UI" w:hAnsi="Microsoft YaHei UI" w:hint="eastAsia"/>
      <w:sz w:val="18"/>
      <w:szCs w:val="18"/>
    </w:rPr>
  </w:style>
  <w:style w:type="character" w:customStyle="1" w:styleId="cf21">
    <w:name w:val="cf21"/>
    <w:basedOn w:val="a0"/>
    <w:qFormat/>
    <w:rPr>
      <w:rFonts w:ascii="Microsoft YaHei UI" w:eastAsia="Microsoft YaHei UI" w:hAnsi="Microsoft YaHei UI" w:hint="eastAsia"/>
      <w:b/>
      <w:bCs/>
      <w:sz w:val="18"/>
      <w:szCs w:val="18"/>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f2">
    <w:name w:val="No Spacing"/>
    <w:uiPriority w:val="1"/>
    <w:qFormat/>
    <w:pPr>
      <w:widowControl w:val="0"/>
      <w:ind w:firstLineChars="200" w:firstLine="200"/>
      <w:jc w:val="both"/>
    </w:pPr>
    <w:rPr>
      <w:rFonts w:ascii="Times New Roman" w:eastAsia="宋体" w:hAnsi="Times New Roman"/>
      <w:kern w:val="2"/>
      <w:sz w:val="24"/>
      <w:szCs w:val="22"/>
    </w:rPr>
  </w:style>
  <w:style w:type="character" w:customStyle="1" w:styleId="ae">
    <w:name w:val="批注框文本 字符"/>
    <w:basedOn w:val="a0"/>
    <w:link w:val="ad"/>
    <w:uiPriority w:val="99"/>
    <w:semiHidden/>
    <w:qFormat/>
    <w:rPr>
      <w:rFonts w:ascii="Times New Roman" w:eastAsia="宋体" w:hAnsi="Times New Roman"/>
      <w:sz w:val="18"/>
      <w:szCs w:val="18"/>
    </w:rPr>
  </w:style>
  <w:style w:type="character" w:customStyle="1" w:styleId="22">
    <w:name w:val="正文文本缩进 2 字符"/>
    <w:basedOn w:val="a0"/>
    <w:link w:val="21"/>
    <w:uiPriority w:val="99"/>
    <w:semiHidden/>
    <w:qFormat/>
    <w:rPr>
      <w:rFonts w:ascii="Times New Roman" w:eastAsia="宋体" w:hAnsi="Times New Roman"/>
      <w:sz w:val="24"/>
    </w:rPr>
  </w:style>
  <w:style w:type="paragraph" w:customStyle="1" w:styleId="aff3">
    <w:name w:val="图标题格式"/>
    <w:basedOn w:val="a3"/>
    <w:link w:val="aff4"/>
    <w:qFormat/>
  </w:style>
  <w:style w:type="character" w:customStyle="1" w:styleId="aff4">
    <w:name w:val="图标题格式 字符"/>
    <w:basedOn w:val="a4"/>
    <w:link w:val="aff3"/>
    <w:qFormat/>
    <w:rPr>
      <w:rFonts w:ascii="Times New Roman" w:eastAsia="宋体" w:hAnsi="Times New Roman" w:cs="Times New Roman"/>
      <w:bCs/>
      <w:kern w:val="2"/>
      <w:sz w:val="21"/>
      <w:szCs w:val="21"/>
    </w:rPr>
  </w:style>
  <w:style w:type="paragraph" w:customStyle="1" w:styleId="aff5">
    <w:name w:val="表标题格式"/>
    <w:basedOn w:val="a3"/>
    <w:link w:val="aff6"/>
    <w:qFormat/>
    <w:pPr>
      <w:spacing w:after="120"/>
    </w:pPr>
  </w:style>
  <w:style w:type="character" w:customStyle="1" w:styleId="aff6">
    <w:name w:val="表标题格式 字符"/>
    <w:basedOn w:val="a4"/>
    <w:link w:val="aff5"/>
    <w:qFormat/>
    <w:rPr>
      <w:rFonts w:ascii="Times New Roman" w:eastAsia="宋体" w:hAnsi="Times New Roman" w:cs="Times New Roman"/>
      <w:bCs/>
      <w:kern w:val="2"/>
      <w:sz w:val="21"/>
      <w:szCs w:val="21"/>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c">
    <w:name w:val="尾注文本 字符"/>
    <w:basedOn w:val="a0"/>
    <w:link w:val="ab"/>
    <w:uiPriority w:val="99"/>
    <w:qFormat/>
    <w:rPr>
      <w:rFonts w:ascii="Times New Roman" w:eastAsia="宋体" w:hAnsi="Times New Roman"/>
      <w:sz w:val="24"/>
    </w:rPr>
  </w:style>
  <w:style w:type="paragraph" w:customStyle="1" w:styleId="FirstParagraph">
    <w:name w:val="First Paragraph"/>
    <w:basedOn w:val="a7"/>
    <w:next w:val="a7"/>
    <w:qFormat/>
    <w:pPr>
      <w:widowControl/>
      <w:spacing w:before="180" w:after="180"/>
      <w:ind w:firstLineChars="0" w:firstLine="0"/>
    </w:pPr>
    <w:rPr>
      <w:rFonts w:asciiTheme="minorHAnsi" w:hAnsiTheme="minorHAnsi"/>
      <w:kern w:val="0"/>
      <w:szCs w:val="24"/>
      <w:lang w:eastAsia="en-US"/>
    </w:rPr>
  </w:style>
  <w:style w:type="character" w:customStyle="1" w:styleId="a8">
    <w:name w:val="正文文本 字符"/>
    <w:basedOn w:val="a0"/>
    <w:link w:val="a7"/>
    <w:uiPriority w:val="99"/>
    <w:semiHidden/>
    <w:qFormat/>
    <w:rPr>
      <w:rFonts w:ascii="Times New Roman" w:eastAsia="宋体" w:hAnsi="Times New Roman"/>
      <w:sz w:val="24"/>
    </w:rPr>
  </w:style>
  <w:style w:type="character" w:customStyle="1" w:styleId="mjxassistivemathml">
    <w:name w:val="mjx_assistive_mathml"/>
    <w:basedOn w:val="a0"/>
    <w:qFormat/>
  </w:style>
  <w:style w:type="paragraph" w:customStyle="1" w:styleId="msonormal0">
    <w:name w:val="msonormal"/>
    <w:basedOn w:val="a"/>
    <w:uiPriority w:val="99"/>
    <w:qFormat/>
    <w:pPr>
      <w:widowControl/>
      <w:spacing w:before="100" w:beforeAutospacing="1" w:after="100" w:afterAutospacing="1"/>
      <w:ind w:firstLineChars="0" w:firstLine="0"/>
    </w:pPr>
    <w:rPr>
      <w:rFonts w:ascii="宋体" w:hAnsi="宋体" w:cs="宋体"/>
      <w:kern w:val="0"/>
      <w:szCs w:val="24"/>
    </w:rPr>
  </w:style>
  <w:style w:type="character" w:customStyle="1" w:styleId="MTDisplayEquation">
    <w:name w:val="MTDisplayEquation 字符"/>
    <w:basedOn w:val="a0"/>
    <w:link w:val="MTDisplayEquation0"/>
    <w:qFormat/>
    <w:locked/>
  </w:style>
  <w:style w:type="paragraph" w:customStyle="1" w:styleId="MTDisplayEquation0">
    <w:name w:val="MTDisplayEquation"/>
    <w:basedOn w:val="a"/>
    <w:next w:val="a"/>
    <w:link w:val="MTDisplayEquation"/>
    <w:qFormat/>
    <w:pPr>
      <w:tabs>
        <w:tab w:val="center" w:pos="4160"/>
        <w:tab w:val="right" w:pos="8300"/>
      </w:tabs>
      <w:ind w:firstLineChars="0" w:firstLine="0"/>
    </w:pPr>
    <w:rPr>
      <w:rFonts w:asciiTheme="minorHAnsi" w:hAnsiTheme="minorHAnsi"/>
      <w:sz w:val="21"/>
    </w:rPr>
  </w:style>
  <w:style w:type="character" w:styleId="aff7">
    <w:name w:val="Placeholder Text"/>
    <w:basedOn w:val="a0"/>
    <w:uiPriority w:val="99"/>
    <w:semiHidden/>
    <w:qFormat/>
    <w:rPr>
      <w:color w:val="666666"/>
    </w:rPr>
  </w:style>
  <w:style w:type="character" w:customStyle="1" w:styleId="af4">
    <w:name w:val="脚注文本 字符"/>
    <w:basedOn w:val="a0"/>
    <w:link w:val="af3"/>
    <w:uiPriority w:val="99"/>
    <w:semiHidden/>
    <w:qFormat/>
    <w:rPr>
      <w:rFonts w:ascii="Times New Roman" w:eastAsia="宋体" w:hAnsi="Times New Roman"/>
      <w:sz w:val="18"/>
      <w:szCs w:val="18"/>
    </w:rPr>
  </w:style>
  <w:style w:type="paragraph" w:customStyle="1" w:styleId="12">
    <w:name w:val="修订1"/>
    <w:hidden/>
    <w:uiPriority w:val="99"/>
    <w:semiHidden/>
    <w:qFormat/>
    <w:rPr>
      <w:rFonts w:ascii="Times New Roman" w:eastAsia="宋体" w:hAnsi="Times New Roman"/>
      <w:kern w:val="2"/>
      <w:sz w:val="24"/>
      <w:szCs w:val="22"/>
    </w:rPr>
  </w:style>
  <w:style w:type="paragraph" w:customStyle="1" w:styleId="15">
    <w:name w:val="公式1.5"/>
    <w:basedOn w:val="a"/>
    <w:link w:val="150"/>
    <w:qFormat/>
    <w:pPr>
      <w:ind w:firstLineChars="0" w:firstLine="0"/>
      <w:jc w:val="right"/>
    </w:pPr>
    <w:rPr>
      <w:rFonts w:ascii="Cambria Math" w:hAnsi="Cambria Math"/>
      <w:i/>
      <w:szCs w:val="24"/>
    </w:rPr>
  </w:style>
  <w:style w:type="character" w:customStyle="1" w:styleId="150">
    <w:name w:val="公式1.5 字符"/>
    <w:basedOn w:val="a0"/>
    <w:link w:val="15"/>
    <w:qFormat/>
    <w:rPr>
      <w:rFonts w:ascii="Cambria Math" w:eastAsia="Times New Roman" w:hAnsi="Cambria Math" w:cs="Times New Roman"/>
      <w:i/>
      <w:kern w:val="2"/>
      <w:sz w:val="24"/>
      <w:szCs w:val="24"/>
    </w:rPr>
  </w:style>
  <w:style w:type="character" w:customStyle="1" w:styleId="23">
    <w:name w:val="未处理的提及2"/>
    <w:basedOn w:val="a0"/>
    <w:uiPriority w:val="99"/>
    <w:semiHidden/>
    <w:unhideWhenUsed/>
    <w:qFormat/>
    <w:rPr>
      <w:color w:val="605E5C"/>
      <w:shd w:val="clear" w:color="auto" w:fill="E1DFDD"/>
    </w:rPr>
  </w:style>
  <w:style w:type="paragraph" w:customStyle="1" w:styleId="24">
    <w:name w:val="修订2"/>
    <w:hidden/>
    <w:uiPriority w:val="99"/>
    <w:unhideWhenUsed/>
    <w:qFormat/>
    <w:rPr>
      <w:rFonts w:ascii="Times New Roman" w:eastAsia="Times New Roman" w:hAnsi="Times New Roman"/>
      <w:kern w:val="2"/>
      <w:sz w:val="24"/>
      <w:szCs w:val="22"/>
    </w:rPr>
  </w:style>
  <w:style w:type="paragraph" w:customStyle="1" w:styleId="FAAuthorInfoSubtitle">
    <w:name w:val="FA_Author_Info_Subtitle"/>
    <w:basedOn w:val="a"/>
    <w:link w:val="FAAuthorInfoSubtitleChar"/>
    <w:qFormat/>
    <w:pPr>
      <w:widowControl/>
      <w:spacing w:before="120" w:after="60" w:line="360" w:lineRule="auto"/>
      <w:ind w:firstLineChars="0" w:firstLine="0"/>
      <w:jc w:val="left"/>
    </w:pPr>
    <w:rPr>
      <w:b/>
      <w:bCs/>
      <w:w w:val="108"/>
      <w:kern w:val="0"/>
      <w:szCs w:val="24"/>
      <w:lang w:val="en-GB"/>
    </w:rPr>
  </w:style>
  <w:style w:type="character" w:customStyle="1" w:styleId="FAAuthorInfoSubtitleChar">
    <w:name w:val="FA_Author_Info_Subtitle Char"/>
    <w:link w:val="FAAuthorInfoSubtitle"/>
    <w:qFormat/>
    <w:rPr>
      <w:rFonts w:ascii="Times New Roman" w:hAnsi="Times New Roman" w:cs="Times New Roman"/>
      <w:b/>
      <w:bCs/>
      <w:w w:val="108"/>
      <w:sz w:val="24"/>
      <w:szCs w:val="24"/>
      <w:lang w:val="en-GB"/>
    </w:rPr>
  </w:style>
  <w:style w:type="paragraph" w:customStyle="1" w:styleId="FACorrespondingAuthorFootnote">
    <w:name w:val="FA_Corresponding_Author_Footnote"/>
    <w:basedOn w:val="a"/>
    <w:next w:val="a"/>
    <w:qFormat/>
    <w:pPr>
      <w:widowControl/>
      <w:spacing w:after="200" w:line="360" w:lineRule="auto"/>
      <w:ind w:firstLineChars="0" w:firstLine="0"/>
    </w:pPr>
    <w:rPr>
      <w:rFonts w:ascii="Times" w:hAnsi="Times"/>
      <w:kern w:val="0"/>
      <w:szCs w:val="20"/>
      <w:shd w:val="clear" w:color="auto" w:fill="FFFFFF"/>
      <w:lang w:eastAsia="en-US"/>
    </w:rPr>
  </w:style>
  <w:style w:type="paragraph" w:customStyle="1" w:styleId="31">
    <w:name w:val="修订3"/>
    <w:hidden/>
    <w:uiPriority w:val="99"/>
    <w:semiHidden/>
    <w:qFormat/>
    <w:rPr>
      <w:rFonts w:ascii="Times New Roman" w:hAnsi="Times New Roman" w:cs="Times New Roman"/>
      <w:kern w:val="2"/>
      <w:sz w:val="24"/>
      <w:szCs w:val="22"/>
    </w:rPr>
  </w:style>
  <w:style w:type="paragraph" w:customStyle="1" w:styleId="TDAcknowledgments">
    <w:name w:val="TD_Acknowledgments"/>
    <w:basedOn w:val="a"/>
    <w:next w:val="a"/>
    <w:qFormat/>
    <w:pPr>
      <w:widowControl/>
      <w:spacing w:before="200" w:after="200"/>
      <w:ind w:firstLineChars="0" w:firstLine="202"/>
    </w:pPr>
    <w:rPr>
      <w:rFonts w:ascii="Times" w:hAnsi="Times"/>
      <w:kern w:val="0"/>
      <w:szCs w:val="20"/>
      <w:shd w:val="clear" w:color="auto" w:fill="FFFFFF"/>
      <w:lang w:eastAsia="en-US"/>
    </w:rPr>
  </w:style>
  <w:style w:type="paragraph" w:customStyle="1" w:styleId="RSCB04AHeadingSection">
    <w:name w:val="RSC B04 A Heading (Section)"/>
    <w:basedOn w:val="a"/>
    <w:link w:val="RSCB04AHeadingSectionChar"/>
    <w:qFormat/>
    <w:pPr>
      <w:widowControl/>
      <w:spacing w:before="400" w:after="80" w:line="240" w:lineRule="auto"/>
      <w:ind w:firstLineChars="0" w:firstLine="0"/>
      <w:jc w:val="left"/>
    </w:pPr>
    <w:rPr>
      <w:rFonts w:asciiTheme="minorHAnsi" w:hAnsiTheme="minorHAnsi" w:cstheme="minorBidi"/>
      <w:b/>
      <w:kern w:val="0"/>
      <w:szCs w:val="21"/>
      <w:lang w:val="en-GB" w:eastAsia="en-US"/>
    </w:rPr>
  </w:style>
  <w:style w:type="character" w:customStyle="1" w:styleId="RSCB04AHeadingSectionChar">
    <w:name w:val="RSC B04 A Heading (Section) Char"/>
    <w:basedOn w:val="a0"/>
    <w:link w:val="RSCB04AHeadingSection"/>
    <w:qFormat/>
    <w:rPr>
      <w:b/>
      <w:sz w:val="24"/>
      <w:szCs w:val="21"/>
      <w:lang w:val="en-GB" w:eastAsia="en-US"/>
    </w:rPr>
  </w:style>
  <w:style w:type="paragraph" w:customStyle="1" w:styleId="Head1">
    <w:name w:val="Head 1"/>
    <w:basedOn w:val="a"/>
    <w:autoRedefine/>
    <w:qFormat/>
    <w:pPr>
      <w:widowControl/>
      <w:spacing w:line="360" w:lineRule="auto"/>
      <w:ind w:firstLineChars="0" w:firstLine="0"/>
      <w:jc w:val="left"/>
    </w:pPr>
    <w:rPr>
      <w:rFonts w:eastAsia="MS Mincho"/>
      <w:b/>
      <w:kern w:val="0"/>
      <w:szCs w:val="24"/>
      <w:lang w:eastAsia="ja-JP"/>
    </w:rPr>
  </w:style>
  <w:style w:type="paragraph" w:customStyle="1" w:styleId="MainText">
    <w:name w:val="Main Text"/>
    <w:basedOn w:val="a"/>
    <w:link w:val="MainTextChar"/>
    <w:qFormat/>
    <w:pPr>
      <w:widowControl/>
      <w:ind w:firstLineChars="0" w:firstLine="0"/>
      <w:jc w:val="left"/>
    </w:pPr>
    <w:rPr>
      <w:rFonts w:eastAsia="MS Mincho"/>
      <w:kern w:val="0"/>
      <w:szCs w:val="24"/>
      <w:lang w:eastAsia="ja-JP"/>
    </w:rPr>
  </w:style>
  <w:style w:type="character" w:customStyle="1" w:styleId="MainTextChar">
    <w:name w:val="Main Text Char"/>
    <w:link w:val="MainText"/>
    <w:qFormat/>
    <w:rPr>
      <w:rFonts w:ascii="Times New Roman" w:eastAsia="MS Mincho" w:hAnsi="Times New Roman" w:cs="Times New Roman"/>
      <w:sz w:val="24"/>
      <w:szCs w:val="24"/>
      <w:lang w:eastAsia="ja-JP"/>
    </w:rPr>
  </w:style>
  <w:style w:type="paragraph" w:customStyle="1" w:styleId="42">
    <w:name w:val="修订4"/>
    <w:hidden/>
    <w:uiPriority w:val="99"/>
    <w:unhideWhenUsed/>
    <w:qFormat/>
    <w:rPr>
      <w:rFonts w:ascii="Times New Roman" w:hAnsi="Times New Roman" w:cs="Times New Roman"/>
      <w:kern w:val="2"/>
      <w:sz w:val="24"/>
      <w:szCs w:val="22"/>
    </w:rPr>
  </w:style>
  <w:style w:type="character" w:customStyle="1" w:styleId="32">
    <w:name w:val="未处理的提及3"/>
    <w:basedOn w:val="a0"/>
    <w:uiPriority w:val="99"/>
    <w:semiHidden/>
    <w:unhideWhenUsed/>
    <w:qFormat/>
    <w:rPr>
      <w:color w:val="605E5C"/>
      <w:shd w:val="clear" w:color="auto" w:fill="E1DFDD"/>
    </w:rPr>
  </w:style>
  <w:style w:type="paragraph" w:customStyle="1" w:styleId="13">
    <w:name w:val="书目1"/>
    <w:basedOn w:val="a"/>
    <w:next w:val="a"/>
    <w:uiPriority w:val="37"/>
    <w:unhideWhenUsed/>
    <w:qFormat/>
    <w:pPr>
      <w:tabs>
        <w:tab w:val="left" w:pos="384"/>
      </w:tabs>
      <w:spacing w:line="240" w:lineRule="auto"/>
      <w:ind w:left="384" w:hanging="384"/>
    </w:pPr>
  </w:style>
  <w:style w:type="paragraph" w:styleId="aff8">
    <w:name w:val="Revision"/>
    <w:hidden/>
    <w:uiPriority w:val="99"/>
    <w:unhideWhenUsed/>
    <w:rsid w:val="009D6DE0"/>
    <w:rPr>
      <w:rFonts w:ascii="Times New Roman" w:hAnsi="Times New Roman" w:cs="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1C156-0D8A-4223-A42A-8A1B8CA4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3853</Words>
  <Characters>21966</Characters>
  <Application>Microsoft Office Word</Application>
  <DocSecurity>0</DocSecurity>
  <Lines>183</Lines>
  <Paragraphs>51</Paragraphs>
  <ScaleCrop>false</ScaleCrop>
  <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 心华</dc:creator>
  <cp:lastModifiedBy>Zhong Lin</cp:lastModifiedBy>
  <cp:revision>298</cp:revision>
  <cp:lastPrinted>2024-04-30T02:18:00Z</cp:lastPrinted>
  <dcterms:created xsi:type="dcterms:W3CDTF">2026-02-22T07:01:00Z</dcterms:created>
  <dcterms:modified xsi:type="dcterms:W3CDTF">2026-04-20T01:36:00Z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A846BC58F2804A0592EC0CCD4F77A9A8_13</vt:lpwstr>
  </property>
  <property fmtid="{D5CDD505-2E9C-101B-9397-08002B2CF9AE}" pid="4" name="KSOTemplateDocerSaveRecord">
    <vt:lpwstr>eyJoZGlkIjoiODFlN2QyNWNmMzNjYWFiMjkwYWVhZjQ5ZDY2OWFiNDkiLCJ1c2VySWQiOiI3MjM1MTgzNzEifQ==</vt:lpwstr>
  </property>
  <property fmtid="{D5CDD505-2E9C-101B-9397-08002B2CF9AE}" pid="5" name="ZOTERO_PREF_1">
    <vt:lpwstr>&lt;data data-version="3" zotero-version="7.0.32"&gt;&lt;session id="FB6iq5cM"/&gt;&lt;style id="http://www.zotero.org/styles/multidisciplinary-digital-publishing-institute" hasBibliography="1" bibliographyStyleHasBeenSet="1"/&gt;&lt;prefs&gt;&lt;pref name="fieldType" value="Field"</vt:lpwstr>
  </property>
  <property fmtid="{D5CDD505-2E9C-101B-9397-08002B2CF9AE}" pid="6" name="ZOTERO_PREF_2">
    <vt:lpwstr>/&gt;&lt;pref name="automaticJournalAbbreviations" value="true"/&gt;&lt;/prefs&gt;&lt;/data&gt;</vt:lpwstr>
  </property>
</Properties>
</file>