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eastAsia="宋体"/>
          <w:lang w:eastAsia="zh-CN"/>
        </w:rPr>
        <w:drawing>
          <wp:inline distT="0" distB="0" distL="114300" distR="114300">
            <wp:extent cx="3001645" cy="2899410"/>
            <wp:effectExtent l="0" t="0" r="635" b="11430"/>
            <wp:docPr id="1" name="图片 1" descr="m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cod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1645" cy="289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hAnsi="TimesNewRomanPSMT" w:eastAsia="TimesNewRomanPSMT" w:cs="TimesNewRomanPSMT"/>
          <w:color w:val="000000"/>
          <w:kern w:val="0"/>
          <w:szCs w:val="21"/>
          <w:lang w:bidi="ar"/>
        </w:rPr>
      </w:pPr>
      <w:r>
        <w:rPr>
          <w:rFonts w:hint="eastAsia" w:hAnsi="TimesNewRomanPSMT" w:eastAsia="TimesNewRomanPSMT" w:cs="TimesNewRomanPSMT"/>
          <w:b/>
          <w:bCs/>
          <w:color w:val="000000"/>
          <w:kern w:val="0"/>
          <w:szCs w:val="21"/>
          <w:lang w:bidi="ar"/>
        </w:rPr>
        <w:t>Fig.1</w:t>
      </w:r>
      <w: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  <w:t xml:space="preserve">  The most significant module (module1) based on the protein–protein </w:t>
      </w:r>
      <w:r>
        <w:rPr>
          <w:rFonts w:hAnsi="TimesNewRomanPSMT" w:eastAsia="TimesNewRomanPSMT" w:cs="TimesNewRomanPSMT"/>
          <w:color w:val="000000"/>
          <w:kern w:val="0"/>
          <w:szCs w:val="21"/>
          <w:lang w:bidi="ar"/>
        </w:rPr>
        <w:t>interaction (PPI) network</w:t>
      </w:r>
      <w: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  <w:t xml:space="preserve"> analysis of 512 robust DEGs</w:t>
      </w:r>
      <w:r>
        <w:rPr>
          <w:rFonts w:hAnsi="TimesNewRomanPSMT" w:eastAsia="TimesNewRomanPSMT" w:cs="TimesNewRomanPSMT"/>
          <w:color w:val="000000"/>
          <w:kern w:val="0"/>
          <w:szCs w:val="21"/>
          <w:lang w:bidi="ar"/>
        </w:rPr>
        <w:t>.</w:t>
      </w:r>
    </w:p>
    <w:p>
      <w:pPr>
        <w:widowControl/>
        <w:spacing w:line="360" w:lineRule="auto"/>
        <w:rPr>
          <w:rFonts w:hint="eastAsia" w:hAnsi="TimesNewRomanPSMT" w:eastAsia="宋体" w:cs="TimesNewRomanPSMT"/>
          <w:color w:val="000000"/>
          <w:kern w:val="0"/>
          <w:szCs w:val="21"/>
          <w:lang w:eastAsia="zh-CN" w:bidi="ar"/>
        </w:rPr>
      </w:pPr>
      <w:r>
        <w:rPr>
          <w:rFonts w:hint="eastAsia" w:hAnsi="TimesNewRomanPSMT" w:eastAsia="宋体" w:cs="TimesNewRomanPSMT"/>
          <w:color w:val="000000"/>
          <w:kern w:val="0"/>
          <w:szCs w:val="21"/>
          <w:lang w:eastAsia="zh-CN" w:bidi="ar"/>
        </w:rPr>
        <w:drawing>
          <wp:inline distT="0" distB="0" distL="114300" distR="114300">
            <wp:extent cx="1618615" cy="2224405"/>
            <wp:effectExtent l="0" t="0" r="12065" b="635"/>
            <wp:docPr id="2" name="图片 2" descr="fig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8615" cy="222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hAnsi="TimesNewRomanPSMT" w:eastAsia="TimesNewRomanPSMT" w:cs="TimesNewRomanPSMT"/>
          <w:color w:val="000000"/>
          <w:kern w:val="0"/>
          <w:szCs w:val="21"/>
          <w:lang w:bidi="ar"/>
        </w:rPr>
      </w:pPr>
      <w:r>
        <w:rPr>
          <w:rFonts w:hint="eastAsia" w:hAnsi="TimesNewRomanPSMT" w:eastAsia="TimesNewRomanPSMT" w:cs="TimesNewRomanPSMT"/>
          <w:b/>
          <w:bCs/>
          <w:color w:val="000000"/>
          <w:kern w:val="0"/>
          <w:szCs w:val="21"/>
          <w:lang w:bidi="ar"/>
        </w:rPr>
        <w:t>Fig.</w:t>
      </w:r>
      <w:r>
        <w:rPr>
          <w:rFonts w:hint="eastAsia" w:hAnsi="TimesNewRomanPSMT" w:cs="TimesNewRomanPSMT"/>
          <w:b/>
          <w:bCs/>
          <w:color w:val="000000"/>
          <w:kern w:val="0"/>
          <w:szCs w:val="21"/>
          <w:lang w:val="en-US" w:eastAsia="zh-CN" w:bidi="ar"/>
        </w:rPr>
        <w:t xml:space="preserve">2 </w:t>
      </w:r>
      <w: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  <w:t xml:space="preserve">EZH2 are significantly upregulated in BC compared with normal breast tissues in GEPIA database, The red * represents P &lt; 0.01. </w:t>
      </w:r>
    </w:p>
    <w:p>
      <w:pPr>
        <w:widowControl/>
        <w:spacing w:line="360" w:lineRule="auto"/>
        <w:rPr>
          <w:rFonts w:hint="eastAsia" w:hAnsi="TimesNewRomanPSMT" w:eastAsia="宋体" w:cs="TimesNewRomanPSMT"/>
          <w:color w:val="000000"/>
          <w:kern w:val="0"/>
          <w:szCs w:val="21"/>
          <w:lang w:eastAsia="zh-CN" w:bidi="ar"/>
        </w:rPr>
      </w:pPr>
      <w:r>
        <w:rPr>
          <w:rFonts w:hint="eastAsia" w:hAnsi="TimesNewRomanPSMT" w:eastAsia="宋体" w:cs="TimesNewRomanPSMT"/>
          <w:color w:val="000000"/>
          <w:kern w:val="0"/>
          <w:szCs w:val="21"/>
          <w:lang w:eastAsia="zh-CN" w:bidi="ar"/>
        </w:rPr>
        <w:drawing>
          <wp:inline distT="0" distB="0" distL="114300" distR="114300">
            <wp:extent cx="2134235" cy="2134235"/>
            <wp:effectExtent l="0" t="0" r="14605" b="14605"/>
            <wp:docPr id="3" name="图片 3" descr="EZH2_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ZH2_o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34235" cy="213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</w:pPr>
      <w:r>
        <w:rPr>
          <w:rFonts w:hint="eastAsia" w:hAnsi="TimesNewRomanPSMT" w:eastAsia="TimesNewRomanPSMT" w:cs="TimesNewRomanPSMT"/>
          <w:b/>
          <w:bCs/>
          <w:color w:val="000000"/>
          <w:kern w:val="0"/>
          <w:szCs w:val="21"/>
          <w:lang w:bidi="ar"/>
        </w:rPr>
        <w:t>Fig.</w:t>
      </w:r>
      <w:r>
        <w:rPr>
          <w:rFonts w:hint="eastAsia" w:hAnsi="TimesNewRomanPSMT" w:cs="TimesNewRomanPSMT"/>
          <w:b/>
          <w:bCs/>
          <w:color w:val="000000"/>
          <w:kern w:val="0"/>
          <w:szCs w:val="21"/>
          <w:lang w:val="en-US" w:eastAsia="zh-CN" w:bidi="ar"/>
        </w:rPr>
        <w:t>3</w:t>
      </w:r>
      <w: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  <w:t xml:space="preserve"> Expression levels of EZH2 is significantly associated with the OS of patients in BC ( P &lt; 0.05, HR˃1).</w:t>
      </w:r>
    </w:p>
    <w:p>
      <w:pP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</w:pPr>
    </w:p>
    <w:p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3415665" cy="2398395"/>
            <wp:effectExtent l="0" t="0" r="13335" b="9525"/>
            <wp:docPr id="6" name="图片 6" descr="GSEA_EZ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GSEA_EZH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15665" cy="239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  <w:t xml:space="preserve"> </w:t>
      </w:r>
      <w:r>
        <w:rPr>
          <w:rFonts w:hint="eastAsia" w:hAnsi="TimesNewRomanPSMT" w:eastAsia="TimesNewRomanPSMT" w:cs="TimesNewRomanPSMT"/>
          <w:b/>
          <w:bCs/>
          <w:color w:val="000000"/>
          <w:kern w:val="0"/>
          <w:szCs w:val="21"/>
          <w:lang w:bidi="ar"/>
        </w:rPr>
        <w:t>Fig.</w:t>
      </w:r>
      <w:r>
        <w:rPr>
          <w:rFonts w:hint="eastAsia" w:hAnsi="TimesNewRomanPSMT" w:cs="TimesNewRomanPSMT"/>
          <w:b/>
          <w:bCs/>
          <w:color w:val="000000"/>
          <w:kern w:val="0"/>
          <w:szCs w:val="21"/>
          <w:lang w:val="en-US" w:eastAsia="zh-CN" w:bidi="ar"/>
        </w:rPr>
        <w:t>4</w:t>
      </w:r>
      <w: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  <w:t xml:space="preserve"> cell proliferation related gene-sets were significantly enriched in the high-expression group of EZH2.</w:t>
      </w:r>
    </w:p>
    <w:p>
      <w:r>
        <w:rPr>
          <w:rFonts w:hint="eastAsia"/>
        </w:rPr>
        <w:drawing>
          <wp:inline distT="0" distB="0" distL="114300" distR="114300">
            <wp:extent cx="5274310" cy="2117725"/>
            <wp:effectExtent l="0" t="0" r="13970" b="635"/>
            <wp:docPr id="4" name="图片 4" descr="fig-2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-2 (2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widowControl/>
        <w:spacing w:line="360" w:lineRule="auto"/>
        <w:rPr>
          <w:rFonts w:hAnsi="TimesNewRomanPSMT" w:eastAsia="TimesNewRomanPSMT" w:cs="TimesNewRomanPSMT"/>
          <w:color w:val="000000"/>
          <w:kern w:val="0"/>
          <w:szCs w:val="21"/>
          <w:lang w:bidi="ar"/>
        </w:rPr>
      </w:pPr>
      <w:r>
        <w:rPr>
          <w:b/>
          <w:bCs/>
        </w:rPr>
        <w:t>Fig</w:t>
      </w:r>
      <w:r>
        <w:rPr>
          <w:rFonts w:hint="eastAsia"/>
          <w:b/>
          <w:bCs/>
        </w:rPr>
        <w:t>.</w:t>
      </w:r>
      <w:r>
        <w:rPr>
          <w:rFonts w:hint="eastAsia"/>
          <w:b/>
          <w:bCs/>
          <w:lang w:val="en-US" w:eastAsia="zh-CN"/>
        </w:rPr>
        <w:t>5</w:t>
      </w:r>
      <w:r>
        <w:rPr>
          <w:rFonts w:hint="eastAsia" w:hAnsi="TimesNewRomanPSMT" w:eastAsia="TimesNewRomanPSMT" w:cs="TimesNewRomanPSMT"/>
          <w:b/>
          <w:bCs/>
          <w:color w:val="000000"/>
          <w:kern w:val="0"/>
          <w:szCs w:val="21"/>
          <w:lang w:bidi="ar"/>
        </w:rPr>
        <w:t xml:space="preserve"> </w:t>
      </w:r>
      <w: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  <w:t>Validation of the mRNA expression levels of CENPL, ISG20L2, MRPL3 and LSM4 between BC and normal breast tissues based on the TCGA_BRCA and match TCGA normal and GTEx data in GEPIA database. CENPL, ISG20L2, LSM4, MRPL3 are significantly upregulated in BC compared with normal breast tissues (Log2FC</w:t>
      </w:r>
      <w:r>
        <w:rPr>
          <w:rFonts w:eastAsia="TimesNewRomanPSMT" w:cs="Calibri"/>
          <w:color w:val="000000"/>
          <w:kern w:val="0"/>
          <w:szCs w:val="21"/>
          <w:lang w:bidi="ar"/>
        </w:rPr>
        <w:t>˃</w:t>
      </w:r>
      <w: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  <w:t>1, P &lt; 0.01). The red * represents P &lt; 0.01.</w:t>
      </w:r>
    </w:p>
    <w:p>
      <w:pPr>
        <w:widowControl/>
        <w:spacing w:line="360" w:lineRule="auto"/>
        <w:rPr>
          <w:rFonts w:hAnsi="TimesNewRomanPSMT" w:eastAsia="TimesNewRomanPSMT" w:cs="TimesNewRomanPSMT"/>
          <w:color w:val="000000"/>
          <w:kern w:val="0"/>
          <w:szCs w:val="21"/>
          <w:lang w:bidi="ar"/>
        </w:rPr>
      </w:pPr>
    </w:p>
    <w:p>
      <w:pPr>
        <w:widowControl/>
        <w:spacing w:line="360" w:lineRule="auto"/>
        <w:rPr>
          <w:rFonts w:hAnsi="TimesNewRomanPSMT" w:cs="TimesNewRomanPSMT"/>
          <w:color w:val="000000"/>
          <w:kern w:val="0"/>
          <w:szCs w:val="21"/>
          <w:lang w:bidi="ar"/>
        </w:rPr>
      </w:pPr>
      <w:r>
        <w:rPr>
          <w:rFonts w:hint="eastAsia" w:hAnsi="TimesNewRomanPSMT" w:cs="TimesNewRomanPSMT"/>
          <w:color w:val="000000"/>
          <w:kern w:val="0"/>
          <w:szCs w:val="21"/>
          <w:lang w:bidi="ar"/>
        </w:rPr>
        <w:drawing>
          <wp:inline distT="0" distB="0" distL="114300" distR="114300">
            <wp:extent cx="5273040" cy="5116195"/>
            <wp:effectExtent l="0" t="0" r="0" b="4445"/>
            <wp:docPr id="5" name="图片 5" descr="fig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-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11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rPr>
          <w:rFonts w:hAnsi="TimesNewRomanPSMT" w:eastAsia="TimesNewRomanPSMT" w:cs="TimesNewRomanPSMT"/>
          <w:color w:val="000000"/>
          <w:kern w:val="0"/>
          <w:szCs w:val="21"/>
          <w:lang w:bidi="ar"/>
        </w:rPr>
      </w:pPr>
    </w:p>
    <w:p>
      <w:pPr>
        <w:widowControl/>
        <w:spacing w:line="360" w:lineRule="auto"/>
        <w:rPr>
          <w:rFonts w:hAnsi="TimesNewRomanPSMT" w:eastAsia="TimesNewRomanPSMT" w:cs="TimesNewRomanPSMT"/>
          <w:color w:val="000000"/>
          <w:kern w:val="0"/>
          <w:szCs w:val="21"/>
          <w:lang w:bidi="ar"/>
        </w:rPr>
      </w:pPr>
      <w:r>
        <w:rPr>
          <w:b/>
          <w:bCs/>
        </w:rPr>
        <w:t>Fig</w:t>
      </w:r>
      <w:r>
        <w:rPr>
          <w:rFonts w:hint="eastAsia"/>
          <w:b/>
          <w:bCs/>
        </w:rPr>
        <w:t>.</w:t>
      </w:r>
      <w:r>
        <w:rPr>
          <w:rFonts w:hint="eastAsia"/>
          <w:b/>
          <w:bCs/>
          <w:lang w:val="en-US" w:eastAsia="zh-CN"/>
        </w:rPr>
        <w:t>6</w:t>
      </w:r>
      <w:r>
        <w:rPr>
          <w:rFonts w:hint="eastAsia" w:hAnsi="TimesNewRomanPSMT" w:eastAsia="TimesNewRomanPSMT" w:cs="TimesNewRomanPSMT"/>
          <w:b/>
          <w:bCs/>
          <w:color w:val="000000"/>
          <w:kern w:val="0"/>
          <w:szCs w:val="21"/>
          <w:lang w:bidi="ar"/>
        </w:rPr>
        <w:t xml:space="preserve"> </w:t>
      </w:r>
      <w:r>
        <w:rPr>
          <w:rFonts w:hint="eastAsia" w:hAnsi="TimesNewRomanPSMT" w:cs="TimesNewRomanPSMT"/>
          <w:b/>
          <w:bCs/>
          <w:color w:val="000000"/>
          <w:kern w:val="0"/>
          <w:szCs w:val="21"/>
          <w:lang w:bidi="ar"/>
        </w:rPr>
        <w:t xml:space="preserve"> </w:t>
      </w:r>
      <w: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  <w:t>Correlation analysis of the mRNA expression levels of CENPL, ISG20L2, LSM4</w:t>
      </w:r>
      <w:r>
        <w:rPr>
          <w:rFonts w:hint="eastAsia" w:hAnsi="TimesNewRomanPSMT" w:cs="TimesNewRomanPSMT"/>
          <w:color w:val="000000"/>
          <w:kern w:val="0"/>
          <w:szCs w:val="21"/>
          <w:lang w:bidi="ar"/>
        </w:rPr>
        <w:t>,</w:t>
      </w:r>
      <w: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  <w:t xml:space="preserve"> and MRPL3</w:t>
      </w:r>
      <w:r>
        <w:rPr>
          <w:rFonts w:hint="eastAsia" w:hAnsi="TimesNewRomanPSMT" w:cs="TimesNewRomanPSMT"/>
          <w:color w:val="000000"/>
          <w:kern w:val="0"/>
          <w:szCs w:val="21"/>
          <w:lang w:bidi="ar"/>
        </w:rPr>
        <w:t xml:space="preserve"> with EZH2 </w:t>
      </w:r>
      <w: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  <w:t>expression level</w:t>
      </w:r>
      <w:r>
        <w:rPr>
          <w:rFonts w:hint="eastAsia" w:hAnsi="TimesNewRomanPSMT" w:cs="TimesNewRomanPSMT"/>
          <w:color w:val="000000"/>
          <w:kern w:val="0"/>
          <w:szCs w:val="21"/>
          <w:lang w:bidi="ar"/>
        </w:rPr>
        <w:t xml:space="preserve"> in BC based on GEPIA database.</w:t>
      </w:r>
      <w: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  <w:t xml:space="preserve"> </w:t>
      </w:r>
      <w:r>
        <w:rPr>
          <w:rFonts w:hint="eastAsia" w:hAnsi="TimesNewRomanPSMT" w:cs="TimesNewRomanPSMT"/>
          <w:b/>
          <w:bCs/>
          <w:color w:val="000000"/>
          <w:kern w:val="0"/>
          <w:szCs w:val="21"/>
          <w:lang w:bidi="ar"/>
        </w:rPr>
        <w:t>a</w:t>
      </w:r>
      <w:r>
        <w:rPr>
          <w:rFonts w:hint="eastAsia" w:hAnsi="TimesNewRomanPSMT" w:eastAsia="TimesNewRomanPSMT" w:cs="TimesNewRomanPSMT"/>
          <w:b/>
          <w:bCs/>
          <w:color w:val="000000"/>
          <w:kern w:val="0"/>
          <w:szCs w:val="21"/>
          <w:lang w:bidi="ar"/>
        </w:rPr>
        <w:t>–</w:t>
      </w:r>
      <w:r>
        <w:rPr>
          <w:rFonts w:hint="eastAsia" w:hAnsi="TimesNewRomanPSMT" w:cs="TimesNewRomanPSMT"/>
          <w:b/>
          <w:bCs/>
          <w:color w:val="000000"/>
          <w:kern w:val="0"/>
          <w:szCs w:val="21"/>
          <w:lang w:bidi="ar"/>
        </w:rPr>
        <w:t>d</w:t>
      </w:r>
      <w:r>
        <w:rPr>
          <w:rFonts w:hint="eastAsia" w:hAnsi="TimesNewRomanPSMT" w:eastAsia="TimesNewRomanPSMT" w:cs="TimesNewRomanPSMT"/>
          <w:color w:val="000000"/>
          <w:kern w:val="0"/>
          <w:szCs w:val="21"/>
          <w:lang w:bidi="ar"/>
        </w:rPr>
        <w:t xml:space="preserve"> CENPL, ISG20L2, LSM4, MRPL3 are significantly </w:t>
      </w:r>
      <w:r>
        <w:rPr>
          <w:rFonts w:hint="eastAsia" w:hAnsi="TimesNewRomanPSMT" w:cs="TimesNewRomanPSMT"/>
          <w:color w:val="000000"/>
          <w:kern w:val="0"/>
          <w:szCs w:val="21"/>
          <w:lang w:bidi="ar"/>
        </w:rPr>
        <w:t>correlatd with EZH2. Correlation Coefficient: pearson.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294"/>
    <w:rsid w:val="00066294"/>
    <w:rsid w:val="00973236"/>
    <w:rsid w:val="351C59B3"/>
    <w:rsid w:val="7D3B55F9"/>
    <w:rsid w:val="7FC4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932</Characters>
  <Lines>7</Lines>
  <Paragraphs>2</Paragraphs>
  <TotalTime>0</TotalTime>
  <ScaleCrop>false</ScaleCrop>
  <LinksUpToDate>false</LinksUpToDate>
  <CharactersWithSpaces>1093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2020-08-19T01:24:00Z</dcterms:created>
  <dc:creator>pc</dc:creator>
  <cp:lastModifiedBy>云碧天</cp:lastModifiedBy>
  <dcterms:modified xsi:type="dcterms:W3CDTF">2020-10-16T00:55:33Z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